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9A5500"/>
          <w:sz w:val="30"/>
          <w:szCs w:val="30"/>
          <w:u w:val="single"/>
        </w:rPr>
        <w:t xml:space="preserve">[RAZÓN SOCIAL]</w:t>
      </w:r>
    </w:p>
    <w:p>
      <w:pPr>
        <w:spacing w:after="40" w:line="276"/>
        <w:jc w:val="center"/>
      </w:pPr>
      <w:r>
        <w:rPr>
          <w:color w:val="5A5A5A"/>
          <w:sz w:val="19"/>
          <w:szCs w:val="19"/>
        </w:rPr>
        <w:t xml:space="preserve">RUC </w:t>
      </w:r>
      <w:r>
        <w:rPr>
          <w:b/>
          <w:bCs/>
          <w:color w:val="5A5A5A"/>
          <w:sz w:val="19"/>
          <w:szCs w:val="19"/>
          <w:u w:val="single"/>
        </w:rPr>
        <w:t xml:space="preserve">[NÚMERO DE RUC]</w:t>
      </w:r>
      <w:r>
        <w:rPr>
          <w:color w:val="5A5A5A"/>
          <w:sz w:val="19"/>
          <w:szCs w:val="19"/>
        </w:rPr>
        <w:t xml:space="preserve">   ·   </w:t>
      </w:r>
      <w:r>
        <w:rPr>
          <w:b/>
          <w:bCs/>
          <w:color w:val="5A5A5A"/>
          <w:sz w:val="19"/>
          <w:szCs w:val="19"/>
          <w:u w:val="single"/>
        </w:rPr>
        <w:t xml:space="preserve">[DIRECCIÓN FISCAL]</w:t>
      </w:r>
    </w:p>
    <w:p>
      <w:pPr>
        <w:pBdr>
          <w:bottom w:val="single" w:color="1F3864" w:sz="12" w:space="8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after="60" w:line="300"/>
        <w:jc w:val="center"/>
      </w:pPr>
      <w:r>
        <w:rPr>
          <w:b/>
          <w:bCs/>
          <w:color w:val="1F3864"/>
          <w:sz w:val="34"/>
          <w:szCs w:val="34"/>
        </w:rPr>
        <w:t xml:space="preserve">PROCEDIMIENTO DE TRATAMIENTO</w:t>
      </w:r>
    </w:p>
    <w:p>
      <w:pPr>
        <w:spacing w:after="60" w:line="300"/>
        <w:jc w:val="center"/>
      </w:pPr>
      <w:r>
        <w:rPr>
          <w:b/>
          <w:bCs/>
          <w:color w:val="1F3864"/>
          <w:sz w:val="34"/>
          <w:szCs w:val="34"/>
        </w:rPr>
        <w:t xml:space="preserve">DEL GRUPO SANGUÍNEO DEL PERSONAL</w:t>
      </w:r>
    </w:p>
    <w:p>
      <w:pPr>
        <w:spacing w:after="60" w:line="300"/>
        <w:jc w:val="center"/>
      </w:pPr>
      <w:r>
        <w:rPr>
          <w:b/>
          <w:bCs/>
          <w:color w:val="1F3864"/>
          <w:sz w:val="34"/>
          <w:szCs w:val="34"/>
        </w:rPr>
        <w:t xml:space="preserve">(DATO SENSIBLE)</w:t>
      </w:r>
    </w:p>
    <w:p>
      <w:pPr>
        <w:spacing w:after="260" w:before="140" w:line="276"/>
        <w:jc w:val="center"/>
      </w:pPr>
      <w:r>
        <w:rPr>
          <w:b/>
          <w:bCs/>
          <w:color w:val="1A1A1A"/>
          <w:sz w:val="21"/>
          <w:szCs w:val="21"/>
        </w:rPr>
        <w:t xml:space="preserve">La autorización por escrito del trabajador —en su celular, en la pantalla del supervisor o en papel—, su uso en la credencial y en el sticker del casco, y su revocación, mediante el aplicativo OBRASST</w:t>
      </w:r>
    </w:p>
    <w:p>
      <w:pPr>
        <w:spacing w:after="50" w:line="276"/>
        <w:jc w:val="center"/>
      </w:pPr>
      <w:r>
        <w:rPr>
          <w:b/>
          <w:bCs/>
          <w:color w:val="9A5500"/>
          <w:sz w:val="21"/>
          <w:szCs w:val="21"/>
          <w:u w:val="single"/>
        </w:rPr>
        <w:t xml:space="preserve">[NOMBRE DEL PROYECTO U OBRA]</w:t>
      </w:r>
    </w:p>
    <w:p>
      <w:pPr>
        <w:spacing w:after="320" w:line="276"/>
        <w:jc w:val="center"/>
      </w:pPr>
      <w:r>
        <w:rPr>
          <w:b/>
          <w:bCs/>
          <w:color w:val="9A5500"/>
          <w:sz w:val="21"/>
          <w:szCs w:val="21"/>
          <w:u w:val="single"/>
        </w:rPr>
        <w:t xml:space="preserve">[CLIENTE O PROPIETARIO]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5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[SIGLA]</w:t>
            </w:r>
            <w:r>
              <w:rPr>
                <w:color w:val="1A1A1A"/>
                <w:sz w:val="18"/>
                <w:szCs w:val="18"/>
              </w:rPr>
              <w:t xml:space="preserve">-SSOMA-PR-15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Versión</w:t>
            </w:r>
          </w:p>
        </w:tc>
        <w:tc>
          <w:tcPr>
            <w:tcW w:type="dxa" w:w="65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[00]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/     /          ]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Frecuencia de revisión</w:t>
            </w:r>
          </w:p>
        </w:tc>
        <w:tc>
          <w:tcPr>
            <w:tcW w:type="dxa" w:w="65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Anual, o ante cambio normativo o del aplicativo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Alcance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Todo el personal de </w:t>
            </w:r>
            <w:r>
              <w:rPr>
                <w:color w:val="1A1A1A"/>
                <w:sz w:val="18"/>
                <w:szCs w:val="18"/>
                <w:u w:val="single"/>
              </w:rPr>
              <w:t xml:space="preserve">[RAZÓN SOCIAL]</w:t>
            </w:r>
            <w:r>
              <w:rPr>
                <w:color w:val="1A1A1A"/>
                <w:sz w:val="18"/>
                <w:szCs w:val="18"/>
              </w:rPr>
              <w:t xml:space="preserve"> que ingrese a </w:t>
            </w:r>
            <w:r>
              <w:rPr>
                <w:color w:val="1A1A1A"/>
                <w:sz w:val="18"/>
                <w:szCs w:val="18"/>
                <w:u w:val="single"/>
              </w:rPr>
              <w:t xml:space="preserve">[NOMBRE DEL PROYECTO U OBRA]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Canal de registro</w:t>
            </w:r>
          </w:p>
        </w:tc>
        <w:tc>
          <w:tcPr>
            <w:tcW w:type="dxa" w:w="65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Aplicativo OBRASST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Elaboró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31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Revisó</w:t>
            </w:r>
          </w:p>
        </w:tc>
        <w:tc>
          <w:tcPr>
            <w:tcW w:type="dxa" w:w="65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Aprobó</w:t>
            </w:r>
          </w:p>
        </w:tc>
        <w:tc>
          <w:tcPr>
            <w:tcW w:type="dxa" w:w="6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 Y CARGO]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4"/>
          <w:insideV w:val="single" w:color="BF8F00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3E3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70" w:line="268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CÓMO SE USA ESTE DOCUMENTO</w:t>
            </w:r>
          </w:p>
          <w:p>
            <w:pPr>
              <w:spacing w:after="0" w:before="0" w:line="268"/>
              <w:jc w:val="both"/>
            </w:pPr>
            <w:r>
              <w:rPr>
                <w:sz w:val="19"/>
                <w:szCs w:val="19"/>
              </w:rPr>
              <w:t xml:space="preserve">Este es un procedimiento base, listo para adoptar. Todo lo que aparece </w:t>
            </w:r>
            <w:r>
              <w:rPr>
                <w:b/>
                <w:bCs/>
                <w:sz w:val="19"/>
                <w:szCs w:val="19"/>
              </w:rPr>
              <w:t xml:space="preserve">entre corchetes y subrayado</w:t>
            </w:r>
            <w:r>
              <w:rPr>
                <w:sz w:val="19"/>
                <w:szCs w:val="19"/>
              </w:rPr>
              <w:t xml:space="preserve"> son los datos de su empresa y de su obra: reemplácelos antes de aprobarlo y el documento queda suyo.</w:t>
            </w:r>
          </w:p>
          <w:p>
            <w:pPr>
              <w:spacing w:after="0" w:before="70" w:line="268"/>
              <w:jc w:val="both"/>
            </w:pPr>
            <w:r>
              <w:rPr>
                <w:sz w:val="19"/>
                <w:szCs w:val="19"/>
              </w:rPr>
              <w:t xml:space="preserve">Con seis reemplazos (Ctrl+L en Word) queda casi completo: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[RAZÓN SOCIAL]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[NÚMERO DE RUC]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[DIRECCIÓN FISCAL]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[NOMBRE DEL PROYECTO U OBRA]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[CLIENTE O PROPIETARIO]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9A5500"/>
                <w:sz w:val="19"/>
                <w:szCs w:val="19"/>
                <w:u w:val="single"/>
              </w:rPr>
              <w:t xml:space="preserve">[SIGLA]</w:t>
            </w:r>
            <w:r>
              <w:rPr>
                <w:sz w:val="19"/>
                <w:szCs w:val="19"/>
              </w:rPr>
              <w:t xml:space="preserve">, que son las iniciales con las que codifica sus documentos. Los demás corchetes son decisiones que solo usted puede tomar: plazos, cargos, metas y su propia escala.</w:t>
            </w:r>
          </w:p>
          <w:p>
            <w:pPr>
              <w:spacing w:after="0" w:before="70" w:line="268"/>
              <w:jc w:val="both"/>
            </w:pPr>
            <w:r>
              <w:rPr>
                <w:sz w:val="19"/>
                <w:szCs w:val="19"/>
              </w:rPr>
              <w:t xml:space="preserve">Los recuadros </w:t>
            </w:r>
            <w:r>
              <w:rPr>
                <w:b/>
                <w:bCs/>
                <w:sz w:val="19"/>
                <w:szCs w:val="19"/>
              </w:rPr>
              <w:t xml:space="preserve">azules</w:t>
            </w:r>
            <w:r>
              <w:rPr>
                <w:sz w:val="19"/>
                <w:szCs w:val="19"/>
              </w:rPr>
              <w:t xml:space="preserve"> describen lo que hace y exige el aplicativo OBRASST: eso no hay que inventarlo, ya funciona así. Los recuadros </w:t>
            </w:r>
            <w:r>
              <w:rPr>
                <w:b/>
                <w:bCs/>
                <w:sz w:val="19"/>
                <w:szCs w:val="19"/>
              </w:rPr>
              <w:t xml:space="preserve">anaranjados</w:t>
            </w:r>
            <w:r>
              <w:rPr>
                <w:sz w:val="19"/>
                <w:szCs w:val="19"/>
              </w:rPr>
              <w:t xml:space="preserve"> señalan lo que la empresa debe resolver fuera del aplicativo.</w:t>
            </w:r>
          </w:p>
          <w:p>
            <w:pPr>
              <w:spacing w:after="0" w:before="70" w:line="268"/>
              <w:jc w:val="both"/>
            </w:pPr>
            <w:r>
              <w:rPr>
                <w:sz w:val="19"/>
                <w:szCs w:val="19"/>
              </w:rPr>
              <w:t xml:space="preserve">Revise la base legal del capítulo 3: se incluyó la del sector construcción. Si su actividad es minería, hidrocarburos o industria, cambie o agregue la norma sectorial que le corresponde.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r>
        <w:br w:type="pag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1. OBJETIVO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Establecer cómo </w:t>
      </w:r>
      <w:r>
        <w:rPr>
          <w:b/>
          <w:bCs/>
          <w:color w:val="9A5500"/>
          <w:sz w:val="20"/>
          <w:szCs w:val="20"/>
          <w:u w:val="single"/>
        </w:rPr>
        <w:t xml:space="preserve">[RAZÓN SOCIAL]</w:t>
      </w:r>
      <w:r>
        <w:rPr>
          <w:sz w:val="20"/>
          <w:szCs w:val="20"/>
        </w:rPr>
        <w:t xml:space="preserve"> obtiene, registra, usa, protege y deja de usar el grupo sanguíneo de su personal, de modo que esté disponible en el momento de una emergencia —en la credencial del trabajador y en el sticker de su casco— solo cuando el propio trabajador lo autorizó por escrito, y que pueda retirar esa autorización cuando quiera, utilizando el aplicativo OBRASST.</w:t>
      </w:r>
    </w:p>
    <w:p>
      <w:pPr>
        <w:keepNext/>
        <w:spacing w:after="50" w:before="170" w:line="276"/>
      </w:pPr>
      <w:r>
        <w:rPr>
          <w:b/>
          <w:bCs/>
          <w:i/>
          <w:iCs/>
          <w:color w:val="5A5A5A"/>
          <w:sz w:val="20"/>
          <w:szCs w:val="20"/>
        </w:rP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Informar a cada trabajador, antes de que decida, lo que la norma de protección de datos personales manda informar: quién trata el dato, para qué, quién lo verá, dónde se guarda, cuánto tiempo y cómo revocar la autorización y ejercer sus derechos.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Contar con la autorización por escrito de cada trabajador cuyo grupo sanguíneo se registre, con su firma, la fecha y el texto que leyó.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Que la brigada y el servicio de salud sepan el grupo sanguíneo del accidentado de inmediato, en el lugar del accidente.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Atender la revocación y la negativa del trabajador sin consecuencias para él y dentro del plazo de la norma.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2. ALCANCE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Aplica a todo el personal de </w:t>
      </w:r>
      <w:r>
        <w:rPr>
          <w:b/>
          <w:bCs/>
          <w:color w:val="9A5500"/>
          <w:sz w:val="20"/>
          <w:szCs w:val="20"/>
          <w:u w:val="single"/>
        </w:rPr>
        <w:t xml:space="preserve">[RAZÓN SOCIAL]</w:t>
      </w:r>
      <w:r>
        <w:rPr>
          <w:sz w:val="20"/>
          <w:szCs w:val="20"/>
        </w:rPr>
        <w:t xml:space="preserve"> que ingrese a </w:t>
      </w:r>
      <w:r>
        <w:rPr>
          <w:b/>
          <w:bCs/>
          <w:color w:val="9A5500"/>
          <w:sz w:val="20"/>
          <w:szCs w:val="20"/>
          <w:u w:val="single"/>
        </w:rPr>
        <w:t xml:space="preserve">[NOMBRE DEL PROYECTO U OBRA]</w:t>
      </w:r>
      <w:r>
        <w:rPr>
          <w:sz w:val="20"/>
          <w:szCs w:val="20"/>
        </w:rPr>
        <w:t xml:space="preserve">, cualquiera sea su modalidad de contratación, y a quienes gestionan su información: el área de seguridad y salud en el trabajo, recursos humanos, los supervisores y la brigada de emergencia. Alcanza al registro del grupo sanguíneo en la ficha del trabajador, a su impresión en la credencial y en el sticker del casco, y a su retiro.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No aplica a los exámenes médicos ocupacionales ni a la historia clínica, que se rigen por sus propias normas y no se registran en el aplicativo.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3. BASE LEGAL Y NORMATIVA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El presente procedimiento se sustenta en la normativa nacional vigente y en los documentos internos del sistema de gestión de </w:t>
      </w:r>
      <w:r>
        <w:rPr>
          <w:b/>
          <w:bCs/>
          <w:color w:val="9A5500"/>
          <w:sz w:val="20"/>
          <w:szCs w:val="20"/>
          <w:u w:val="single"/>
        </w:rPr>
        <w:t xml:space="preserve">[RAZÓN SOCIAL]</w:t>
      </w:r>
      <w:r>
        <w:rPr>
          <w:sz w:val="20"/>
          <w:szCs w:val="20"/>
        </w:rPr>
        <w:t xml:space="preserve">.</w:t>
      </w:r>
    </w:p>
    <w:p>
      <w:pPr>
        <w:keepNext/>
        <w:spacing w:after="50" w:before="170" w:line="276"/>
      </w:pPr>
      <w:r>
        <w:rPr>
          <w:b/>
          <w:bCs/>
          <w:i/>
          <w:iCs/>
          <w:color w:val="5A5A5A"/>
          <w:sz w:val="20"/>
          <w:szCs w:val="20"/>
        </w:rPr>
        <w:t xml:space="preserve">A. Protección de datos personales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Ley N° 29733, Ley de Protección de Datos Personales, artículo 2 numeral 5 — la información relacionada a la salud es un </w:t>
      </w:r>
      <w:r>
        <w:rPr>
          <w:b/>
          <w:bCs/>
          <w:sz w:val="20"/>
          <w:szCs w:val="20"/>
        </w:rPr>
        <w:t xml:space="preserve">dato sensible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Ley N° 29733, artículo 13 numerales 5 y 6 — el consentimiento debe ser previo, informado, expreso e inequívoco; para los datos sensibles, además, </w:t>
      </w:r>
      <w:r>
        <w:rPr>
          <w:b/>
          <w:bCs/>
          <w:sz w:val="20"/>
          <w:szCs w:val="20"/>
        </w:rPr>
        <w:t xml:space="preserve">por escrito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016-2024-JUS, Reglamento de la Ley N° 29733 (publicado el 30 de noviembre de 2024, que derogó el D.S. N° 003-2013-JUS) — artículo 6: lo que se informa al titular cuando sus datos se recogen de él mismo.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016-2024-JUS, artículo 8 — para los datos sensibles, el consentimiento se otorga por escrito, mediante firma manuscrita, digital, electrónica u otro mecanismo que garantice la voluntad del titular.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016-2024-JUS, artículo 10 — el titular puede revocar su consentimiento en cualquier momento, sin justificación previa y sin efecto retroactivo; el tratamiento se adecúa en un plazo no mayor de diez (10) días; los mecanismos para revocar deben ser accesibles, sencillos, rápidos y gratuitos.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016-2024-JUS, artículo 34 numeral 1 — el incidente de seguridad que involucre datos sensibles se notifica a la Autoridad Nacional de Protección de Datos Personales como máximo dentro de las 48 horas de conocido.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016-2024-JUS, artículo 69 — plazos para atender los derechos del titular: acceso, veinte (20) días; rectificación, cancelación u oposición, diez (10) días. Los días son hábiles (artículo III, numeral 8).</w:t>
      </w:r>
    </w:p>
    <w:p>
      <w:pPr>
        <w:keepNext/>
        <w:spacing w:after="50" w:before="170" w:line="276"/>
      </w:pPr>
      <w:r>
        <w:rPr>
          <w:b/>
          <w:bCs/>
          <w:i/>
          <w:iCs/>
          <w:color w:val="5A5A5A"/>
          <w:sz w:val="20"/>
          <w:szCs w:val="20"/>
        </w:rPr>
        <w:t xml:space="preserve">B. Seguridad y salud en el trabajo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Ley N° 29783, Ley de Seguridad y Salud en el Trabajo, y su Reglamento, D.S. N° 005-2012-TR, en lo que corresponde a la preparación y respuesta ante emergencias y los primeros auxilios.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D.S. N° 011-2019-TR, Reglamento de Seguridad y Salud en el Trabajo para el Sector Construcción.</w:t>
      </w:r>
    </w:p>
    <w:p>
      <w:pPr>
        <w:keepNext/>
        <w:spacing w:after="50" w:before="170" w:line="276"/>
      </w:pPr>
      <w:r>
        <w:rPr>
          <w:b/>
          <w:bCs/>
          <w:i/>
          <w:iCs/>
          <w:color w:val="5A5A5A"/>
          <w:sz w:val="20"/>
          <w:szCs w:val="20"/>
        </w:rPr>
        <w:t xml:space="preserve">C. Documentos internos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b/>
          <w:bCs/>
          <w:color w:val="9A5500"/>
          <w:sz w:val="20"/>
          <w:szCs w:val="20"/>
          <w:u w:val="single"/>
        </w:rPr>
        <w:t xml:space="preserve">[SIGLA]</w:t>
      </w:r>
      <w:r>
        <w:rPr>
          <w:sz w:val="20"/>
          <w:szCs w:val="20"/>
        </w:rPr>
        <w:t xml:space="preserve">-SSOMA-PR-07 — Procedimiento de registro de personal, emisión de credenciales y control de acceso por QR.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Plan de respuesta ante emergencias de </w:t>
      </w:r>
      <w:r>
        <w:rPr>
          <w:b/>
          <w:bCs/>
          <w:color w:val="9A5500"/>
          <w:sz w:val="20"/>
          <w:szCs w:val="20"/>
          <w:u w:val="single"/>
        </w:rPr>
        <w:t xml:space="preserve">[NOMBRE DEL PROYECTO U OBRA]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Política de privacidad del aplicativo OBRASST (versión vigente), en la que la empresa figura como responsable del tratamiento y Descarga Nomás como encargado.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4"/>
          <w:insideV w:val="single" w:color="BF8F00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3E3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70" w:line="268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ES VOLUNTARIO</w:t>
            </w:r>
          </w:p>
          <w:p>
            <w:pPr>
              <w:spacing w:after="0" w:before="0" w:line="268"/>
              <w:jc w:val="both"/>
            </w:pPr>
            <w:r>
              <w:rPr>
                <w:sz w:val="19"/>
                <w:szCs w:val="19"/>
              </w:rPr>
              <w:t xml:space="preserve">Ninguna norma obliga a registrar el grupo sanguíneo del trabajador. Darlo es su decisión: </w:t>
            </w:r>
            <w:r>
              <w:rPr>
                <w:b/>
                <w:bCs/>
                <w:sz w:val="19"/>
                <w:szCs w:val="19"/>
              </w:rPr>
              <w:t xml:space="preserve">no puede condicionar su contratación, su ingreso a la obra, su credencial ni ningún otro derecho</w:t>
            </w:r>
            <w:r>
              <w:rPr>
                <w:sz w:val="19"/>
                <w:szCs w:val="19"/>
              </w:rPr>
              <w:t xml:space="preserve">. Si no autoriza, su grupo no se registra ni se imprime, y en esos lugares dice «sin dato».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4. DEFINICIONES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9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Dato sensible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Dato personal cuyo uso indebido puede afectar gravemente a su titular. La información relativa a la salud —entre ella el grupo sanguíneo— lo es.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Titular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El trabajador al que pertenece el dato.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Responsable del tratamiento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[RAZÓN SOCIAL]</w:t>
            </w:r>
            <w:r>
              <w:rPr>
                <w:color w:val="1A1A1A"/>
                <w:sz w:val="18"/>
                <w:szCs w:val="18"/>
              </w:rPr>
              <w:t xml:space="preserve">: decide para qué se usa el dato y cómo, y responde por él.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Encargado del tratamiento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Descarga Nomás, que hace OBRASST: guarda y procesa los datos por cuenta de la empresa, siguiendo sus instrucciones, en servidores de Supabase ubicados en São Paulo, Brasil.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Autorización (consentimiento)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La decisión del trabajador de permitir que su grupo sanguíneo se registre y se use para lo que dice el texto que leyó. Para este dato, siempre por escrito y con su firma.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Revocación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El retiro de esa autorización. Puede hacerla en cualquier momento, sin dar razones y sin costo.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Texto de la autorización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El que el trabajador lee antes de decidir, con su versión (por ejemplo, GS-1). Es el mismo en el celular, en la pantalla y en el formato impreso.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5. RESPONSABILIDADES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9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Gerencia / empleador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Es el responsable del tratamiento. Aprueba este procedimiento, mantiene actualizados la razón social y el domicilio de la empresa en el aplicativo —van en el texto que firma el trabajador— y provee los medios para cumplirlo.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Jefe o supervisor SSOMA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Pide la autorización, la registra, custodia los formatos firmados en papel, atiende las revocaciones dentro del plazo, pone al día las credenciales y hace recoger los stickers y carnés que ya no corresponden.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Recursos humanos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Informa este procedimiento en el ingreso del trabajador y deriva al área SSOMA las revocaciones y solicitudes que reciba.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Supervisor de frente / capataz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Puede ofrecer al trabajador firmar en su pantalla. No exige la autorización ni la condiciona a nada.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Brigada de emergencia</w:t>
            </w:r>
          </w:p>
        </w:tc>
        <w:tc>
          <w:tcPr>
            <w:tcW w:type="dxa" w:w="69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Usa el grupo sanguíneo solo para atender una emergencia y no lo comparte con nadie ajeno a ella.</w:t>
            </w:r>
          </w:p>
        </w:tc>
      </w:tr>
      <w:tr>
        <w:trPr>
          <w:cantSplit/>
        </w:trPr>
        <w:tc>
          <w:tcPr>
            <w:tcW w:type="dxa" w:w="2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Trabajador</w:t>
            </w:r>
          </w:p>
        </w:tc>
        <w:tc>
          <w:tcPr>
            <w:tcW w:type="dxa" w:w="69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Decide si autoriza o no; si autoriza, declara su grupo sanguíneo tal como lo conoce; puede revocar cuando quiera.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6. LA INFORMACIÓN AL TRABAJADOR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Antes de decidir, el trabajador lee el texto de la autorización. Con palabras simples, dice lo que manda informar el artículo 6 del Reglamento de la Ley N° 29733: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Quién es el responsable —</w:t>
      </w:r>
      <w:r>
        <w:rPr>
          <w:b/>
          <w:bCs/>
          <w:color w:val="9A5500"/>
          <w:sz w:val="20"/>
          <w:szCs w:val="20"/>
          <w:u w:val="single"/>
        </w:rPr>
        <w:t xml:space="preserve">[RAZÓN SOCIAL]</w:t>
      </w:r>
      <w:r>
        <w:rPr>
          <w:sz w:val="20"/>
          <w:szCs w:val="20"/>
        </w:rPr>
        <w:t xml:space="preserve">, su RUC y su domicilio— y dónde puede revocar o ejercer sus derechos.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Para qué: que la brigada, quien le dé los primeros auxilios y el servicio de salud sepan su grupo sanguíneo de inmediato si sufre un accidente o una emergencia.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Quién lo verá: el área de seguridad y salud en el trabajo, la brigada, el servicio de salud que lo atienda y cualquier persona que mire su casco o escanee su QR.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Dónde se guarda: en el banco de datos de personal de la empresa, que se lleva con el aplicativo OBRASST, en servidores de Supabase en São Paulo, Brasil (flujo transfronterizo). No se entrega a otras empresas.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Que es voluntario, y qué pasa si autoriza y si no autoriza.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Que no se usa para decisiones automáticas ni para hacer perfiles.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Cuánto se conserva: mientras trabaje en la empresa o hasta que revoque, lo que ocurra primero.</w:t>
      </w:r>
    </w:p>
    <w:p>
      <w:pPr>
        <w:pStyle w:val="ListParagraph"/>
        <w:numPr>
          <w:ilvl w:val="0"/>
          <w:numId w:val="3"/>
        </w:numPr>
        <w:spacing w:after="40" w:before="60" w:line="268"/>
        <w:jc w:val="both"/>
      </w:pPr>
      <w:r>
        <w:rPr>
          <w:sz w:val="20"/>
          <w:szCs w:val="20"/>
        </w:rPr>
        <w:t xml:space="preserve">Cómo revocar y cómo pedir acceso, rectificación, cancelación u oposición, y que puede reclamar ante la Autoridad Nacional de Protección de Datos Personales.</w:t>
      </w:r>
    </w:p>
    <w:tbl>
      <w:tblPr>
        <w:tblW w:type="dxa" w:w="9638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70" w:line="268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EL MISMO TEXTO EN LOS TRES CAMINOS</w:t>
            </w:r>
          </w:p>
          <w:p>
            <w:pPr>
              <w:spacing w:after="0" w:before="0" w:line="268"/>
              <w:jc w:val="both"/>
            </w:pPr>
            <w:r>
              <w:rPr>
                <w:sz w:val="19"/>
                <w:szCs w:val="19"/>
              </w:rPr>
              <w:t xml:space="preserve">El aplicativo arma el texto con los datos de la empresa y del trabajador, y guarda con cada firma la </w:t>
            </w:r>
            <w:r>
              <w:rPr>
                <w:b/>
                <w:bCs/>
                <w:sz w:val="19"/>
                <w:szCs w:val="19"/>
              </w:rPr>
              <w:t xml:space="preserve">versión del texto</w:t>
            </w:r>
            <w:r>
              <w:rPr>
                <w:sz w:val="19"/>
                <w:szCs w:val="19"/>
              </w:rPr>
              <w:t xml:space="preserve"> y una </w:t>
            </w:r>
            <w:r>
              <w:rPr>
                <w:b/>
                <w:bCs/>
                <w:sz w:val="19"/>
                <w:szCs w:val="19"/>
              </w:rPr>
              <w:t xml:space="preserve">huella</w:t>
            </w:r>
            <w:r>
              <w:rPr>
                <w:sz w:val="19"/>
                <w:szCs w:val="19"/>
              </w:rPr>
              <w:t xml:space="preserve"> que cambia si el texto cambia. El formato impreso dice lo mismo. Si la empresa todavía no cargó su razón social y su domicilio, el aplicativo no deja pedir la autorización.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7. CÓMO SE AUTORIZA</w:t>
      </w:r>
    </w:p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1  </w:t>
            </w:r>
            <w:r>
              <w:rPr>
                <w:b/>
                <w:bCs/>
                <w:sz w:val="20"/>
                <w:szCs w:val="20"/>
              </w:rPr>
              <w:t xml:space="preserve">En su celular.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Desde la ficha del trabajador o desde «Autorizaciones», el supervisor toca «En su app (se le pide)», o pide a todos los que faltan de una vez. Al trabajador le sale en su obra: lee el texto, marca su grupo, firma con el dedo y toca «Autorizo» o «No autorizo». Entra con su usuario y su PIN, así que la firma queda identificada. Si no hay señal, se envía apenas vuelva.</w:t>
            </w:r>
          </w:p>
        </w:tc>
      </w:tr>
    </w:tbl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2  </w:t>
            </w:r>
            <w:r>
              <w:rPr>
                <w:b/>
                <w:bCs/>
                <w:sz w:val="20"/>
                <w:szCs w:val="20"/>
              </w:rPr>
              <w:t xml:space="preserve">En la pantalla del supervisor.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El supervisor toca «Aquí, en este celular» (o «Aquí, en esta pantalla» en la web) y le pasa el equipo: el trabajador lee el texto, marca su grupo y firma. El aplicativo registra quién estaba a cargo.</w:t>
            </w:r>
          </w:p>
        </w:tc>
      </w:tr>
    </w:tbl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3  </w:t>
            </w:r>
            <w:r>
              <w:rPr>
                <w:b/>
                <w:bCs/>
                <w:sz w:val="20"/>
                <w:szCs w:val="20"/>
              </w:rPr>
              <w:t xml:space="preserve">En papel.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Se imprime el formato (Anexo 1), en blanco o con sus datos. El trabajador marca su grupo, «Sí autorizo» o «No autorizo», firma y pone la fecha. El supervisor registra en el aplicativo lo que marcó, con la foto o el escaneo del formato si quiere, y archiva el original.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4"/>
          <w:insideV w:val="single" w:color="BF8F00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3E3" w:color="auto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spacing w:after="70" w:line="268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EL GRUPO LO DECLARA EL TRABAJADOR</w:t>
            </w:r>
          </w:p>
          <w:p>
            <w:pPr>
              <w:spacing w:after="0" w:before="0" w:line="268"/>
              <w:jc w:val="both"/>
            </w:pPr>
            <w:r>
              <w:rPr>
                <w:sz w:val="19"/>
                <w:szCs w:val="19"/>
              </w:rPr>
              <w:t xml:space="preserve">Se registra el grupo que el trabajador declara (por su carné de donante, un análisis o su examen médico). No se deduce, no se copia de otra fuente y no se le exige un análisis. Si no lo sabe, no autoriza todavía: lo hace cuando lo averigüe.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8. DÓNDE SE USA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En su </w:t>
      </w:r>
      <w:r>
        <w:rPr>
          <w:b/>
          <w:bCs/>
          <w:sz w:val="20"/>
          <w:szCs w:val="20"/>
        </w:rPr>
        <w:t xml:space="preserve">ficha</w:t>
      </w:r>
      <w:r>
        <w:rPr>
          <w:sz w:val="20"/>
          <w:szCs w:val="20"/>
        </w:rPr>
        <w:t xml:space="preserve"> de personal: el grupo lo pone su autorización y no se cambia a mano. Para corregirlo, el trabajador firma una autorización nueva.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En su </w:t>
      </w:r>
      <w:r>
        <w:rPr>
          <w:b/>
          <w:bCs/>
          <w:sz w:val="20"/>
          <w:szCs w:val="20"/>
        </w:rPr>
        <w:t xml:space="preserve">credencial</w:t>
      </w:r>
      <w:r>
        <w:rPr>
          <w:sz w:val="20"/>
          <w:szCs w:val="20"/>
        </w:rPr>
        <w:t xml:space="preserve">: dentro del código QR y en el carné impreso. Al cambiar su autorización la credencial se vuelve a emitir: el QR cambia y el carné anterior deja de valer.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En el </w:t>
      </w:r>
      <w:r>
        <w:rPr>
          <w:b/>
          <w:bCs/>
          <w:sz w:val="20"/>
          <w:szCs w:val="20"/>
        </w:rPr>
        <w:t xml:space="preserve">sticker de su casco</w:t>
      </w:r>
      <w:r>
        <w:rPr>
          <w:sz w:val="20"/>
          <w:szCs w:val="20"/>
        </w:rPr>
        <w:t xml:space="preserve">: se imprime solo si autorizó y no revocó. Si no, dice «sin dato».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 xml:space="preserve">escanear su QR</w:t>
      </w:r>
      <w:r>
        <w:rPr>
          <w:sz w:val="20"/>
          <w:szCs w:val="20"/>
        </w:rPr>
        <w:t xml:space="preserve">: lo ve quien lo escanea, para atenderlo en una emergencia.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9. REVOCACIÓN Y NEGATIVA</w:t>
      </w:r>
    </w:p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1  </w:t>
            </w:r>
            <w:r>
              <w:rPr>
                <w:b/>
                <w:bCs/>
                <w:sz w:val="20"/>
                <w:szCs w:val="20"/>
              </w:rPr>
              <w:t xml:space="preserve">El trabajador revoca.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Desde su app («Revocar mi autorización»), con la parte de revocación del formato (Anexo 1) o con cualquier escrito ante el área de seguridad y salud en el trabajo. No tiene que dar razones ni pagar nada.</w:t>
            </w:r>
          </w:p>
        </w:tc>
      </w:tr>
    </w:tbl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2  </w:t>
            </w:r>
            <w:r>
              <w:rPr>
                <w:b/>
                <w:bCs/>
                <w:sz w:val="20"/>
                <w:szCs w:val="20"/>
              </w:rPr>
              <w:t xml:space="preserve">Se registra.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Si revocó en su app, queda registrado solo. Si fue por escrito, el supervisor lo registra en el aplicativo («Registrar que la revocó») y archiva el escrito.</w:t>
            </w:r>
          </w:p>
        </w:tc>
      </w:tr>
    </w:tbl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3  </w:t>
            </w:r>
            <w:r>
              <w:rPr>
                <w:b/>
                <w:bCs/>
                <w:sz w:val="20"/>
                <w:szCs w:val="20"/>
              </w:rPr>
              <w:t xml:space="preserve">Se deja de usar.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En el mismo acto el grupo sale de su ficha. Dentro del plazo de la norma —no más de diez (10) días hábiles— el área SSOMA pone al día su credencial y hace recoger su carné y su sticker impresos.</w:t>
            </w:r>
          </w:p>
        </w:tc>
      </w:tr>
    </w:tbl>
    <w:tbl>
      <w:tblPr>
        <w:tblW w:type="dxa" w:w="9638"/>
        <w:tblBorders>
          <w:top w:val="single" w:color="2E75B6" w:sz="2"/>
          <w:left w:val="single" w:color="2E75B6" w:sz="18"/>
          <w:bottom w:val="single" w:color="2E75B6" w:sz="2"/>
          <w:right w:val="single" w:color="2E75B6" w:sz="2"/>
          <w:insideH w:val="none" w:color="auto" w:sz="0"/>
          <w:insideV w:val="none" w:color="auto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1F8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60" w:before="0" w:line="268"/>
            </w:pPr>
            <w:r>
              <w:rPr>
                <w:b/>
                <w:bCs/>
                <w:color w:val="2E75B6"/>
                <w:sz w:val="17"/>
                <w:szCs w:val="17"/>
              </w:rPr>
              <w:t xml:space="preserve">PASO 4  </w:t>
            </w:r>
            <w:r>
              <w:rPr>
                <w:b/>
                <w:bCs/>
                <w:sz w:val="20"/>
                <w:szCs w:val="20"/>
              </w:rPr>
              <w:t xml:space="preserve">Sin consecuencias.</w:t>
            </w:r>
          </w:p>
          <w:p>
            <w:pPr>
              <w:spacing w:after="0" w:before="0" w:line="264"/>
              <w:jc w:val="both"/>
            </w:pPr>
            <w:r>
              <w:rPr>
                <w:sz w:val="19"/>
                <w:szCs w:val="19"/>
              </w:rPr>
              <w:t xml:space="preserve">La revocación no tiene efecto retroactivo y no afecta su trabajo ni ningún otro registro.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Si el trabajador no autoriza, queda registrado así y no se le vuelve a pedir con el mismo texto. Puede autorizar más adelante, si cambia de opinión.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10. SEGURIDAD Y CONFIDENCIALIDAD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Acceden al registro de autorizaciones solo las cuentas de la empresa en la obra. El trabajador ve solo las suyas. Nadie puede modificar ni borrar una autorización registrada: cada paso queda en su historia.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El grupo sanguíneo no se publica en listas, murales ni grupos de mensajería, y no se entrega a terceros ajenos a la atención de una emergencia.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Los formatos firmados en papel se guardan en un archivador con llave, a cargo del área SSOMA.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Ante un incidente de seguridad que exponga este dato, el responsable lo notifica a la Autoridad Nacional de Protección de Datos Personales como máximo dentro de las 48 horas de conocido, y lo comunica a los trabajadores afectados cuando corresponda.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11. DERECHOS DEL TRABAJADOR</w:t>
      </w:r>
    </w:p>
    <w:p>
      <w:pPr>
        <w:spacing w:after="140" w:before="0" w:line="276"/>
        <w:jc w:val="both"/>
      </w:pPr>
      <w:r>
        <w:rPr>
          <w:sz w:val="20"/>
          <w:szCs w:val="20"/>
        </w:rPr>
        <w:t xml:space="preserve">El trabajador puede pedir acceso, rectificación, cancelación u oposición sobre sus datos ante </w:t>
      </w:r>
      <w:r>
        <w:rPr>
          <w:b/>
          <w:bCs/>
          <w:color w:val="9A5500"/>
          <w:sz w:val="20"/>
          <w:szCs w:val="20"/>
          <w:u w:val="single"/>
        </w:rPr>
        <w:t xml:space="preserve">[RAZÓN SOCIAL]</w:t>
      </w:r>
      <w:r>
        <w:rPr>
          <w:sz w:val="20"/>
          <w:szCs w:val="20"/>
        </w:rPr>
        <w:t xml:space="preserve">, por escrito o al correo </w:t>
      </w:r>
      <w:r>
        <w:rPr>
          <w:b/>
          <w:bCs/>
          <w:color w:val="9A5500"/>
          <w:sz w:val="20"/>
          <w:szCs w:val="20"/>
          <w:u w:val="single"/>
        </w:rPr>
        <w:t xml:space="preserve">[CORREO DEL ÁREA SSOMA]</w:t>
      </w:r>
      <w:r>
        <w:rPr>
          <w:sz w:val="20"/>
          <w:szCs w:val="20"/>
        </w:rPr>
        <w:t xml:space="preserve">. El acceso se atiende en no más de veinte (20) días hábiles y la rectificación, la cancelación o la oposición en no más de diez (10) días hábiles. Si no lo atienden, puede reclamar ante la Autoridad Nacional de Protección de Datos Personales.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12. REGISTROS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700"/>
        <w:gridCol w:w="2100"/>
        <w:gridCol w:w="2200"/>
        <w:gridCol w:w="1638"/>
      </w:tblGrid>
      <w:tr>
        <w:trPr>
          <w:cantSplit/>
          <w:tblHeader/>
        </w:trPr>
        <w:tc>
          <w:tcPr>
            <w:tcW w:type="dxa" w:w="37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21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SOPORTE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CONSERVACIÓN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Autorizaciones, negativas y revocaciones, con su texto, su huella, su firma y su fecha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Digital — aplicativo OBRASST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Jefe SSOMA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Mientras dure la relación laboral y luego como prueba de lo decidido</w:t>
            </w:r>
          </w:p>
        </w:tc>
      </w:tr>
      <w:tr>
        <w:trPr>
          <w:cantSplit/>
        </w:trPr>
        <w:tc>
          <w:tcPr>
            <w:tcW w:type="dxa" w:w="37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Formatos de autorización y escritos de revocación firmados en papel</w:t>
            </w:r>
          </w:p>
        </w:tc>
        <w:tc>
          <w:tcPr>
            <w:tcW w:type="dxa" w:w="21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Físico, con su foto en el aplicativo</w:t>
            </w:r>
          </w:p>
        </w:tc>
        <w:tc>
          <w:tcPr>
            <w:tcW w:type="dxa" w:w="22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Jefe SSOMA</w:t>
            </w:r>
          </w:p>
        </w:tc>
        <w:tc>
          <w:tcPr>
            <w:tcW w:type="dxa" w:w="16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Igual que el registro digital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Credenciales puestas al día y stickers recogidos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Digital — aplicativo OBRASST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Jefe SSOMA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Mientras dure la obra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13. METAS E INDICADORES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3600"/>
        <w:gridCol w:w="1500"/>
        <w:gridCol w:w="1638"/>
      </w:tblGrid>
      <w:tr>
        <w:trPr>
          <w:cantSplit/>
          <w:tblHeader/>
        </w:trPr>
        <w:tc>
          <w:tcPr>
            <w:tcW w:type="dxa" w:w="29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15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6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Revocaciones atendidas en plazo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Revocaciones atendidas en ≤ 10 días hábiles ÷ revocaciones recibidas × 100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Mensual</w:t>
            </w:r>
          </w:p>
        </w:tc>
      </w:tr>
      <w:tr>
        <w:trPr>
          <w:cantSplit/>
        </w:trPr>
        <w:tc>
          <w:tcPr>
            <w:tcW w:type="dxa" w:w="29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Credenciales al día con su autorización</w:t>
            </w:r>
          </w:p>
        </w:tc>
        <w:tc>
          <w:tcPr>
            <w:tcW w:type="dxa" w:w="36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Credenciales que coinciden con su autorización ÷ credenciales vigentes × 100</w:t>
            </w:r>
          </w:p>
        </w:tc>
        <w:tc>
          <w:tcPr>
            <w:tcW w:type="dxa" w:w="15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16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Mensual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Grupos sanguíneos registrados sin autorización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Fichas con grupo y sin autorización registrada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14. ANEXOS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Anexo 1 — Formato de autorización para el tratamiento del grupo sanguíneo, con la parte de revocación (lo genera el aplicativo, en blanco o con los datos del trabajador).</w:t>
      </w:r>
    </w:p>
    <w:p>
      <w:pPr>
        <w:pStyle w:val="ListParagraph"/>
        <w:numPr>
          <w:ilvl w:val="0"/>
          <w:numId w:val="1"/>
        </w:numPr>
        <w:spacing w:after="40" w:before="60" w:line="268"/>
        <w:jc w:val="both"/>
      </w:pPr>
      <w:r>
        <w:rPr>
          <w:sz w:val="20"/>
          <w:szCs w:val="20"/>
        </w:rPr>
        <w:t xml:space="preserve">Anexo 2 — Modelo de constancia de la autorización firmada en el aplicativo (lo genera el aplicativo para cada trabajador).</w:t>
      </w:r>
    </w:p>
    <w:p>
      <w:pPr>
        <w:keepNext/>
        <w:pBdr>
          <w:bottom w:val="single" w:color="1F3864" w:sz="8" w:space="6"/>
        </w:pBdr>
        <w:spacing w:after="60" w:before="340" w:line="276"/>
      </w:pPr>
      <w:r>
        <w:rPr>
          <w:b/>
          <w:bCs/>
          <w:color w:val="1F3864"/>
          <w:sz w:val="26"/>
          <w:szCs w:val="26"/>
        </w:rPr>
        <w:t xml:space="preserve">CONTROL DE CAMBIOS</w:t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200"/>
        <w:gridCol w:w="1600"/>
        <w:gridCol w:w="4438"/>
        <w:gridCol w:w="2400"/>
      </w:tblGrid>
      <w:tr>
        <w:trPr>
          <w:cantSplit/>
          <w:tblHeader/>
        </w:trPr>
        <w:tc>
          <w:tcPr>
            <w:tcW w:type="dxa" w:w="12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438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[00]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     ]</w:t>
            </w:r>
          </w:p>
        </w:tc>
        <w:tc>
          <w:tcPr>
            <w:tcW w:type="dxa" w:w="44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</w:rPr>
              <w:t xml:space="preserve">Emisión inicial del procedimiento.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               ]</w:t>
            </w:r>
          </w:p>
        </w:tc>
      </w:tr>
      <w:tr>
        <w:trPr>
          <w:cantSplit/>
        </w:trPr>
        <w:tc>
          <w:tcPr>
            <w:tcW w:type="dxa" w:w="12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]</w:t>
            </w:r>
          </w:p>
        </w:tc>
        <w:tc>
          <w:tcPr>
            <w:tcW w:type="dxa" w:w="16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     ]</w:t>
            </w:r>
          </w:p>
        </w:tc>
        <w:tc>
          <w:tcPr>
            <w:tcW w:type="dxa" w:w="4438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                                   ]</w:t>
            </w:r>
          </w:p>
        </w:tc>
        <w:tc>
          <w:tcPr>
            <w:tcW w:type="dxa" w:w="2400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                    ]</w:t>
            </w:r>
          </w:p>
        </w:tc>
      </w:tr>
    </w:tbl>
    <w:p>
      <w:pPr>
        <w:spacing w:after="200" w:before="0" w:line="276"/>
        <w:jc w:val="both"/>
      </w:pPr>
      <w:r>
        <w:t xml:space="preserve"/>
      </w:r>
    </w:p>
    <w:tbl>
      <w:tblPr>
        <w:tblW w:type="dxa" w:w="9638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tcW w:type="dxa" w:w="3213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REVISÓ</w:t>
            </w:r>
          </w:p>
        </w:tc>
        <w:tc>
          <w:tcPr>
            <w:tcW w:type="dxa" w:w="3212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0" w:before="40" w:line="25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3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[CARGO]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[FECHA]</w:t>
            </w:r>
          </w:p>
        </w:tc>
        <w:tc>
          <w:tcPr>
            <w:tcW w:type="dxa" w:w="3213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[CARGO]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[FECHA]</w:t>
            </w:r>
          </w:p>
        </w:tc>
        <w:tc>
          <w:tcPr>
            <w:tcW w:type="dxa" w:w="3212"/>
            <w:shd w:fill="F7F7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[NOMBRE]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[CARGO]</w:t>
            </w:r>
          </w:p>
          <w:p>
            <w:pPr>
              <w:spacing w:after="0" w:before="40" w:line="250"/>
              <w:jc w:val="center"/>
            </w:pPr>
            <w:r>
              <w:rPr>
                <w:color w:val="1A1A1A"/>
                <w:sz w:val="18"/>
                <w:szCs w:val="18"/>
                <w:u w:val="single"/>
              </w:rPr>
              <w:t xml:space="preserve">[FECHA]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134" w:bottom="1134" w:left="1134" w:header="68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6"/>
      </w:pBdr>
      <w:tabs>
        <w:tab w:val="right" w:pos="9638"/>
      </w:tabs>
      <w:spacing w:before="60"/>
    </w:pPr>
    <w:r>
      <w:rPr>
        <w:color w:val="5A5A5A"/>
        <w:sz w:val="15"/>
        <w:szCs w:val="15"/>
      </w:rPr>
      <w:t xml:space="preserve">Procedimiento de tratamiento del grupo sanguíneo del personal: autorización, uso y revocación</w:t>
    </w:r>
    <w:r>
      <w:rPr>
        <w:sz w:val="15"/>
        <w:szCs w:val="15"/>
      </w:rPr>
      <w:t xml:space="preserve">	</w:t>
    </w:r>
    <w:r>
      <w:rPr>
        <w:color w:val="5A5A5A"/>
        <w:sz w:val="15"/>
        <w:szCs w:val="15"/>
      </w:rPr>
      <w:t xml:space="preserve">Página </w:t>
    </w:r>
    <w:r>
      <w:rPr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5"/>
        <w:szCs w:val="15"/>
      </w:rPr>
      <w:t xml:space="preserve"> de </w:t>
    </w:r>
    <w:r>
      <w:rPr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6"/>
      </w:pBdr>
      <w:tabs>
        <w:tab w:val="right" w:pos="9638"/>
      </w:tabs>
      <w:spacing w:after="60"/>
    </w:pPr>
    <w:r>
      <w:rPr>
        <w:b/>
        <w:bCs/>
        <w:color w:val="5A5A5A"/>
        <w:sz w:val="15"/>
        <w:szCs w:val="15"/>
        <w:u w:val="single"/>
      </w:rPr>
      <w:t xml:space="preserve">[RAZÓN SOCIAL]</w:t>
    </w:r>
    <w:r>
      <w:rPr>
        <w:sz w:val="15"/>
        <w:szCs w:val="15"/>
      </w:rPr>
      <w:t xml:space="preserve">	</w:t>
    </w:r>
    <w:r>
      <w:rPr>
        <w:b/>
        <w:bCs/>
        <w:color w:val="5A5A5A"/>
        <w:sz w:val="15"/>
        <w:szCs w:val="15"/>
        <w:u w:val="single"/>
      </w:rPr>
      <w:t xml:space="preserve">[SIGLA]</w:t>
    </w:r>
    <w:r>
      <w:rPr>
        <w:color w:val="5A5A5A"/>
        <w:sz w:val="15"/>
        <w:szCs w:val="15"/>
      </w:rPr>
      <w:t xml:space="preserve">-SSOMA-PR-15  ·  Versión </w:t>
    </w:r>
    <w:r>
      <w:rPr>
        <w:b/>
        <w:bCs/>
        <w:color w:val="5A5A5A"/>
        <w:sz w:val="15"/>
        <w:szCs w:val="15"/>
        <w:u w:val="single"/>
      </w:rPr>
      <w:t xml:space="preserve">[00]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tratamiento del grupo sanguíneo del personal: autorización, uso y revocación</dc:title>
  <dc:creator>OBRASST</dc:creator>
  <dc:description>Procedimiento base OBRASST — campos de empresa y proyecto abiertos.</dc:description>
  <cp:lastModifiedBy>Un-named</cp:lastModifiedBy>
  <cp:revision>1</cp:revision>
  <dcterms:created xsi:type="dcterms:W3CDTF">2026-09-11T13:32:47.487Z</dcterms:created>
  <dcterms:modified xsi:type="dcterms:W3CDTF">2026-09-11T13:32:47.487Z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