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73E8"/>
          <w:sz w:val="20"/>
          <w:szCs w:val="20"/>
        </w:rPr>
        <w:t xml:space="preserve">PROPUESTA TÉCNICA</w:t>
      </w:r>
    </w:p>
    <w:p>
      <w:pPr>
        <w:spacing w:after="120"/>
      </w:pPr>
      <w:r>
        <w:rPr>
          <w:b/>
          <w:bCs/>
          <w:color w:val="0B2545"/>
          <w:sz w:val="40"/>
          <w:szCs w:val="40"/>
        </w:rPr>
        <w:t xml:space="preserve">Resumen Ejecutivo — Arquitectura Analítica en Google Cloud Platform</w:t>
      </w:r>
    </w:p>
    <w:p>
      <w:pPr>
        <w:spacing w:after="300"/>
      </w:pPr>
      <w:r>
        <w:rPr>
          <w:i/>
          <w:iCs/>
          <w:color w:val="5F6368"/>
          <w:sz w:val="22"/>
          <w:szCs w:val="22"/>
        </w:rPr>
        <w:t xml:space="preserve">Extracción, transformación y explotación analítica de los datos del Sistema de Aduanas mediante GCP, Dataform y Power BI</w:t>
      </w:r>
    </w:p>
    <w:p>
      <w:pPr>
        <w:pBdr>
          <w:bottom w:val="single" w:color="1A73E8" w:sz="12" w:space="4"/>
        </w:pBdr>
        <w:spacing w:after="300"/>
      </w:pPr>
    </w:p>
    <w:p>
      <w:pPr>
        <w:pStyle w:val="Heading1"/>
        <w:pBdr>
          <w:bottom w:val="single" w:color="1A73E8" w:sz="8" w:space="4"/>
        </w:pBdr>
        <w:spacing w:after="160" w:before="360"/>
      </w:pPr>
      <w:r>
        <w:rPr>
          <w:b/>
          <w:bCs/>
          <w:color w:val="0B2545"/>
          <w:sz w:val="28"/>
          <w:szCs w:val="28"/>
        </w:rPr>
        <w:t xml:space="preserve">1. Introducción</w:t>
      </w:r>
    </w:p>
    <w:p>
      <w:pPr>
        <w:spacing w:after="160" w:line="276"/>
        <w:jc w:val="both"/>
      </w:pPr>
      <w:r>
        <w:rPr>
          <w:color w:val="222222"/>
          <w:sz w:val="21"/>
          <w:szCs w:val="21"/>
        </w:rPr>
        <w:t xml:space="preserve">El Sistema de Aduanas opera actualmente sobre una base de datos Oracle On-Premise, la cual concentra la información transaccional del negocio. A la fecha, esta información no cuenta con un canal estructurado que permita su explotación analítica, su consumo por herramientas de inteligencia de negocio ni su integración con un ecosistema de agentes basados en inteligencia artificial.</w:t>
      </w:r>
    </w:p>
    <w:p>
      <w:pPr>
        <w:spacing w:after="160" w:line="276"/>
        <w:jc w:val="both"/>
      </w:pPr>
      <w:r>
        <w:rPr>
          <w:color w:val="222222"/>
          <w:sz w:val="21"/>
          <w:szCs w:val="21"/>
        </w:rPr>
        <w:t xml:space="preserve">Ante esta necesidad, se propone el diseño e implementación de una arquitectura de datos en Google Cloud Platform (GCP) que permita extraer la información de forma seguras y automatizada, transformarla bajo reglas de negocio y buenas prácticas de modelado, y ponerla a disposición de Power BI y de los agentes analíticos que la organización planea incorporar.</w:t>
      </w:r>
    </w:p>
    <w:p>
      <w:pPr>
        <w:spacing w:after="160" w:line="276"/>
        <w:jc w:val="both"/>
      </w:pPr>
      <w:r>
        <w:rPr>
          <w:color w:val="222222"/>
          <w:sz w:val="21"/>
          <w:szCs w:val="21"/>
        </w:rPr>
        <w:t xml:space="preserve">Este documento amplía el resumen ejecutivo inicial, incorporando el detalle de objetivos, alcance, justificación técnica de cada componente, seguridad, riesgos y un cronograma preliminar de implementación, con el fin de dejar formalmente documentada la propuesta.</w:t>
      </w:r>
    </w:p>
    <w:p>
      <w:pPr>
        <w:pStyle w:val="Heading1"/>
        <w:pBdr>
          <w:bottom w:val="single" w:color="1A73E8" w:sz="8" w:space="4"/>
        </w:pBdr>
        <w:spacing w:after="160" w:before="360"/>
      </w:pPr>
      <w:r>
        <w:rPr>
          <w:b/>
          <w:bCs/>
          <w:color w:val="0B2545"/>
          <w:sz w:val="28"/>
          <w:szCs w:val="28"/>
        </w:rPr>
        <w:t xml:space="preserve">2. Objetivos</w:t>
      </w:r>
    </w:p>
    <w:p>
      <w:pPr>
        <w:pStyle w:val="Heading2"/>
        <w:spacing w:after="120" w:before="240"/>
      </w:pPr>
      <w:r>
        <w:rPr>
          <w:b/>
          <w:bCs/>
          <w:color w:val="1A73E8"/>
          <w:sz w:val="24"/>
          <w:szCs w:val="24"/>
        </w:rPr>
        <w:t xml:space="preserve">2.1 Objetivo general</w:t>
      </w:r>
    </w:p>
    <w:p>
      <w:pPr>
        <w:spacing w:after="160" w:line="276"/>
        <w:jc w:val="both"/>
      </w:pPr>
      <w:r>
        <w:rPr>
          <w:color w:val="222222"/>
          <w:sz w:val="21"/>
          <w:szCs w:val="21"/>
        </w:rPr>
        <w:t xml:space="preserve">Diseñar e implementar una arquitectura de datos en GCP que permita extraer, transformar y explotar analíticamente la información del Sistema de Aduanas, garantizando seguridad, escalabilidad y una base sólida para el consumo por parte de Power BI y del ecosistema de agentes de la organización.</w:t>
      </w:r>
    </w:p>
    <w:p>
      <w:pPr>
        <w:pStyle w:val="Heading2"/>
        <w:spacing w:after="120" w:before="240"/>
      </w:pPr>
      <w:r>
        <w:rPr>
          <w:b/>
          <w:bCs/>
          <w:color w:val="1A73E8"/>
          <w:sz w:val="24"/>
          <w:szCs w:val="24"/>
        </w:rPr>
        <w:t xml:space="preserve">2.2 Objetivos específicos</w:t>
      </w:r>
    </w:p>
    <w:p>
      <w:pPr>
        <w:pStyle w:val="ListParagraph"/>
        <w:numPr>
          <w:ilvl w:val="0"/>
          <w:numId w:val="2"/>
        </w:numPr>
        <w:spacing w:after="80" w:line="276"/>
      </w:pPr>
      <w:r>
        <w:rPr>
          <w:color w:val="222222"/>
          <w:sz w:val="21"/>
          <w:szCs w:val="21"/>
        </w:rPr>
        <w:t xml:space="preserve">Establecer un mecanismo de extracción incremental y automatizado desde Oracle On-Premise hacia GCP, sin exponer la base de datos directamente a internet.</w:t>
      </w:r>
    </w:p>
    <w:p>
      <w:pPr>
        <w:pStyle w:val="ListParagraph"/>
        <w:numPr>
          <w:ilvl w:val="0"/>
          <w:numId w:val="2"/>
        </w:numPr>
        <w:spacing w:after="80" w:line="276"/>
      </w:pPr>
      <w:r>
        <w:rPr>
          <w:color w:val="222222"/>
          <w:sz w:val="21"/>
          <w:szCs w:val="21"/>
        </w:rPr>
        <w:t xml:space="preserve">Disponer de una zona RAW en BigQuery que preserve la información fuente sin transformar, como respaldo y trazabilidad.</w:t>
      </w:r>
    </w:p>
    <w:p>
      <w:pPr>
        <w:pStyle w:val="ListParagraph"/>
        <w:numPr>
          <w:ilvl w:val="0"/>
          <w:numId w:val="2"/>
        </w:numPr>
        <w:spacing w:after="80" w:line="276"/>
      </w:pPr>
      <w:r>
        <w:rPr>
          <w:color w:val="222222"/>
          <w:sz w:val="21"/>
          <w:szCs w:val="21"/>
        </w:rPr>
        <w:t xml:space="preserve">Construir, mediante Dataform, un modelo analítico dimensional (Kimball) que facilite el consumo eficiente por parte de Power BI.</w:t>
      </w:r>
    </w:p>
    <w:p>
      <w:pPr>
        <w:pStyle w:val="ListParagraph"/>
        <w:numPr>
          <w:ilvl w:val="0"/>
          <w:numId w:val="2"/>
        </w:numPr>
        <w:spacing w:after="80" w:line="276"/>
      </w:pPr>
      <w:r>
        <w:rPr>
          <w:color w:val="222222"/>
          <w:sz w:val="21"/>
          <w:szCs w:val="21"/>
        </w:rPr>
        <w:t xml:space="preserve">Garantizar la seguridad de la información en tránsito y en reposo, así como el control de acceso mediante IAM y Secret Manager.</w:t>
      </w:r>
    </w:p>
    <w:p>
      <w:pPr>
        <w:pStyle w:val="ListParagraph"/>
        <w:numPr>
          <w:ilvl w:val="0"/>
          <w:numId w:val="2"/>
        </w:numPr>
        <w:spacing w:after="80" w:line="276"/>
      </w:pPr>
      <w:r>
        <w:rPr>
          <w:color w:val="222222"/>
          <w:sz w:val="21"/>
          <w:szCs w:val="21"/>
        </w:rPr>
        <w:t xml:space="preserve">Sentar las bases técnicas para una eventual evolución hacia una arquitectura de captura de datos en tiempo real (CDC), sin necesidad de rediseñar la solución desde cero.</w:t>
      </w:r>
    </w:p>
    <w:p>
      <w:pPr>
        <w:pStyle w:val="ListParagraph"/>
        <w:numPr>
          <w:ilvl w:val="0"/>
          <w:numId w:val="2"/>
        </w:numPr>
        <w:spacing w:after="80" w:line="276"/>
      </w:pPr>
      <w:r>
        <w:rPr>
          <w:color w:val="222222"/>
          <w:sz w:val="21"/>
          <w:szCs w:val="21"/>
        </w:rPr>
        <w:t xml:space="preserve">Habilitar el consumo estructurado de la información por parte del ecosistema de agentes de IA de la organización.</w:t>
      </w:r>
    </w:p>
    <w:p>
      <w:pPr>
        <w:pStyle w:val="Heading1"/>
        <w:pBdr>
          <w:bottom w:val="single" w:color="1A73E8" w:sz="8" w:space="4"/>
        </w:pBdr>
        <w:spacing w:after="160" w:before="360"/>
      </w:pPr>
      <w:r>
        <w:rPr>
          <w:b/>
          <w:bCs/>
          <w:color w:val="0B2545"/>
          <w:sz w:val="28"/>
          <w:szCs w:val="28"/>
        </w:rPr>
        <w:t xml:space="preserve">3. Alcance del proyecto</w:t>
      </w:r>
    </w:p>
    <w:p>
      <w:pPr>
        <w:pStyle w:val="Heading2"/>
        <w:spacing w:after="120" w:before="240"/>
      </w:pPr>
      <w:r>
        <w:rPr>
          <w:b/>
          <w:bCs/>
          <w:color w:val="1A73E8"/>
          <w:sz w:val="24"/>
          <w:szCs w:val="24"/>
        </w:rPr>
        <w:t xml:space="preserve">3.1 Incluye</w:t>
      </w:r>
    </w:p>
    <w:p>
      <w:pPr>
        <w:pStyle w:val="ListParagraph"/>
        <w:numPr>
          <w:ilvl w:val="0"/>
          <w:numId w:val="2"/>
        </w:numPr>
        <w:spacing w:after="80" w:line="276"/>
      </w:pPr>
      <w:r>
        <w:rPr>
          <w:color w:val="222222"/>
          <w:sz w:val="21"/>
          <w:szCs w:val="21"/>
        </w:rPr>
        <w:t xml:space="preserve">Extracción incremental de 5 tablas fuente del Sistema de Aduanas (Oracle), con un volumen aproximado de 1,500 registros diarios.</w:t>
      </w:r>
    </w:p>
    <w:p>
      <w:pPr>
        <w:pStyle w:val="ListParagraph"/>
        <w:numPr>
          <w:ilvl w:val="0"/>
          <w:numId w:val="2"/>
        </w:numPr>
        <w:spacing w:after="80" w:line="276"/>
      </w:pPr>
      <w:r>
        <w:rPr>
          <w:color w:val="222222"/>
          <w:sz w:val="21"/>
          <w:szCs w:val="21"/>
        </w:rPr>
        <w:t xml:space="preserve">Conectividad segura entre el entorno On-Premise y GCP mediante Cloud VPN.</w:t>
      </w:r>
    </w:p>
    <w:p>
      <w:pPr>
        <w:pStyle w:val="ListParagraph"/>
        <w:numPr>
          <w:ilvl w:val="0"/>
          <w:numId w:val="2"/>
        </w:numPr>
        <w:spacing w:after="80" w:line="276"/>
      </w:pPr>
      <w:r>
        <w:rPr>
          <w:color w:val="222222"/>
          <w:sz w:val="21"/>
          <w:szCs w:val="21"/>
        </w:rPr>
        <w:t xml:space="preserve">Orquestación y automatización de las cargas mediante Cloud Scheduler y Cloud Run.</w:t>
      </w:r>
    </w:p>
    <w:p>
      <w:pPr>
        <w:pStyle w:val="ListParagraph"/>
        <w:numPr>
          <w:ilvl w:val="0"/>
          <w:numId w:val="2"/>
        </w:numPr>
        <w:spacing w:after="80" w:line="276"/>
      </w:pPr>
      <w:r>
        <w:rPr>
          <w:color w:val="222222"/>
          <w:sz w:val="21"/>
          <w:szCs w:val="21"/>
        </w:rPr>
        <w:t xml:space="preserve">Almacenamiento en BigQuery (zona RAW y zona analítica) y transformación mediante Dataform.</w:t>
      </w:r>
    </w:p>
    <w:p>
      <w:pPr>
        <w:pStyle w:val="ListParagraph"/>
        <w:numPr>
          <w:ilvl w:val="0"/>
          <w:numId w:val="2"/>
        </w:numPr>
        <w:spacing w:after="80" w:line="276"/>
      </w:pPr>
      <w:r>
        <w:rPr>
          <w:color w:val="222222"/>
          <w:sz w:val="21"/>
          <w:szCs w:val="21"/>
        </w:rPr>
        <w:t xml:space="preserve">Modelo dimensional (hechos y dimensiones) optimizado para Power BI y para el consumo por agentes.</w:t>
      </w:r>
    </w:p>
    <w:p>
      <w:pPr>
        <w:pStyle w:val="ListParagraph"/>
        <w:numPr>
          <w:ilvl w:val="0"/>
          <w:numId w:val="2"/>
        </w:numPr>
        <w:spacing w:after="80" w:line="276"/>
      </w:pPr>
      <w:r>
        <w:rPr>
          <w:color w:val="222222"/>
          <w:sz w:val="21"/>
          <w:szCs w:val="21"/>
        </w:rPr>
        <w:t xml:space="preserve">Definición de controles de seguridad, monitoreo y auditoría.</w:t>
      </w:r>
    </w:p>
    <w:p>
      <w:pPr>
        <w:pStyle w:val="Heading2"/>
        <w:spacing w:after="120" w:before="240"/>
      </w:pPr>
      <w:r>
        <w:rPr>
          <w:b/>
          <w:bCs/>
          <w:color w:val="1A73E8"/>
          <w:sz w:val="24"/>
          <w:szCs w:val="24"/>
        </w:rPr>
        <w:t xml:space="preserve">3.2 No incluye (fuera de alcance en esta fase)</w:t>
      </w:r>
    </w:p>
    <w:p>
      <w:pPr>
        <w:pStyle w:val="ListParagraph"/>
        <w:numPr>
          <w:ilvl w:val="0"/>
          <w:numId w:val="2"/>
        </w:numPr>
        <w:spacing w:after="80" w:line="276"/>
      </w:pPr>
      <w:r>
        <w:rPr>
          <w:color w:val="222222"/>
          <w:sz w:val="21"/>
          <w:szCs w:val="21"/>
        </w:rPr>
        <w:t xml:space="preserve">Implementación de una arquitectura 100% en tiempo real basada en Change Data Capture (CDC); queda planteada como evolución futura.</w:t>
      </w:r>
    </w:p>
    <w:p>
      <w:pPr>
        <w:pStyle w:val="ListParagraph"/>
        <w:numPr>
          <w:ilvl w:val="0"/>
          <w:numId w:val="2"/>
        </w:numPr>
        <w:spacing w:after="80" w:line="276"/>
      </w:pPr>
      <w:r>
        <w:rPr>
          <w:color w:val="222222"/>
          <w:sz w:val="21"/>
          <w:szCs w:val="21"/>
        </w:rPr>
        <w:t xml:space="preserve">Migración completa del Sistema de Aduanas hacia la nube.</w:t>
      </w:r>
    </w:p>
    <w:p>
      <w:pPr>
        <w:pStyle w:val="ListParagraph"/>
        <w:numPr>
          <w:ilvl w:val="0"/>
          <w:numId w:val="2"/>
        </w:numPr>
        <w:spacing w:after="80" w:line="276"/>
      </w:pPr>
      <w:r>
        <w:rPr>
          <w:color w:val="222222"/>
          <w:sz w:val="21"/>
          <w:szCs w:val="21"/>
        </w:rPr>
        <w:t xml:space="preserve">Desarrollo de los agentes de IA en sí mismos; únicamente se prepara la capa de datos que estos consumirán.</w:t>
      </w:r>
    </w:p>
    <w:p>
      <w:pPr>
        <w:pStyle w:val="Heading1"/>
        <w:pBdr>
          <w:bottom w:val="single" w:color="1A73E8" w:sz="8" w:space="4"/>
        </w:pBdr>
        <w:spacing w:after="160" w:before="360"/>
      </w:pPr>
      <w:r>
        <w:rPr>
          <w:b/>
          <w:bCs/>
          <w:color w:val="0B2545"/>
          <w:sz w:val="28"/>
          <w:szCs w:val="28"/>
        </w:rPr>
        <w:t xml:space="preserve">4. Arquitectura propuesta</w:t>
      </w:r>
    </w:p>
    <w:p>
      <w:pPr>
        <w:spacing w:after="160" w:line="276"/>
        <w:jc w:val="both"/>
      </w:pPr>
      <w:r>
        <w:rPr>
          <w:color w:val="222222"/>
          <w:sz w:val="21"/>
          <w:szCs w:val="21"/>
        </w:rPr>
        <w:t xml:space="preserve">La arquitectura sigue un flujo lineal y desacoplado por etapas, lo que permite que cada componente pueda evolucionar de forma independiente sin afectar al resto del pipeline:</w:t>
      </w:r>
    </w:p>
    <w:p>
      <w:pPr>
        <w:spacing w:after="160" w:line="276"/>
        <w:jc w:val="both"/>
      </w:pPr>
      <w:r>
        <w:rPr>
          <w:i/>
          <w:iCs/>
          <w:color w:val="222222"/>
          <w:sz w:val="21"/>
          <w:szCs w:val="21"/>
        </w:rPr>
        <w:t xml:space="preserve">Sistema Aduanas (Oracle On-Premise) → Cloud VPN → Cloud Run (carga incremental) → BigQuery RAW → Dataform → Modelo Analítico → Power BI y Ecosistema de Agentes. Cloud Scheduler programa y dispara las ejecuciones de Cloud Run.</w:t>
      </w:r>
    </w:p>
    <w:p>
      <w:pPr>
        <w:pStyle w:val="Heading2"/>
        <w:spacing w:after="120" w:before="240"/>
      </w:pPr>
      <w:r>
        <w:rPr>
          <w:b/>
          <w:bCs/>
          <w:color w:val="1A73E8"/>
          <w:sz w:val="24"/>
          <w:szCs w:val="24"/>
        </w:rPr>
        <w:t xml:space="preserve">4.1 Descripción de cada componente</w:t>
      </w:r>
    </w:p>
    <w:p>
      <w:pPr>
        <w:pStyle w:val="ListParagraph"/>
        <w:numPr>
          <w:ilvl w:val="0"/>
          <w:numId w:val="2"/>
        </w:numPr>
        <w:spacing w:after="80" w:line="276"/>
      </w:pPr>
      <w:r>
        <w:rPr>
          <w:b/>
          <w:bCs/>
          <w:color w:val="0B2545"/>
          <w:sz w:val="21"/>
          <w:szCs w:val="21"/>
        </w:rPr>
        <w:t xml:space="preserve">Cloud Scheduler: </w:t>
      </w:r>
      <w:r>
        <w:rPr>
          <w:color w:val="222222"/>
          <w:sz w:val="21"/>
          <w:szCs w:val="21"/>
        </w:rPr>
        <w:t xml:space="preserve">orquesta la periodicidad de las cargas, invocando Cloud Run cada pocos minutos según la ventana definida para el negocio.</w:t>
      </w:r>
    </w:p>
    <w:p>
      <w:pPr>
        <w:pStyle w:val="ListParagraph"/>
        <w:numPr>
          <w:ilvl w:val="0"/>
          <w:numId w:val="2"/>
        </w:numPr>
        <w:spacing w:after="80" w:line="276"/>
      </w:pPr>
      <w:r>
        <w:rPr>
          <w:b/>
          <w:bCs/>
          <w:color w:val="0B2545"/>
          <w:sz w:val="21"/>
          <w:szCs w:val="21"/>
        </w:rPr>
        <w:t xml:space="preserve">Cloud VPN: </w:t>
      </w:r>
      <w:r>
        <w:rPr>
          <w:color w:val="222222"/>
          <w:sz w:val="21"/>
          <w:szCs w:val="21"/>
        </w:rPr>
        <w:t xml:space="preserve">provee el túnel cifrado entre la red On-Premise y GCP, evitando exponer Oracle a internet.</w:t>
      </w:r>
    </w:p>
    <w:p>
      <w:pPr>
        <w:pStyle w:val="ListParagraph"/>
        <w:numPr>
          <w:ilvl w:val="0"/>
          <w:numId w:val="2"/>
        </w:numPr>
        <w:spacing w:after="80" w:line="276"/>
      </w:pPr>
      <w:r>
        <w:rPr>
          <w:b/>
          <w:bCs/>
          <w:color w:val="0B2545"/>
          <w:sz w:val="21"/>
          <w:szCs w:val="21"/>
        </w:rPr>
        <w:t xml:space="preserve">Cloud Run: </w:t>
      </w:r>
      <w:r>
        <w:rPr>
          <w:color w:val="222222"/>
          <w:sz w:val="21"/>
          <w:szCs w:val="21"/>
        </w:rPr>
        <w:t xml:space="preserve">ejecuta bajo demanda el proceso de extracción incremental, escalando a cero cuando no hay ejecuciones programadas, lo que optimiza el costo.</w:t>
      </w:r>
    </w:p>
    <w:p>
      <w:pPr>
        <w:pStyle w:val="ListParagraph"/>
        <w:numPr>
          <w:ilvl w:val="0"/>
          <w:numId w:val="2"/>
        </w:numPr>
        <w:spacing w:after="80" w:line="276"/>
      </w:pPr>
      <w:r>
        <w:rPr>
          <w:b/>
          <w:bCs/>
          <w:color w:val="0B2545"/>
          <w:sz w:val="21"/>
          <w:szCs w:val="21"/>
        </w:rPr>
        <w:t xml:space="preserve">BigQuery RAW: </w:t>
      </w:r>
      <w:r>
        <w:rPr>
          <w:color w:val="222222"/>
          <w:sz w:val="21"/>
          <w:szCs w:val="21"/>
        </w:rPr>
        <w:t xml:space="preserve">almacena los datos tal como llegan de la fuente, sin transformar, sirviendo como capa de respaldo y trazabilidad ante auditorías.</w:t>
      </w:r>
    </w:p>
    <w:p>
      <w:pPr>
        <w:pStyle w:val="ListParagraph"/>
        <w:numPr>
          <w:ilvl w:val="0"/>
          <w:numId w:val="2"/>
        </w:numPr>
        <w:spacing w:after="80" w:line="276"/>
      </w:pPr>
      <w:r>
        <w:rPr>
          <w:b/>
          <w:bCs/>
          <w:color w:val="0B2545"/>
          <w:sz w:val="21"/>
          <w:szCs w:val="21"/>
        </w:rPr>
        <w:t xml:space="preserve">Dataform: </w:t>
      </w:r>
      <w:r>
        <w:rPr>
          <w:color w:val="222222"/>
          <w:sz w:val="21"/>
          <w:szCs w:val="21"/>
        </w:rPr>
        <w:t xml:space="preserve">ejecuta las transformaciones declarativas: limpieza, homologación de catálogos, aplicación de reglas de negocio y construcción de las entidades analíticas.</w:t>
      </w:r>
    </w:p>
    <w:p>
      <w:pPr>
        <w:pStyle w:val="ListParagraph"/>
        <w:numPr>
          <w:ilvl w:val="0"/>
          <w:numId w:val="2"/>
        </w:numPr>
        <w:spacing w:after="80" w:line="276"/>
      </w:pPr>
      <w:r>
        <w:rPr>
          <w:b/>
          <w:bCs/>
          <w:color w:val="0B2545"/>
          <w:sz w:val="21"/>
          <w:szCs w:val="21"/>
        </w:rPr>
        <w:t xml:space="preserve">Modelo Analítico: </w:t>
      </w:r>
      <w:r>
        <w:rPr>
          <w:color w:val="222222"/>
          <w:sz w:val="21"/>
          <w:szCs w:val="21"/>
        </w:rPr>
        <w:t xml:space="preserve">es el resultado del proceso de Dataform: tablas de hechos y dimensiones listas para consumo.</w:t>
      </w:r>
    </w:p>
    <w:p>
      <w:pPr>
        <w:pStyle w:val="ListParagraph"/>
        <w:numPr>
          <w:ilvl w:val="0"/>
          <w:numId w:val="2"/>
        </w:numPr>
        <w:spacing w:after="80" w:line="276"/>
      </w:pPr>
      <w:r>
        <w:rPr>
          <w:b/>
          <w:bCs/>
          <w:color w:val="0B2545"/>
          <w:sz w:val="21"/>
          <w:szCs w:val="21"/>
        </w:rPr>
        <w:t xml:space="preserve">Power BI y Ecosistema de Agentes: </w:t>
      </w:r>
      <w:r>
        <w:rPr>
          <w:color w:val="222222"/>
          <w:sz w:val="21"/>
          <w:szCs w:val="21"/>
        </w:rPr>
        <w:t xml:space="preserve">consumen el modelo analítico final, ya sea mediante reportes visuales o mediante consultas estructuradas por parte de los agentes de IA.</w:t>
      </w:r>
    </w:p>
    <w:p>
      <w:pPr>
        <w:pStyle w:val="Heading1"/>
        <w:pBdr>
          <w:bottom w:val="single" w:color="1A73E8" w:sz="8" w:space="4"/>
        </w:pBdr>
        <w:spacing w:after="160" w:before="360"/>
      </w:pPr>
      <w:r>
        <w:rPr>
          <w:b/>
          <w:bCs/>
          <w:color w:val="0B2545"/>
          <w:sz w:val="28"/>
          <w:szCs w:val="28"/>
        </w:rPr>
        <w:t xml:space="preserve">5. Justificación de Cloud Scheduler</w:t>
      </w:r>
    </w:p>
    <w:p>
      <w:pPr>
        <w:spacing w:after="160" w:line="276"/>
        <w:jc w:val="both"/>
      </w:pPr>
      <w:r>
        <w:rPr>
          <w:color w:val="222222"/>
          <w:sz w:val="21"/>
          <w:szCs w:val="21"/>
        </w:rPr>
        <w:t xml:space="preserve">Se recomienda una arquitectura Near Real Time mediante cargas incrementales programadas, en lugar de una arquitectura 100% real-time basada en Change Data Capture (CDC). El volumen actual del sistema (5 tablas y aproximadamente 1,500 registros diarios) no justifica la complejidad ni el costo adicional que implica una solución CDC, la cual requiere componentes adicionales como Datastream o herramientas de replicación de logs, junto con un mayor esfuerzo de configuración y mantenimiento.</w:t>
      </w:r>
    </w:p>
    <w:p>
      <w:pPr>
        <w:spacing w:after="160" w:line="276"/>
        <w:jc w:val="both"/>
      </w:pPr>
      <w:r>
        <w:rPr>
          <w:color w:val="222222"/>
          <w:sz w:val="21"/>
          <w:szCs w:val="21"/>
        </w:rPr>
        <w:t xml:space="preserve">Cloud Scheduler permite actualizaciones cada pocos minutos, ofreciendo una latencia suficientemente baja para las necesidades actuales del negocio, con una complejidad operativa y un costo significativamente menores.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2900"/>
      </w:tblGrid>
      <w:tr>
        <w:trPr>
          <w:tblHeader/>
        </w:trPr>
        <w:tc>
          <w:tcPr>
            <w:tcW w:type="dxa" w:w="3400"/>
            <w:shd w:fill="1A73E8" w:val="clear"/>
            <w:tcMar>
              <w:top w:type="dxa" w:w="100"/>
              <w:left w:type="dxa" w:w="120"/>
              <w:bottom w:type="dxa" w:w="100"/>
              <w:right w:type="dxa" w:w="120"/>
            </w:tcMar>
          </w:tcPr>
          <w:p>
            <w:r>
              <w:rPr>
                <w:b/>
                <w:bCs/>
                <w:color w:val="FFFFFF"/>
                <w:sz w:val="19"/>
                <w:szCs w:val="19"/>
              </w:rPr>
              <w:t xml:space="preserve">Criterio</w:t>
            </w:r>
          </w:p>
        </w:tc>
        <w:tc>
          <w:tcPr>
            <w:tcW w:type="dxa" w:w="3100"/>
            <w:shd w:fill="1A73E8" w:val="clear"/>
            <w:tcMar>
              <w:top w:type="dxa" w:w="100"/>
              <w:left w:type="dxa" w:w="120"/>
              <w:bottom w:type="dxa" w:w="100"/>
              <w:right w:type="dxa" w:w="120"/>
            </w:tcMar>
          </w:tcPr>
          <w:p>
            <w:r>
              <w:rPr>
                <w:b/>
                <w:bCs/>
                <w:color w:val="FFFFFF"/>
                <w:sz w:val="19"/>
                <w:szCs w:val="19"/>
              </w:rPr>
              <w:t xml:space="preserve">Cargas incrementales (Scheduler)</w:t>
            </w:r>
          </w:p>
        </w:tc>
        <w:tc>
          <w:tcPr>
            <w:tcW w:type="dxa" w:w="2900"/>
            <w:shd w:fill="1A73E8" w:val="clear"/>
            <w:tcMar>
              <w:top w:type="dxa" w:w="100"/>
              <w:left w:type="dxa" w:w="120"/>
              <w:bottom w:type="dxa" w:w="100"/>
              <w:right w:type="dxa" w:w="120"/>
            </w:tcMar>
          </w:tcPr>
          <w:p>
            <w:r>
              <w:rPr>
                <w:b/>
                <w:bCs/>
                <w:color w:val="FFFFFF"/>
                <w:sz w:val="19"/>
                <w:szCs w:val="19"/>
              </w:rPr>
              <w:t xml:space="preserve">CDC en tiempo real</w:t>
            </w:r>
          </w:p>
        </w:tc>
      </w:tr>
      <w:tr>
        <w:tc>
          <w:tcPr>
            <w:tcW w:type="dxa" w:w="3400"/>
            <w:shd w:fill="FFFFFF" w:val="clear"/>
            <w:tcMar>
              <w:top w:type="dxa" w:w="100"/>
              <w:left w:type="dxa" w:w="120"/>
              <w:bottom w:type="dxa" w:w="100"/>
              <w:right w:type="dxa" w:w="120"/>
            </w:tcMar>
          </w:tcPr>
          <w:p>
            <w:r>
              <w:rPr>
                <w:b w:val="false"/>
                <w:bCs w:val="false"/>
                <w:color w:val="222222"/>
                <w:sz w:val="19"/>
                <w:szCs w:val="19"/>
              </w:rPr>
              <w:t xml:space="preserve">Latencia</w:t>
            </w:r>
          </w:p>
        </w:tc>
        <w:tc>
          <w:tcPr>
            <w:tcW w:type="dxa" w:w="3100"/>
            <w:shd w:fill="FFFFFF" w:val="clear"/>
            <w:tcMar>
              <w:top w:type="dxa" w:w="100"/>
              <w:left w:type="dxa" w:w="120"/>
              <w:bottom w:type="dxa" w:w="100"/>
              <w:right w:type="dxa" w:w="120"/>
            </w:tcMar>
          </w:tcPr>
          <w:p>
            <w:r>
              <w:rPr>
                <w:b w:val="false"/>
                <w:bCs w:val="false"/>
                <w:color w:val="222222"/>
                <w:sz w:val="19"/>
                <w:szCs w:val="19"/>
              </w:rPr>
              <w:t xml:space="preserve">Minutos</w:t>
            </w:r>
          </w:p>
        </w:tc>
        <w:tc>
          <w:tcPr>
            <w:tcW w:type="dxa" w:w="2900"/>
            <w:shd w:fill="FFFFFF" w:val="clear"/>
            <w:tcMar>
              <w:top w:type="dxa" w:w="100"/>
              <w:left w:type="dxa" w:w="120"/>
              <w:bottom w:type="dxa" w:w="100"/>
              <w:right w:type="dxa" w:w="120"/>
            </w:tcMar>
          </w:tcPr>
          <w:p>
            <w:r>
              <w:rPr>
                <w:b w:val="false"/>
                <w:bCs w:val="false"/>
                <w:color w:val="222222"/>
                <w:sz w:val="19"/>
                <w:szCs w:val="19"/>
              </w:rPr>
              <w:t xml:space="preserve">Segundos</w:t>
            </w:r>
          </w:p>
        </w:tc>
      </w:tr>
      <w:tr>
        <w:tc>
          <w:tcPr>
            <w:tcW w:type="dxa" w:w="3400"/>
            <w:shd w:fill="FFFFFF" w:val="clear"/>
            <w:tcMar>
              <w:top w:type="dxa" w:w="100"/>
              <w:left w:type="dxa" w:w="120"/>
              <w:bottom w:type="dxa" w:w="100"/>
              <w:right w:type="dxa" w:w="120"/>
            </w:tcMar>
          </w:tcPr>
          <w:p>
            <w:r>
              <w:rPr>
                <w:b w:val="false"/>
                <w:bCs w:val="false"/>
                <w:color w:val="222222"/>
                <w:sz w:val="19"/>
                <w:szCs w:val="19"/>
              </w:rPr>
              <w:t xml:space="preserve">Complejidad de implementación</w:t>
            </w:r>
          </w:p>
        </w:tc>
        <w:tc>
          <w:tcPr>
            <w:tcW w:type="dxa" w:w="3100"/>
            <w:shd w:fill="FFFFFF" w:val="clear"/>
            <w:tcMar>
              <w:top w:type="dxa" w:w="100"/>
              <w:left w:type="dxa" w:w="120"/>
              <w:bottom w:type="dxa" w:w="100"/>
              <w:right w:type="dxa" w:w="120"/>
            </w:tcMar>
          </w:tcPr>
          <w:p>
            <w:r>
              <w:rPr>
                <w:b w:val="false"/>
                <w:bCs w:val="false"/>
                <w:color w:val="222222"/>
                <w:sz w:val="19"/>
                <w:szCs w:val="19"/>
              </w:rPr>
              <w:t xml:space="preserve">Baja</w:t>
            </w:r>
          </w:p>
        </w:tc>
        <w:tc>
          <w:tcPr>
            <w:tcW w:type="dxa" w:w="2900"/>
            <w:shd w:fill="FFFFFF" w:val="clear"/>
            <w:tcMar>
              <w:top w:type="dxa" w:w="100"/>
              <w:left w:type="dxa" w:w="120"/>
              <w:bottom w:type="dxa" w:w="100"/>
              <w:right w:type="dxa" w:w="120"/>
            </w:tcMar>
          </w:tcPr>
          <w:p>
            <w:r>
              <w:rPr>
                <w:b w:val="false"/>
                <w:bCs w:val="false"/>
                <w:color w:val="222222"/>
                <w:sz w:val="19"/>
                <w:szCs w:val="19"/>
              </w:rPr>
              <w:t xml:space="preserve">Alta</w:t>
            </w:r>
          </w:p>
        </w:tc>
      </w:tr>
      <w:tr>
        <w:tc>
          <w:tcPr>
            <w:tcW w:type="dxa" w:w="3400"/>
            <w:shd w:fill="FFFFFF" w:val="clear"/>
            <w:tcMar>
              <w:top w:type="dxa" w:w="100"/>
              <w:left w:type="dxa" w:w="120"/>
              <w:bottom w:type="dxa" w:w="100"/>
              <w:right w:type="dxa" w:w="120"/>
            </w:tcMar>
          </w:tcPr>
          <w:p>
            <w:r>
              <w:rPr>
                <w:b w:val="false"/>
                <w:bCs w:val="false"/>
                <w:color w:val="222222"/>
                <w:sz w:val="19"/>
                <w:szCs w:val="19"/>
              </w:rPr>
              <w:t xml:space="preserve">Costo estimado</w:t>
            </w:r>
          </w:p>
        </w:tc>
        <w:tc>
          <w:tcPr>
            <w:tcW w:type="dxa" w:w="3100"/>
            <w:shd w:fill="FFFFFF" w:val="clear"/>
            <w:tcMar>
              <w:top w:type="dxa" w:w="100"/>
              <w:left w:type="dxa" w:w="120"/>
              <w:bottom w:type="dxa" w:w="100"/>
              <w:right w:type="dxa" w:w="120"/>
            </w:tcMar>
          </w:tcPr>
          <w:p>
            <w:r>
              <w:rPr>
                <w:b w:val="false"/>
                <w:bCs w:val="false"/>
                <w:color w:val="222222"/>
                <w:sz w:val="19"/>
                <w:szCs w:val="19"/>
              </w:rPr>
              <w:t xml:space="preserve">Bajo</w:t>
            </w:r>
          </w:p>
        </w:tc>
        <w:tc>
          <w:tcPr>
            <w:tcW w:type="dxa" w:w="2900"/>
            <w:shd w:fill="FFFFFF" w:val="clear"/>
            <w:tcMar>
              <w:top w:type="dxa" w:w="100"/>
              <w:left w:type="dxa" w:w="120"/>
              <w:bottom w:type="dxa" w:w="100"/>
              <w:right w:type="dxa" w:w="120"/>
            </w:tcMar>
          </w:tcPr>
          <w:p>
            <w:r>
              <w:rPr>
                <w:b w:val="false"/>
                <w:bCs w:val="false"/>
                <w:color w:val="222222"/>
                <w:sz w:val="19"/>
                <w:szCs w:val="19"/>
              </w:rPr>
              <w:t xml:space="preserve">Medio / Alto</w:t>
            </w:r>
          </w:p>
        </w:tc>
      </w:tr>
      <w:tr>
        <w:tc>
          <w:tcPr>
            <w:tcW w:type="dxa" w:w="3400"/>
            <w:shd w:fill="FFFFFF" w:val="clear"/>
            <w:tcMar>
              <w:top w:type="dxa" w:w="100"/>
              <w:left w:type="dxa" w:w="120"/>
              <w:bottom w:type="dxa" w:w="100"/>
              <w:right w:type="dxa" w:w="120"/>
            </w:tcMar>
          </w:tcPr>
          <w:p>
            <w:r>
              <w:rPr>
                <w:b w:val="false"/>
                <w:bCs w:val="false"/>
                <w:color w:val="222222"/>
                <w:sz w:val="19"/>
                <w:szCs w:val="19"/>
              </w:rPr>
              <w:t xml:space="preserve">Adecuado para el volumen actual (~1,500 reg/día)</w:t>
            </w:r>
          </w:p>
        </w:tc>
        <w:tc>
          <w:tcPr>
            <w:tcW w:type="dxa" w:w="3100"/>
            <w:shd w:fill="FFFFFF" w:val="clear"/>
            <w:tcMar>
              <w:top w:type="dxa" w:w="100"/>
              <w:left w:type="dxa" w:w="120"/>
              <w:bottom w:type="dxa" w:w="100"/>
              <w:right w:type="dxa" w:w="120"/>
            </w:tcMar>
          </w:tcPr>
          <w:p>
            <w:r>
              <w:rPr>
                <w:b w:val="false"/>
                <w:bCs w:val="false"/>
                <w:color w:val="222222"/>
                <w:sz w:val="19"/>
                <w:szCs w:val="19"/>
              </w:rPr>
              <w:t xml:space="preserve">Sí</w:t>
            </w:r>
          </w:p>
        </w:tc>
        <w:tc>
          <w:tcPr>
            <w:tcW w:type="dxa" w:w="2900"/>
            <w:shd w:fill="FFFFFF" w:val="clear"/>
            <w:tcMar>
              <w:top w:type="dxa" w:w="100"/>
              <w:left w:type="dxa" w:w="120"/>
              <w:bottom w:type="dxa" w:w="100"/>
              <w:right w:type="dxa" w:w="120"/>
            </w:tcMar>
          </w:tcPr>
          <w:p>
            <w:r>
              <w:rPr>
                <w:b w:val="false"/>
                <w:bCs w:val="false"/>
                <w:color w:val="222222"/>
                <w:sz w:val="19"/>
                <w:szCs w:val="19"/>
              </w:rPr>
              <w:t xml:space="preserve">Sobredimensionado</w:t>
            </w:r>
          </w:p>
        </w:tc>
      </w:tr>
      <w:tr>
        <w:tc>
          <w:tcPr>
            <w:tcW w:type="dxa" w:w="3400"/>
            <w:shd w:fill="FFFFFF" w:val="clear"/>
            <w:tcMar>
              <w:top w:type="dxa" w:w="100"/>
              <w:left w:type="dxa" w:w="120"/>
              <w:bottom w:type="dxa" w:w="100"/>
              <w:right w:type="dxa" w:w="120"/>
            </w:tcMar>
          </w:tcPr>
          <w:p>
            <w:r>
              <w:rPr>
                <w:b w:val="false"/>
                <w:bCs w:val="false"/>
                <w:color w:val="222222"/>
                <w:sz w:val="19"/>
                <w:szCs w:val="19"/>
              </w:rPr>
              <w:t xml:space="preserve">Escalable a futuro</w:t>
            </w:r>
          </w:p>
        </w:tc>
        <w:tc>
          <w:tcPr>
            <w:tcW w:type="dxa" w:w="3100"/>
            <w:shd w:fill="FFFFFF" w:val="clear"/>
            <w:tcMar>
              <w:top w:type="dxa" w:w="100"/>
              <w:left w:type="dxa" w:w="120"/>
              <w:bottom w:type="dxa" w:w="100"/>
              <w:right w:type="dxa" w:w="120"/>
            </w:tcMar>
          </w:tcPr>
          <w:p>
            <w:r>
              <w:rPr>
                <w:b w:val="false"/>
                <w:bCs w:val="false"/>
                <w:color w:val="222222"/>
                <w:sz w:val="19"/>
                <w:szCs w:val="19"/>
              </w:rPr>
              <w:t xml:space="preserve">Sí, con migración incremental</w:t>
            </w:r>
          </w:p>
        </w:tc>
        <w:tc>
          <w:tcPr>
            <w:tcW w:type="dxa" w:w="2900"/>
            <w:shd w:fill="FFFFFF" w:val="clear"/>
            <w:tcMar>
              <w:top w:type="dxa" w:w="100"/>
              <w:left w:type="dxa" w:w="120"/>
              <w:bottom w:type="dxa" w:w="100"/>
              <w:right w:type="dxa" w:w="120"/>
            </w:tcMar>
          </w:tcPr>
          <w:p>
            <w:r>
              <w:rPr>
                <w:b w:val="false"/>
                <w:bCs w:val="false"/>
                <w:color w:val="222222"/>
                <w:sz w:val="19"/>
                <w:szCs w:val="19"/>
              </w:rPr>
              <w:t xml:space="preserve">Nativo</w:t>
            </w:r>
          </w:p>
        </w:tc>
      </w:tr>
    </w:tbl>
    <w:p>
      <w:pPr>
        <w:pStyle w:val="Heading1"/>
        <w:pBdr>
          <w:bottom w:val="single" w:color="1A73E8" w:sz="8" w:space="4"/>
        </w:pBdr>
        <w:spacing w:after="160" w:before="360"/>
      </w:pPr>
      <w:r>
        <w:rPr>
          <w:b/>
          <w:bCs/>
          <w:color w:val="0B2545"/>
          <w:sz w:val="28"/>
          <w:szCs w:val="28"/>
        </w:rPr>
        <w:t xml:space="preserve">6. Conectividad On-Premise – GCP</w:t>
      </w:r>
    </w:p>
    <w:p>
      <w:pPr>
        <w:spacing w:after="160" w:line="276"/>
        <w:jc w:val="both"/>
      </w:pPr>
      <w:r>
        <w:rPr>
          <w:color w:val="222222"/>
          <w:sz w:val="21"/>
          <w:szCs w:val="21"/>
        </w:rPr>
        <w:t xml:space="preserve">La integración se realiza mediante Cloud VPN, estableciendo una comunicación segura y cifrada entre Oracle On-Premise y los servicios de GCP. Cloud Run ejecuta las extracciones incrementales y carga los datos hacia BigQuery.</w:t>
      </w:r>
    </w:p>
    <w:p>
      <w:pPr>
        <w:pStyle w:val="ListParagraph"/>
        <w:numPr>
          <w:ilvl w:val="0"/>
          <w:numId w:val="2"/>
        </w:numPr>
        <w:spacing w:after="80" w:line="276"/>
      </w:pPr>
      <w:r>
        <w:rPr>
          <w:color w:val="222222"/>
          <w:sz w:val="21"/>
          <w:szCs w:val="21"/>
        </w:rPr>
        <w:t xml:space="preserve">El túnel VPN cifra el tráfico extremo a extremo, evitando la exposición de la base de datos Oracle a redes públicas.</w:t>
      </w:r>
    </w:p>
    <w:p>
      <w:pPr>
        <w:pStyle w:val="ListParagraph"/>
        <w:numPr>
          <w:ilvl w:val="0"/>
          <w:numId w:val="2"/>
        </w:numPr>
        <w:spacing w:after="80" w:line="276"/>
      </w:pPr>
      <w:r>
        <w:rPr>
          <w:color w:val="222222"/>
          <w:sz w:val="21"/>
          <w:szCs w:val="21"/>
        </w:rPr>
        <w:t xml:space="preserve">Se recomienda contemplar redundancia del túnel (VPN de alta disponibilidad) para minimizar el impacto ante una caída del enlace.</w:t>
      </w:r>
    </w:p>
    <w:p>
      <w:pPr>
        <w:pStyle w:val="ListParagraph"/>
        <w:numPr>
          <w:ilvl w:val="0"/>
          <w:numId w:val="2"/>
        </w:numPr>
        <w:spacing w:after="80" w:line="276"/>
      </w:pPr>
      <w:r>
        <w:rPr>
          <w:color w:val="222222"/>
          <w:sz w:val="21"/>
          <w:szCs w:val="21"/>
        </w:rPr>
        <w:t xml:space="preserve">El acceso desde Cloud Run hacia Oracle se restringe mediante reglas de firewall a nivel de red y de proyecto, limitando el tráfico exclusivamente a los rangos IP y puertos necesarios.</w:t>
      </w:r>
    </w:p>
    <w:p>
      <w:pPr>
        <w:pStyle w:val="Heading1"/>
        <w:pBdr>
          <w:bottom w:val="single" w:color="1A73E8" w:sz="8" w:space="4"/>
        </w:pBdr>
        <w:spacing w:after="160" w:before="360"/>
      </w:pPr>
      <w:r>
        <w:rPr>
          <w:b/>
          <w:bCs/>
          <w:color w:val="0B2545"/>
          <w:sz w:val="28"/>
          <w:szCs w:val="28"/>
        </w:rPr>
        <w:t xml:space="preserve">7. Seguridad</w:t>
      </w:r>
    </w:p>
    <w:p>
      <w:pPr>
        <w:spacing w:after="160" w:line="276"/>
        <w:jc w:val="both"/>
      </w:pPr>
      <w:r>
        <w:rPr>
          <w:color w:val="222222"/>
          <w:sz w:val="21"/>
          <w:szCs w:val="21"/>
        </w:rPr>
        <w:t xml:space="preserve">La propuesta incorpora controles de seguridad en cada etapa del flujo, con el objetivo de minimizar riesgos y cumplir con buenas prácticas de la industria:</w:t>
      </w:r>
    </w:p>
    <w:p>
      <w:pPr>
        <w:pStyle w:val="ListParagraph"/>
        <w:numPr>
          <w:ilvl w:val="0"/>
          <w:numId w:val="2"/>
        </w:numPr>
        <w:spacing w:after="80" w:line="276"/>
      </w:pPr>
      <w:r>
        <w:rPr>
          <w:b/>
          <w:bCs/>
          <w:color w:val="0B2545"/>
          <w:sz w:val="21"/>
          <w:szCs w:val="21"/>
        </w:rPr>
        <w:t xml:space="preserve">Cloud VPN: </w:t>
      </w:r>
      <w:r>
        <w:rPr>
          <w:color w:val="222222"/>
          <w:sz w:val="21"/>
          <w:szCs w:val="21"/>
        </w:rPr>
        <w:t xml:space="preserve">cifrado del tráfico en tránsito entre On-Premise y GCP.</w:t>
      </w:r>
    </w:p>
    <w:p>
      <w:pPr>
        <w:pStyle w:val="ListParagraph"/>
        <w:numPr>
          <w:ilvl w:val="0"/>
          <w:numId w:val="2"/>
        </w:numPr>
        <w:spacing w:after="80" w:line="276"/>
      </w:pPr>
      <w:r>
        <w:rPr>
          <w:b/>
          <w:bCs/>
          <w:color w:val="0B2545"/>
          <w:sz w:val="21"/>
          <w:szCs w:val="21"/>
        </w:rPr>
        <w:t xml:space="preserve">IAM: </w:t>
      </w:r>
      <w:r>
        <w:rPr>
          <w:color w:val="222222"/>
          <w:sz w:val="21"/>
          <w:szCs w:val="21"/>
        </w:rPr>
        <w:t xml:space="preserve">asignación de roles bajo el principio de mínimo privilegio, diferenciando permisos entre los distintos servicios y equipos.</w:t>
      </w:r>
    </w:p>
    <w:p>
      <w:pPr>
        <w:pStyle w:val="ListParagraph"/>
        <w:numPr>
          <w:ilvl w:val="0"/>
          <w:numId w:val="2"/>
        </w:numPr>
        <w:spacing w:after="80" w:line="276"/>
      </w:pPr>
      <w:r>
        <w:rPr>
          <w:b/>
          <w:bCs/>
          <w:color w:val="0B2545"/>
          <w:sz w:val="21"/>
          <w:szCs w:val="21"/>
        </w:rPr>
        <w:t xml:space="preserve">Service Accounts: </w:t>
      </w:r>
      <w:r>
        <w:rPr>
          <w:color w:val="222222"/>
          <w:sz w:val="21"/>
          <w:szCs w:val="21"/>
        </w:rPr>
        <w:t xml:space="preserve">cuentas de servicio específicas por componente (Cloud Run, Dataform), evitando el uso de credenciales personales.</w:t>
      </w:r>
    </w:p>
    <w:p>
      <w:pPr>
        <w:pStyle w:val="ListParagraph"/>
        <w:numPr>
          <w:ilvl w:val="0"/>
          <w:numId w:val="2"/>
        </w:numPr>
        <w:spacing w:after="80" w:line="276"/>
      </w:pPr>
      <w:r>
        <w:rPr>
          <w:b/>
          <w:bCs/>
          <w:color w:val="0B2545"/>
          <w:sz w:val="21"/>
          <w:szCs w:val="21"/>
        </w:rPr>
        <w:t xml:space="preserve">Secret Manager: </w:t>
      </w:r>
      <w:r>
        <w:rPr>
          <w:color w:val="222222"/>
          <w:sz w:val="21"/>
          <w:szCs w:val="21"/>
        </w:rPr>
        <w:t xml:space="preserve">almacenamiento centralizado y cifrado de credenciales y cadenas de conexión, evitando su exposición en código o configuraciones.</w:t>
      </w:r>
    </w:p>
    <w:p>
      <w:pPr>
        <w:pStyle w:val="ListParagraph"/>
        <w:numPr>
          <w:ilvl w:val="0"/>
          <w:numId w:val="2"/>
        </w:numPr>
        <w:spacing w:after="80" w:line="276"/>
      </w:pPr>
      <w:r>
        <w:rPr>
          <w:b/>
          <w:bCs/>
          <w:color w:val="0B2545"/>
          <w:sz w:val="21"/>
          <w:szCs w:val="21"/>
        </w:rPr>
        <w:t xml:space="preserve">Cifrado en reposo: </w:t>
      </w:r>
      <w:r>
        <w:rPr>
          <w:color w:val="222222"/>
          <w:sz w:val="21"/>
          <w:szCs w:val="21"/>
        </w:rPr>
        <w:t xml:space="preserve">los datos almacenados en BigQuery se cifran de forma nativa por GCP.</w:t>
      </w:r>
    </w:p>
    <w:p>
      <w:pPr>
        <w:pStyle w:val="ListParagraph"/>
        <w:numPr>
          <w:ilvl w:val="0"/>
          <w:numId w:val="2"/>
        </w:numPr>
        <w:spacing w:after="80" w:line="276"/>
      </w:pPr>
      <w:r>
        <w:rPr>
          <w:b/>
          <w:bCs/>
          <w:color w:val="0B2545"/>
          <w:sz w:val="21"/>
          <w:szCs w:val="21"/>
        </w:rPr>
        <w:t xml:space="preserve">Cloud Logging y monitoreo: </w:t>
      </w:r>
      <w:r>
        <w:rPr>
          <w:color w:val="222222"/>
          <w:sz w:val="21"/>
          <w:szCs w:val="21"/>
        </w:rPr>
        <w:t xml:space="preserve">registro y auditoría de las ejecuciones, permitiendo identificar fallos o accesos no autorizados de forma oportuna.</w:t>
      </w:r>
    </w:p>
    <w:p>
      <w:pPr>
        <w:spacing w:after="160" w:line="276"/>
        <w:jc w:val="both"/>
      </w:pPr>
      <w:r>
        <w:rPr>
          <w:color w:val="222222"/>
          <w:sz w:val="21"/>
          <w:szCs w:val="21"/>
        </w:rPr>
        <w:t xml:space="preserve">En conjunto, estos controles minimizan los riesgos de seguridad mediante una combinación de restricción de acceso, cifrado y trazabilidad de las operaciones.</w:t>
      </w:r>
    </w:p>
    <w:p>
      <w:pPr>
        <w:pStyle w:val="Heading1"/>
        <w:pBdr>
          <w:bottom w:val="single" w:color="1A73E8" w:sz="8" w:space="4"/>
        </w:pBdr>
        <w:spacing w:after="160" w:before="360"/>
      </w:pPr>
      <w:r>
        <w:rPr>
          <w:b/>
          <w:bCs/>
          <w:color w:val="0B2545"/>
          <w:sz w:val="28"/>
          <w:szCs w:val="28"/>
        </w:rPr>
        <w:t xml:space="preserve">8. Transformación de datos</w:t>
      </w:r>
    </w:p>
    <w:p>
      <w:pPr>
        <w:spacing w:after="160" w:line="276"/>
        <w:jc w:val="both"/>
      </w:pPr>
      <w:r>
        <w:rPr>
          <w:color w:val="222222"/>
          <w:sz w:val="21"/>
          <w:szCs w:val="21"/>
        </w:rPr>
        <w:t xml:space="preserve">Los datos son almacenados inicialmente en BigQuery RAW, respetando su estructura original. Posteriormente, Dataform ejecuta los procesos de limpieza, homologación, aplicación de reglas de negocio y construcción de las entidades analíticas finales.</w:t>
      </w:r>
    </w:p>
    <w:p>
      <w:pPr>
        <w:pStyle w:val="ListParagraph"/>
        <w:numPr>
          <w:ilvl w:val="0"/>
          <w:numId w:val="2"/>
        </w:numPr>
        <w:spacing w:after="80" w:line="276"/>
      </w:pPr>
      <w:r>
        <w:rPr>
          <w:color w:val="222222"/>
          <w:sz w:val="21"/>
          <w:szCs w:val="21"/>
        </w:rPr>
        <w:t xml:space="preserve">Capa RAW: datos crudos, sin transformar, con fines de respaldo y trazabilidad.</w:t>
      </w:r>
    </w:p>
    <w:p>
      <w:pPr>
        <w:pStyle w:val="ListParagraph"/>
        <w:numPr>
          <w:ilvl w:val="0"/>
          <w:numId w:val="2"/>
        </w:numPr>
        <w:spacing w:after="80" w:line="276"/>
      </w:pPr>
      <w:r>
        <w:rPr>
          <w:color w:val="222222"/>
          <w:sz w:val="21"/>
          <w:szCs w:val="21"/>
        </w:rPr>
        <w:t xml:space="preserve">Capa Staging: limpieza de datos, tipado correcto de campos, deduplicación y homologación de catálogos.</w:t>
      </w:r>
    </w:p>
    <w:p>
      <w:pPr>
        <w:pStyle w:val="ListParagraph"/>
        <w:numPr>
          <w:ilvl w:val="0"/>
          <w:numId w:val="2"/>
        </w:numPr>
        <w:spacing w:after="80" w:line="276"/>
      </w:pPr>
      <w:r>
        <w:rPr>
          <w:color w:val="222222"/>
          <w:sz w:val="21"/>
          <w:szCs w:val="21"/>
        </w:rPr>
        <w:t xml:space="preserve">Capa analítica: aplicación de reglas de negocio y construcción de las tablas de hechos y dimensiones finales.</w:t>
      </w:r>
    </w:p>
    <w:p>
      <w:pPr>
        <w:pStyle w:val="ListParagraph"/>
        <w:numPr>
          <w:ilvl w:val="0"/>
          <w:numId w:val="2"/>
        </w:numPr>
        <w:spacing w:after="80" w:line="276"/>
      </w:pPr>
      <w:r>
        <w:rPr>
          <w:color w:val="222222"/>
          <w:sz w:val="21"/>
          <w:szCs w:val="21"/>
        </w:rPr>
        <w:t xml:space="preserve">Dataform permite versionar las transformaciones como código, documentar el linaje de los datos y ejecutar pruebas (assertions) que validan la calidad de la información en cada corrida.</w:t>
      </w:r>
    </w:p>
    <w:p>
      <w:pPr>
        <w:pStyle w:val="Heading1"/>
        <w:pBdr>
          <w:bottom w:val="single" w:color="1A73E8" w:sz="8" w:space="4"/>
        </w:pBdr>
        <w:spacing w:after="160" w:before="360"/>
      </w:pPr>
      <w:r>
        <w:rPr>
          <w:b/>
          <w:bCs/>
          <w:color w:val="0B2545"/>
          <w:sz w:val="28"/>
          <w:szCs w:val="28"/>
        </w:rPr>
        <w:t xml:space="preserve">9. Modelo de datos</w:t>
      </w:r>
    </w:p>
    <w:p>
      <w:pPr>
        <w:spacing w:after="160" w:line="276"/>
        <w:jc w:val="both"/>
      </w:pPr>
      <w:r>
        <w:rPr>
          <w:color w:val="222222"/>
          <w:sz w:val="21"/>
          <w:szCs w:val="21"/>
        </w:rPr>
        <w:t xml:space="preserve">Se propone un modelo dimensional (Kimball) compuesto por tablas de hechos y dimensiones. Este modelo optimiza el rendimiento de Power BI y facilita el consumo de información por el ecosistema de agentes.</w:t>
      </w:r>
    </w:p>
    <w:p>
      <w:pPr>
        <w:pStyle w:val="ListParagraph"/>
        <w:numPr>
          <w:ilvl w:val="0"/>
          <w:numId w:val="2"/>
        </w:numPr>
        <w:spacing w:after="80" w:line="276"/>
      </w:pPr>
      <w:r>
        <w:rPr>
          <w:color w:val="222222"/>
          <w:sz w:val="21"/>
          <w:szCs w:val="21"/>
        </w:rPr>
        <w:t xml:space="preserve">Las tablas de dimensiones concentran los atributos descriptivos del negocio (por ejemplo, catálogos y clasificaciones), permitiendo un modelo en esquema estrella de fácil lectura.</w:t>
      </w:r>
    </w:p>
    <w:p>
      <w:pPr>
        <w:pStyle w:val="ListParagraph"/>
        <w:numPr>
          <w:ilvl w:val="0"/>
          <w:numId w:val="2"/>
        </w:numPr>
        <w:spacing w:after="80" w:line="276"/>
      </w:pPr>
      <w:r>
        <w:rPr>
          <w:color w:val="222222"/>
          <w:sz w:val="21"/>
          <w:szCs w:val="21"/>
        </w:rPr>
        <w:t xml:space="preserve">Las tablas de hechos almacenan las métricas y eventos transaccionales, a un grano bien definido, evitando ambigüedades en los cálculos.</w:t>
      </w:r>
    </w:p>
    <w:p>
      <w:pPr>
        <w:pStyle w:val="ListParagraph"/>
        <w:numPr>
          <w:ilvl w:val="0"/>
          <w:numId w:val="2"/>
        </w:numPr>
        <w:spacing w:after="80" w:line="276"/>
      </w:pPr>
      <w:r>
        <w:rPr>
          <w:color w:val="222222"/>
          <w:sz w:val="21"/>
          <w:szCs w:val="21"/>
        </w:rPr>
        <w:t xml:space="preserve">El esquema estrella reduce la cantidad de uniones (joins) necesarias en las consultas, mejorando el rendimiento de los reportes en Power BI.</w:t>
      </w:r>
    </w:p>
    <w:p>
      <w:pPr>
        <w:pStyle w:val="ListParagraph"/>
        <w:numPr>
          <w:ilvl w:val="0"/>
          <w:numId w:val="2"/>
        </w:numPr>
        <w:spacing w:after="80" w:line="276"/>
      </w:pPr>
      <w:r>
        <w:rPr>
          <w:color w:val="222222"/>
          <w:sz w:val="21"/>
          <w:szCs w:val="21"/>
        </w:rPr>
        <w:t xml:space="preserve">La estructura estandarizada y documentada del modelo facilita que los agentes de IA generen consultas confiables sobre la información, al reducir la ambigüedad semántica de los datos.</w:t>
      </w:r>
    </w:p>
    <w:p>
      <w:pPr>
        <w:pStyle w:val="Heading1"/>
        <w:pBdr>
          <w:bottom w:val="single" w:color="1A73E8" w:sz="8" w:space="4"/>
        </w:pBdr>
        <w:spacing w:after="160" w:before="360"/>
      </w:pPr>
      <w:r>
        <w:rPr>
          <w:b/>
          <w:bCs/>
          <w:color w:val="0B2545"/>
          <w:sz w:val="28"/>
          <w:szCs w:val="28"/>
        </w:rPr>
        <w:t xml:space="preserve">10. Herramientas y costo/beneficio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200"/>
      </w:tblGrid>
      <w:tr>
        <w:trPr>
          <w:tblHeader/>
        </w:trPr>
        <w:tc>
          <w:tcPr>
            <w:tcW w:type="dxa" w:w="2400"/>
            <w:shd w:fill="1A73E8" w:val="clear"/>
            <w:tcMar>
              <w:top w:type="dxa" w:w="100"/>
              <w:left w:type="dxa" w:w="120"/>
              <w:bottom w:type="dxa" w:w="100"/>
              <w:right w:type="dxa" w:w="120"/>
            </w:tcMar>
          </w:tcPr>
          <w:p>
            <w:r>
              <w:rPr>
                <w:b/>
                <w:bCs/>
                <w:color w:val="FFFFFF"/>
                <w:sz w:val="19"/>
                <w:szCs w:val="19"/>
              </w:rPr>
              <w:t xml:space="preserve">Herramienta</w:t>
            </w:r>
          </w:p>
        </w:tc>
        <w:tc>
          <w:tcPr>
            <w:tcW w:type="dxa" w:w="3800"/>
            <w:shd w:fill="1A73E8" w:val="clear"/>
            <w:tcMar>
              <w:top w:type="dxa" w:w="100"/>
              <w:left w:type="dxa" w:w="120"/>
              <w:bottom w:type="dxa" w:w="100"/>
              <w:right w:type="dxa" w:w="120"/>
            </w:tcMar>
          </w:tcPr>
          <w:p>
            <w:r>
              <w:rPr>
                <w:b/>
                <w:bCs/>
                <w:color w:val="FFFFFF"/>
                <w:sz w:val="19"/>
                <w:szCs w:val="19"/>
              </w:rPr>
              <w:t xml:space="preserve">Función en la arquitectura</w:t>
            </w:r>
          </w:p>
        </w:tc>
        <w:tc>
          <w:tcPr>
            <w:tcW w:type="dxa" w:w="3200"/>
            <w:shd w:fill="1A73E8" w:val="clear"/>
            <w:tcMar>
              <w:top w:type="dxa" w:w="100"/>
              <w:left w:type="dxa" w:w="120"/>
              <w:bottom w:type="dxa" w:w="100"/>
              <w:right w:type="dxa" w:w="120"/>
            </w:tcMar>
          </w:tcPr>
          <w:p>
            <w:r>
              <w:rPr>
                <w:b/>
                <w:bCs/>
                <w:color w:val="FFFFFF"/>
                <w:sz w:val="19"/>
                <w:szCs w:val="19"/>
              </w:rPr>
              <w:t xml:space="preserve">Beneficio principal</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Cloud VPN</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Conectividad segura On-Premise – GCP</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Bajo costo, cifrado extremo a extremo</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Cloud Scheduler</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Orquestación de cargas incrementales</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Automatización económica</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Cloud Run</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Procesamiento de la extracción bajo demanda</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Escala a cero; pago solo por uso</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BigQuery</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Almacenamiento y consulta analítica</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Escalable, alto rendimiento</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Dataform</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Transformación y gobierno de datos</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Transformaciones versionadas, con pruebas de calidad</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Power BI</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Visualización y trazabilidad geográfica</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Reportes avanzados e interactivos</w:t>
            </w:r>
          </w:p>
        </w:tc>
      </w:tr>
    </w:tbl>
    <w:p>
      <w:pPr>
        <w:pStyle w:val="Heading1"/>
        <w:pBdr>
          <w:bottom w:val="single" w:color="1A73E8" w:sz="8" w:space="4"/>
        </w:pBdr>
        <w:spacing w:after="160" w:before="360"/>
      </w:pPr>
      <w:r>
        <w:rPr>
          <w:b/>
          <w:bCs/>
          <w:color w:val="0B2545"/>
          <w:sz w:val="28"/>
          <w:szCs w:val="28"/>
        </w:rPr>
        <w:t xml:space="preserve">11. Riesgos y mitigaciones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shd w:fill="1A73E8" w:val="clear"/>
            <w:tcMar>
              <w:top w:type="dxa" w:w="100"/>
              <w:left w:type="dxa" w:w="120"/>
              <w:bottom w:type="dxa" w:w="100"/>
              <w:right w:type="dxa" w:w="120"/>
            </w:tcMar>
          </w:tcPr>
          <w:p>
            <w:r>
              <w:rPr>
                <w:b/>
                <w:bCs/>
                <w:color w:val="FFFFFF"/>
                <w:sz w:val="19"/>
                <w:szCs w:val="19"/>
              </w:rPr>
              <w:t xml:space="preserve">Riesgo</w:t>
            </w:r>
          </w:p>
        </w:tc>
        <w:tc>
          <w:tcPr>
            <w:tcW w:type="dxa" w:w="3200"/>
            <w:shd w:fill="1A73E8" w:val="clear"/>
            <w:tcMar>
              <w:top w:type="dxa" w:w="100"/>
              <w:left w:type="dxa" w:w="120"/>
              <w:bottom w:type="dxa" w:w="100"/>
              <w:right w:type="dxa" w:w="120"/>
            </w:tcMar>
          </w:tcPr>
          <w:p>
            <w:r>
              <w:rPr>
                <w:b/>
                <w:bCs/>
                <w:color w:val="FFFFFF"/>
                <w:sz w:val="19"/>
                <w:szCs w:val="19"/>
              </w:rPr>
              <w:t xml:space="preserve">Impacto</w:t>
            </w:r>
          </w:p>
        </w:tc>
        <w:tc>
          <w:tcPr>
            <w:tcW w:type="dxa" w:w="3400"/>
            <w:shd w:fill="1A73E8" w:val="clear"/>
            <w:tcMar>
              <w:top w:type="dxa" w:w="100"/>
              <w:left w:type="dxa" w:w="120"/>
              <w:bottom w:type="dxa" w:w="100"/>
              <w:right w:type="dxa" w:w="120"/>
            </w:tcMar>
          </w:tcPr>
          <w:p>
            <w:r>
              <w:rPr>
                <w:b/>
                <w:bCs/>
                <w:color w:val="FFFFFF"/>
                <w:sz w:val="19"/>
                <w:szCs w:val="19"/>
              </w:rPr>
              <w:t xml:space="preserve">Mitigación propuesta</w:t>
            </w:r>
          </w:p>
        </w:tc>
      </w:tr>
      <w:tr>
        <w:tc>
          <w:tcPr>
            <w:tcW w:type="dxa" w:w="2800"/>
            <w:shd w:fill="FFFFFF" w:val="clear"/>
            <w:tcMar>
              <w:top w:type="dxa" w:w="100"/>
              <w:left w:type="dxa" w:w="120"/>
              <w:bottom w:type="dxa" w:w="100"/>
              <w:right w:type="dxa" w:w="120"/>
            </w:tcMar>
          </w:tcPr>
          <w:p>
            <w:r>
              <w:rPr>
                <w:b w:val="false"/>
                <w:bCs w:val="false"/>
                <w:color w:val="222222"/>
                <w:sz w:val="19"/>
                <w:szCs w:val="19"/>
              </w:rPr>
              <w:t xml:space="preserve">Caída del túnel VPN</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Interrupción temporal de las cargas</w:t>
            </w:r>
          </w:p>
        </w:tc>
        <w:tc>
          <w:tcPr>
            <w:tcW w:type="dxa" w:w="3400"/>
            <w:shd w:fill="FFFFFF" w:val="clear"/>
            <w:tcMar>
              <w:top w:type="dxa" w:w="100"/>
              <w:left w:type="dxa" w:w="120"/>
              <w:bottom w:type="dxa" w:w="100"/>
              <w:right w:type="dxa" w:w="120"/>
            </w:tcMar>
          </w:tcPr>
          <w:p>
            <w:r>
              <w:rPr>
                <w:b w:val="false"/>
                <w:bCs w:val="false"/>
                <w:color w:val="222222"/>
                <w:sz w:val="19"/>
                <w:szCs w:val="19"/>
              </w:rPr>
              <w:t xml:space="preserve">VPN redundante / alta disponibilidad</w:t>
            </w:r>
          </w:p>
        </w:tc>
      </w:tr>
      <w:tr>
        <w:tc>
          <w:tcPr>
            <w:tcW w:type="dxa" w:w="2800"/>
            <w:shd w:fill="FFFFFF" w:val="clear"/>
            <w:tcMar>
              <w:top w:type="dxa" w:w="100"/>
              <w:left w:type="dxa" w:w="120"/>
              <w:bottom w:type="dxa" w:w="100"/>
              <w:right w:type="dxa" w:w="120"/>
            </w:tcMar>
          </w:tcPr>
          <w:p>
            <w:r>
              <w:rPr>
                <w:b w:val="false"/>
                <w:bCs w:val="false"/>
                <w:color w:val="222222"/>
                <w:sz w:val="19"/>
                <w:szCs w:val="19"/>
              </w:rPr>
              <w:t xml:space="preserve">Crecimiento no previsto del volumen de datos</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Degradación del rendimiento del proceso incremental</w:t>
            </w:r>
          </w:p>
        </w:tc>
        <w:tc>
          <w:tcPr>
            <w:tcW w:type="dxa" w:w="3400"/>
            <w:shd w:fill="FFFFFF" w:val="clear"/>
            <w:tcMar>
              <w:top w:type="dxa" w:w="100"/>
              <w:left w:type="dxa" w:w="120"/>
              <w:bottom w:type="dxa" w:w="100"/>
              <w:right w:type="dxa" w:w="120"/>
            </w:tcMar>
          </w:tcPr>
          <w:p>
            <w:r>
              <w:rPr>
                <w:b w:val="false"/>
                <w:bCs w:val="false"/>
                <w:color w:val="222222"/>
                <w:sz w:val="19"/>
                <w:szCs w:val="19"/>
              </w:rPr>
              <w:t xml:space="preserve">Monitoreo de volumetría y migración planificada a CDC</w:t>
            </w:r>
          </w:p>
        </w:tc>
      </w:tr>
      <w:tr>
        <w:tc>
          <w:tcPr>
            <w:tcW w:type="dxa" w:w="2800"/>
            <w:shd w:fill="FFFFFF" w:val="clear"/>
            <w:tcMar>
              <w:top w:type="dxa" w:w="100"/>
              <w:left w:type="dxa" w:w="120"/>
              <w:bottom w:type="dxa" w:w="100"/>
              <w:right w:type="dxa" w:w="120"/>
            </w:tcMar>
          </w:tcPr>
          <w:p>
            <w:r>
              <w:rPr>
                <w:b w:val="false"/>
                <w:bCs w:val="false"/>
                <w:color w:val="222222"/>
                <w:sz w:val="19"/>
                <w:szCs w:val="19"/>
              </w:rPr>
              <w:t xml:space="preserve">Errores de calidad en los datos fuente</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Información inconsistente en los reportes</w:t>
            </w:r>
          </w:p>
        </w:tc>
        <w:tc>
          <w:tcPr>
            <w:tcW w:type="dxa" w:w="3400"/>
            <w:shd w:fill="FFFFFF" w:val="clear"/>
            <w:tcMar>
              <w:top w:type="dxa" w:w="100"/>
              <w:left w:type="dxa" w:w="120"/>
              <w:bottom w:type="dxa" w:w="100"/>
              <w:right w:type="dxa" w:w="120"/>
            </w:tcMar>
          </w:tcPr>
          <w:p>
            <w:r>
              <w:rPr>
                <w:b w:val="false"/>
                <w:bCs w:val="false"/>
                <w:color w:val="222222"/>
                <w:sz w:val="19"/>
                <w:szCs w:val="19"/>
              </w:rPr>
              <w:t xml:space="preserve">Pruebas (assertions) de calidad en Dataform</w:t>
            </w:r>
          </w:p>
        </w:tc>
      </w:tr>
      <w:tr>
        <w:tc>
          <w:tcPr>
            <w:tcW w:type="dxa" w:w="2800"/>
            <w:shd w:fill="FFFFFF" w:val="clear"/>
            <w:tcMar>
              <w:top w:type="dxa" w:w="100"/>
              <w:left w:type="dxa" w:w="120"/>
              <w:bottom w:type="dxa" w:w="100"/>
              <w:right w:type="dxa" w:w="120"/>
            </w:tcMar>
          </w:tcPr>
          <w:p>
            <w:r>
              <w:rPr>
                <w:b w:val="false"/>
                <w:bCs w:val="false"/>
                <w:color w:val="222222"/>
                <w:sz w:val="19"/>
                <w:szCs w:val="19"/>
              </w:rPr>
              <w:t xml:space="preserve">Exposición de credenciales</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Acceso no autorizado a los sistemas</w:t>
            </w:r>
          </w:p>
        </w:tc>
        <w:tc>
          <w:tcPr>
            <w:tcW w:type="dxa" w:w="3400"/>
            <w:shd w:fill="FFFFFF" w:val="clear"/>
            <w:tcMar>
              <w:top w:type="dxa" w:w="100"/>
              <w:left w:type="dxa" w:w="120"/>
              <w:bottom w:type="dxa" w:w="100"/>
              <w:right w:type="dxa" w:w="120"/>
            </w:tcMar>
          </w:tcPr>
          <w:p>
            <w:r>
              <w:rPr>
                <w:b w:val="false"/>
                <w:bCs w:val="false"/>
                <w:color w:val="222222"/>
                <w:sz w:val="19"/>
                <w:szCs w:val="19"/>
              </w:rPr>
              <w:t xml:space="preserve">Uso de Secret Manager y rotación periódica de credenciales</w:t>
            </w:r>
          </w:p>
        </w:tc>
      </w:tr>
      <w:tr>
        <w:tc>
          <w:tcPr>
            <w:tcW w:type="dxa" w:w="2800"/>
            <w:shd w:fill="FFFFFF" w:val="clear"/>
            <w:tcMar>
              <w:top w:type="dxa" w:w="100"/>
              <w:left w:type="dxa" w:w="120"/>
              <w:bottom w:type="dxa" w:w="100"/>
              <w:right w:type="dxa" w:w="120"/>
            </w:tcMar>
          </w:tcPr>
          <w:p>
            <w:r>
              <w:rPr>
                <w:b w:val="false"/>
                <w:bCs w:val="false"/>
                <w:color w:val="222222"/>
                <w:sz w:val="19"/>
                <w:szCs w:val="19"/>
              </w:rPr>
              <w:t xml:space="preserve">Cambios en la estructura de Oracle no comunicados</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Fallos en la extracción incremental</w:t>
            </w:r>
          </w:p>
        </w:tc>
        <w:tc>
          <w:tcPr>
            <w:tcW w:type="dxa" w:w="3400"/>
            <w:shd w:fill="FFFFFF" w:val="clear"/>
            <w:tcMar>
              <w:top w:type="dxa" w:w="100"/>
              <w:left w:type="dxa" w:w="120"/>
              <w:bottom w:type="dxa" w:w="100"/>
              <w:right w:type="dxa" w:w="120"/>
            </w:tcMar>
          </w:tcPr>
          <w:p>
            <w:r>
              <w:rPr>
                <w:b w:val="false"/>
                <w:bCs w:val="false"/>
                <w:color w:val="222222"/>
                <w:sz w:val="19"/>
                <w:szCs w:val="19"/>
              </w:rPr>
              <w:t xml:space="preserve">Control de cambios y pruebas en ambiente de pruebas previo a producción</w:t>
            </w:r>
          </w:p>
        </w:tc>
      </w:tr>
    </w:tbl>
    <w:p>
      <w:pPr>
        <w:pStyle w:val="Heading1"/>
        <w:pBdr>
          <w:bottom w:val="single" w:color="1A73E8" w:sz="8" w:space="4"/>
        </w:pBdr>
        <w:spacing w:after="160" w:before="360"/>
      </w:pPr>
      <w:r>
        <w:rPr>
          <w:b/>
          <w:bCs/>
          <w:color w:val="0B2545"/>
          <w:sz w:val="28"/>
          <w:szCs w:val="28"/>
        </w:rPr>
        <w:t xml:space="preserve">12. Cronograma preliminar de implementación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800"/>
      </w:tblGrid>
      <w:tr>
        <w:trPr>
          <w:tblHeader/>
        </w:trPr>
        <w:tc>
          <w:tcPr>
            <w:tcW w:type="dxa" w:w="3200"/>
            <w:shd w:fill="1A73E8" w:val="clear"/>
            <w:tcMar>
              <w:top w:type="dxa" w:w="100"/>
              <w:left w:type="dxa" w:w="120"/>
              <w:bottom w:type="dxa" w:w="100"/>
              <w:right w:type="dxa" w:w="120"/>
            </w:tcMar>
          </w:tcPr>
          <w:p>
            <w:r>
              <w:rPr>
                <w:b/>
                <w:bCs/>
                <w:color w:val="FFFFFF"/>
                <w:sz w:val="19"/>
                <w:szCs w:val="19"/>
              </w:rPr>
              <w:t xml:space="preserve">Fase</w:t>
            </w:r>
          </w:p>
        </w:tc>
        <w:tc>
          <w:tcPr>
            <w:tcW w:type="dxa" w:w="4400"/>
            <w:shd w:fill="1A73E8" w:val="clear"/>
            <w:tcMar>
              <w:top w:type="dxa" w:w="100"/>
              <w:left w:type="dxa" w:w="120"/>
              <w:bottom w:type="dxa" w:w="100"/>
              <w:right w:type="dxa" w:w="120"/>
            </w:tcMar>
          </w:tcPr>
          <w:p>
            <w:r>
              <w:rPr>
                <w:b/>
                <w:bCs/>
                <w:color w:val="FFFFFF"/>
                <w:sz w:val="19"/>
                <w:szCs w:val="19"/>
              </w:rPr>
              <w:t xml:space="preserve">Actividades principales</w:t>
            </w:r>
          </w:p>
        </w:tc>
        <w:tc>
          <w:tcPr>
            <w:tcW w:type="dxa" w:w="2800"/>
            <w:shd w:fill="1A73E8" w:val="clear"/>
            <w:tcMar>
              <w:top w:type="dxa" w:w="100"/>
              <w:left w:type="dxa" w:w="120"/>
              <w:bottom w:type="dxa" w:w="100"/>
              <w:right w:type="dxa" w:w="120"/>
            </w:tcMar>
          </w:tcPr>
          <w:p>
            <w:r>
              <w:rPr>
                <w:b/>
                <w:bCs/>
                <w:color w:val="FFFFFF"/>
                <w:sz w:val="19"/>
                <w:szCs w:val="19"/>
              </w:rPr>
              <w:t xml:space="preserve">Duración estimada</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1. Diseño y conectividad</w:t>
            </w:r>
          </w:p>
        </w:tc>
        <w:tc>
          <w:tcPr>
            <w:tcW w:type="dxa" w:w="4400"/>
            <w:shd w:fill="FFFFFF" w:val="clear"/>
            <w:tcMar>
              <w:top w:type="dxa" w:w="100"/>
              <w:left w:type="dxa" w:w="120"/>
              <w:bottom w:type="dxa" w:w="100"/>
              <w:right w:type="dxa" w:w="120"/>
            </w:tcMar>
          </w:tcPr>
          <w:p>
            <w:r>
              <w:rPr>
                <w:b w:val="false"/>
                <w:bCs w:val="false"/>
                <w:color w:val="222222"/>
                <w:sz w:val="19"/>
                <w:szCs w:val="19"/>
              </w:rPr>
              <w:t xml:space="preserve">Configuración de Cloud VPN, definición de IAM y Service Accounts</w:t>
            </w:r>
          </w:p>
        </w:tc>
        <w:tc>
          <w:tcPr>
            <w:tcW w:type="dxa" w:w="2800"/>
            <w:shd w:fill="FFFFFF" w:val="clear"/>
            <w:tcMar>
              <w:top w:type="dxa" w:w="100"/>
              <w:left w:type="dxa" w:w="120"/>
              <w:bottom w:type="dxa" w:w="100"/>
              <w:right w:type="dxa" w:w="120"/>
            </w:tcMar>
          </w:tcPr>
          <w:p>
            <w:r>
              <w:rPr>
                <w:b w:val="false"/>
                <w:bCs w:val="false"/>
                <w:color w:val="222222"/>
                <w:sz w:val="19"/>
                <w:szCs w:val="19"/>
              </w:rPr>
              <w:t xml:space="preserve">2 semanas</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2. Ingesta y zona RAW</w:t>
            </w:r>
          </w:p>
        </w:tc>
        <w:tc>
          <w:tcPr>
            <w:tcW w:type="dxa" w:w="4400"/>
            <w:shd w:fill="FFFFFF" w:val="clear"/>
            <w:tcMar>
              <w:top w:type="dxa" w:w="100"/>
              <w:left w:type="dxa" w:w="120"/>
              <w:bottom w:type="dxa" w:w="100"/>
              <w:right w:type="dxa" w:w="120"/>
            </w:tcMar>
          </w:tcPr>
          <w:p>
            <w:r>
              <w:rPr>
                <w:b w:val="false"/>
                <w:bCs w:val="false"/>
                <w:color w:val="222222"/>
                <w:sz w:val="19"/>
                <w:szCs w:val="19"/>
              </w:rPr>
              <w:t xml:space="preserve">Desarrollo de Cloud Run, configuración de Cloud Scheduler, carga a BigQuery RAW</w:t>
            </w:r>
          </w:p>
        </w:tc>
        <w:tc>
          <w:tcPr>
            <w:tcW w:type="dxa" w:w="2800"/>
            <w:shd w:fill="FFFFFF" w:val="clear"/>
            <w:tcMar>
              <w:top w:type="dxa" w:w="100"/>
              <w:left w:type="dxa" w:w="120"/>
              <w:bottom w:type="dxa" w:w="100"/>
              <w:right w:type="dxa" w:w="120"/>
            </w:tcMar>
          </w:tcPr>
          <w:p>
            <w:r>
              <w:rPr>
                <w:b w:val="false"/>
                <w:bCs w:val="false"/>
                <w:color w:val="222222"/>
                <w:sz w:val="19"/>
                <w:szCs w:val="19"/>
              </w:rPr>
              <w:t xml:space="preserve">3 semanas</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3. Transformación y modelo</w:t>
            </w:r>
          </w:p>
        </w:tc>
        <w:tc>
          <w:tcPr>
            <w:tcW w:type="dxa" w:w="4400"/>
            <w:shd w:fill="FFFFFF" w:val="clear"/>
            <w:tcMar>
              <w:top w:type="dxa" w:w="100"/>
              <w:left w:type="dxa" w:w="120"/>
              <w:bottom w:type="dxa" w:w="100"/>
              <w:right w:type="dxa" w:w="120"/>
            </w:tcMar>
          </w:tcPr>
          <w:p>
            <w:r>
              <w:rPr>
                <w:b w:val="false"/>
                <w:bCs w:val="false"/>
                <w:color w:val="222222"/>
                <w:sz w:val="19"/>
                <w:szCs w:val="19"/>
              </w:rPr>
              <w:t xml:space="preserve">Desarrollo de pipelines en Dataform, construcción del modelo dimensional</w:t>
            </w:r>
          </w:p>
        </w:tc>
        <w:tc>
          <w:tcPr>
            <w:tcW w:type="dxa" w:w="2800"/>
            <w:shd w:fill="FFFFFF" w:val="clear"/>
            <w:tcMar>
              <w:top w:type="dxa" w:w="100"/>
              <w:left w:type="dxa" w:w="120"/>
              <w:bottom w:type="dxa" w:w="100"/>
              <w:right w:type="dxa" w:w="120"/>
            </w:tcMar>
          </w:tcPr>
          <w:p>
            <w:r>
              <w:rPr>
                <w:b w:val="false"/>
                <w:bCs w:val="false"/>
                <w:color w:val="222222"/>
                <w:sz w:val="19"/>
                <w:szCs w:val="19"/>
              </w:rPr>
              <w:t xml:space="preserve">3 semanas</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4. Visualización y agentes</w:t>
            </w:r>
          </w:p>
        </w:tc>
        <w:tc>
          <w:tcPr>
            <w:tcW w:type="dxa" w:w="4400"/>
            <w:shd w:fill="FFFFFF" w:val="clear"/>
            <w:tcMar>
              <w:top w:type="dxa" w:w="100"/>
              <w:left w:type="dxa" w:w="120"/>
              <w:bottom w:type="dxa" w:w="100"/>
              <w:right w:type="dxa" w:w="120"/>
            </w:tcMar>
          </w:tcPr>
          <w:p>
            <w:r>
              <w:rPr>
                <w:b w:val="false"/>
                <w:bCs w:val="false"/>
                <w:color w:val="222222"/>
                <w:sz w:val="19"/>
                <w:szCs w:val="19"/>
              </w:rPr>
              <w:t xml:space="preserve">Conexión de Power BI y habilitación del consumo por agentes de IA</w:t>
            </w:r>
          </w:p>
        </w:tc>
        <w:tc>
          <w:tcPr>
            <w:tcW w:type="dxa" w:w="2800"/>
            <w:shd w:fill="FFFFFF" w:val="clear"/>
            <w:tcMar>
              <w:top w:type="dxa" w:w="100"/>
              <w:left w:type="dxa" w:w="120"/>
              <w:bottom w:type="dxa" w:w="100"/>
              <w:right w:type="dxa" w:w="120"/>
            </w:tcMar>
          </w:tcPr>
          <w:p>
            <w:r>
              <w:rPr>
                <w:b w:val="false"/>
                <w:bCs w:val="false"/>
                <w:color w:val="222222"/>
                <w:sz w:val="19"/>
                <w:szCs w:val="19"/>
              </w:rPr>
              <w:t xml:space="preserve">2 semanas</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5. Estabilización y monitoreo</w:t>
            </w:r>
          </w:p>
        </w:tc>
        <w:tc>
          <w:tcPr>
            <w:tcW w:type="dxa" w:w="4400"/>
            <w:shd w:fill="FFFFFF" w:val="clear"/>
            <w:tcMar>
              <w:top w:type="dxa" w:w="100"/>
              <w:left w:type="dxa" w:w="120"/>
              <w:bottom w:type="dxa" w:w="100"/>
              <w:right w:type="dxa" w:w="120"/>
            </w:tcMar>
          </w:tcPr>
          <w:p>
            <w:r>
              <w:rPr>
                <w:b w:val="false"/>
                <w:bCs w:val="false"/>
                <w:color w:val="222222"/>
                <w:sz w:val="19"/>
                <w:szCs w:val="19"/>
              </w:rPr>
              <w:t xml:space="preserve">Pruebas integrales, ajuste de alertas y documentación final</w:t>
            </w:r>
          </w:p>
        </w:tc>
        <w:tc>
          <w:tcPr>
            <w:tcW w:type="dxa" w:w="2800"/>
            <w:shd w:fill="FFFFFF" w:val="clear"/>
            <w:tcMar>
              <w:top w:type="dxa" w:w="100"/>
              <w:left w:type="dxa" w:w="120"/>
              <w:bottom w:type="dxa" w:w="100"/>
              <w:right w:type="dxa" w:w="120"/>
            </w:tcMar>
          </w:tcPr>
          <w:p>
            <w:r>
              <w:rPr>
                <w:b w:val="false"/>
                <w:bCs w:val="false"/>
                <w:color w:val="222222"/>
                <w:sz w:val="19"/>
                <w:szCs w:val="19"/>
              </w:rPr>
              <w:t xml:space="preserve">1-2 semanas</w:t>
            </w:r>
          </w:p>
        </w:tc>
      </w:tr>
    </w:tbl>
    <w:p>
      <w:pPr>
        <w:pStyle w:val="Heading1"/>
        <w:pBdr>
          <w:bottom w:val="single" w:color="1A73E8" w:sz="8" w:space="4"/>
        </w:pBdr>
        <w:spacing w:after="160" w:before="360"/>
      </w:pPr>
      <w:r>
        <w:rPr>
          <w:b/>
          <w:bCs/>
          <w:color w:val="0B2545"/>
          <w:sz w:val="28"/>
          <w:szCs w:val="28"/>
        </w:rPr>
        <w:t xml:space="preserve">13. Conclusión</w:t>
      </w:r>
    </w:p>
    <w:p>
      <w:pPr>
        <w:spacing w:after="160" w:line="276"/>
        <w:jc w:val="both"/>
      </w:pPr>
      <w:r>
        <w:rPr>
          <w:color w:val="222222"/>
          <w:sz w:val="21"/>
          <w:szCs w:val="21"/>
        </w:rPr>
        <w:t xml:space="preserve">La propuesta ofrece el mejor balance entre costo, simplicidad, seguridad, escalabilidad y capacidades analíticas para el volumen de datos actual del Sistema de Aduanas. La arquitectura basada en cargas incrementales programadas mediante Cloud Scheduler resuelve la necesidad de datos casi en tiempo real sin incurrir en la complejidad y el costo de una solución CDC.</w:t>
      </w:r>
    </w:p>
    <w:p>
      <w:pPr>
        <w:spacing w:after="160" w:line="276"/>
        <w:jc w:val="both"/>
      </w:pPr>
      <w:r>
        <w:rPr>
          <w:color w:val="222222"/>
          <w:sz w:val="21"/>
          <w:szCs w:val="21"/>
        </w:rPr>
        <w:t xml:space="preserve">Adicionalmente, el diseño desacoplado por etapas (extracción, RAW, transformación, modelo analítico, consumo) permite que la solución evolucione de forma progresiva, incorporando en el futuro una arquitectura CDC en tiempo real si el crecimiento del negocio lo justifica, sin necesidad de rediseñar la solución desde cero.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54128888A2DC4EB6424E616852EDA1" ma:contentTypeVersion="0" ma:contentTypeDescription="Crear nuevo documento." ma:contentTypeScope="" ma:versionID="632a65cef50a2bf0bf7ff537877db149">
  <xsd:schema xmlns:xsd="http://www.w3.org/2001/XMLSchema" xmlns:xs="http://www.w3.org/2001/XMLSchema" xmlns:p="http://schemas.microsoft.com/office/2006/metadata/properties" targetNamespace="http://schemas.microsoft.com/office/2006/metadata/properties" ma:root="true" ma:fieldsID="b037ac2621b9b9c8cd06b50fac5857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8B81AF-A19D-4161-B731-4EB49DE55382}"/>
</file>

<file path=customXml/itemProps2.xml><?xml version="1.0" encoding="utf-8"?>
<ds:datastoreItem xmlns:ds="http://schemas.openxmlformats.org/officeDocument/2006/customXml" ds:itemID="{6C0183FF-48D2-4321-B978-C2D377192179}"/>
</file>

<file path=customXml/itemProps3.xml><?xml version="1.0" encoding="utf-8"?>
<ds:datastoreItem xmlns:ds="http://schemas.openxmlformats.org/officeDocument/2006/customXml" ds:itemID="{B51A6D01-A316-440C-8C09-F2C9FD29D41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2026-07-23T19:36:34Z</dcterms:created>
  <dcterms:modified xsi:type="dcterms:W3CDTF">2026-07-23T19:36:34Z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0x0101001F54128888A2DC4EB6424E616852EDA1</vt:lpwstr>
  </property>
</Properties>
</file>