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B957" w14:textId="3C197389" w:rsidR="00E50CB8" w:rsidRPr="001E6F2A" w:rsidRDefault="00E50CB8" w:rsidP="00E50CB8">
      <w:pPr>
        <w:pStyle w:val="Heading1"/>
      </w:pPr>
      <w:r w:rsidRPr="001E6F2A">
        <w:t>Appendix B: Assets and Liabilities</w:t>
      </w:r>
    </w:p>
    <w:p w14:paraId="00E629D5" w14:textId="77777777" w:rsidR="00E50CB8" w:rsidRPr="001E6F2A" w:rsidRDefault="00E50CB8" w:rsidP="00E50CB8">
      <w:pPr>
        <w:pStyle w:val="Heading2"/>
      </w:pPr>
      <w:r w:rsidRPr="001E6F2A">
        <w:t>Overview</w:t>
      </w:r>
    </w:p>
    <w:p w14:paraId="18DF8116" w14:textId="1B27F2E3" w:rsidR="00E50CB8" w:rsidRPr="001E6F2A" w:rsidRDefault="00E50CB8" w:rsidP="00E50CB8">
      <w:r w:rsidRPr="001E6F2A">
        <w:t xml:space="preserve">This appendix provides an overview and commentary on </w:t>
      </w:r>
      <w:r w:rsidRPr="002A0FE4">
        <w:t>Statement 1</w:t>
      </w:r>
      <w:r w:rsidR="00F54461">
        <w:t>0</w:t>
      </w:r>
      <w:r w:rsidRPr="002A0FE4">
        <w:t xml:space="preserve">: </w:t>
      </w:r>
      <w:r w:rsidRPr="00F6651B">
        <w:rPr>
          <w:rStyle w:val="Emphasis"/>
        </w:rPr>
        <w:t>Australian Government Budget Financial Statements</w:t>
      </w:r>
      <w:r w:rsidRPr="001E6F2A">
        <w:t xml:space="preserve"> including estimates of the Australian </w:t>
      </w:r>
      <w:r w:rsidR="008D2270" w:rsidRPr="001E6F2A">
        <w:t>Government</w:t>
      </w:r>
      <w:r w:rsidR="00390046">
        <w:t>’</w:t>
      </w:r>
      <w:r w:rsidR="008D2270">
        <w:t>s</w:t>
      </w:r>
      <w:r w:rsidRPr="001E6F2A">
        <w:t xml:space="preserve"> budgeted assets and liabilities at 30 June for the current year, budget year and </w:t>
      </w:r>
      <w:r w:rsidR="00052B40">
        <w:t>three</w:t>
      </w:r>
      <w:r w:rsidR="00D6273D" w:rsidRPr="001E6F2A">
        <w:t xml:space="preserve"> </w:t>
      </w:r>
      <w:r w:rsidRPr="001E6F2A">
        <w:t xml:space="preserve">forward years. </w:t>
      </w:r>
    </w:p>
    <w:p w14:paraId="1BA25670" w14:textId="4052F884" w:rsidR="00F55309" w:rsidRPr="001E6F2A" w:rsidRDefault="00F55309" w:rsidP="00E50CB8">
      <w:r w:rsidRPr="001E6F2A">
        <w:t>Changes in the balance sheet reflect movements in the budgeted operating result and balance sheet transactions</w:t>
      </w:r>
      <w:r w:rsidR="00503129" w:rsidRPr="001E6F2A">
        <w:t>.</w:t>
      </w:r>
    </w:p>
    <w:p w14:paraId="36BFAF53" w14:textId="49DE7AC3" w:rsidR="00875469" w:rsidRDefault="00875469" w:rsidP="00875469">
      <w:r w:rsidRPr="00493735">
        <w:t xml:space="preserve">A more detailed explanation of major assets and liabilities held by Commonwealth entities, which form part of the Australian </w:t>
      </w:r>
      <w:r w:rsidR="007E0C67" w:rsidRPr="00493735">
        <w:t>Government</w:t>
      </w:r>
      <w:r w:rsidR="00390046">
        <w:t>’</w:t>
      </w:r>
      <w:r w:rsidR="007E0C67">
        <w:t>s</w:t>
      </w:r>
      <w:r w:rsidRPr="00493735">
        <w:t xml:space="preserve"> balance sheet, can be found in the </w:t>
      </w:r>
      <w:r w:rsidRPr="008141C4">
        <w:rPr>
          <w:rStyle w:val="Emphasis"/>
        </w:rPr>
        <w:t>Commonwealth Balance Sheet User Guide</w:t>
      </w:r>
      <w:r w:rsidRPr="00F6651B">
        <w:rPr>
          <w:rStyle w:val="Emphasis"/>
        </w:rPr>
        <w:t>,</w:t>
      </w:r>
      <w:r w:rsidRPr="00493735">
        <w:t xml:space="preserve"> published on the Finance website. </w:t>
      </w:r>
    </w:p>
    <w:p w14:paraId="72B5E395" w14:textId="00A6F8AF" w:rsidR="00875469" w:rsidRPr="00E0340D" w:rsidRDefault="00875469" w:rsidP="00875469">
      <w:r w:rsidRPr="00493735">
        <w:t xml:space="preserve">Further information on the </w:t>
      </w:r>
      <w:r w:rsidR="007E0C67" w:rsidRPr="00493735">
        <w:t>Government</w:t>
      </w:r>
      <w:r w:rsidR="00390046">
        <w:t>’</w:t>
      </w:r>
      <w:r w:rsidR="007E0C67">
        <w:t>s</w:t>
      </w:r>
      <w:r w:rsidRPr="00493735">
        <w:t xml:space="preserve"> fiscal strategy in relation to the balance sheet can be found in Statement 3: </w:t>
      </w:r>
      <w:r w:rsidRPr="00F6651B">
        <w:rPr>
          <w:rStyle w:val="Emphasis"/>
        </w:rPr>
        <w:t>Fiscal Strategy and Outlook.</w:t>
      </w:r>
      <w:r w:rsidRPr="00493735">
        <w:t xml:space="preserve"> </w:t>
      </w:r>
    </w:p>
    <w:p w14:paraId="77B3FF1E" w14:textId="10F6055D" w:rsidR="00E50CB8" w:rsidRPr="001E6F2A" w:rsidRDefault="00E50CB8" w:rsidP="00E50CB8">
      <w:pPr>
        <w:pStyle w:val="Heading2"/>
      </w:pPr>
      <w:bookmarkStart w:id="0" w:name="_Toc4789264"/>
      <w:r w:rsidRPr="001E6F2A">
        <w:t xml:space="preserve">The Australian </w:t>
      </w:r>
      <w:r w:rsidR="007E0C67" w:rsidRPr="001E6F2A">
        <w:t>Government</w:t>
      </w:r>
      <w:r w:rsidR="00390046">
        <w:t>’</w:t>
      </w:r>
      <w:r w:rsidR="007E0C67">
        <w:t>s</w:t>
      </w:r>
      <w:r w:rsidRPr="001E6F2A">
        <w:t xml:space="preserve"> assets and liabilities</w:t>
      </w:r>
      <w:bookmarkEnd w:id="0"/>
    </w:p>
    <w:p w14:paraId="4F4F1164" w14:textId="77777777" w:rsidR="00E50CB8" w:rsidRPr="001E6F2A" w:rsidRDefault="00E50CB8" w:rsidP="00E50CB8">
      <w:pPr>
        <w:pStyle w:val="Heading3"/>
      </w:pPr>
      <w:bookmarkStart w:id="1" w:name="_Toc4789265"/>
      <w:r w:rsidRPr="001E6F2A">
        <w:t>Assets</w:t>
      </w:r>
      <w:bookmarkEnd w:id="1"/>
    </w:p>
    <w:p w14:paraId="275B0DF5" w14:textId="4EB2C7AC" w:rsidR="00E50CB8" w:rsidRPr="00BE63BC" w:rsidRDefault="00481837" w:rsidP="00E50CB8">
      <w:r w:rsidRPr="00111F40">
        <w:t xml:space="preserve">The </w:t>
      </w:r>
      <w:r w:rsidR="007E0C67" w:rsidRPr="00111F40">
        <w:t>Government</w:t>
      </w:r>
      <w:r w:rsidR="00390046">
        <w:t>’</w:t>
      </w:r>
      <w:r w:rsidR="007E0C67">
        <w:t>s</w:t>
      </w:r>
      <w:r w:rsidRPr="00111F40">
        <w:t xml:space="preserve"> total assets were $790.3</w:t>
      </w:r>
      <w:r w:rsidRPr="00111F40">
        <w:rPr>
          <w:rFonts w:hint="eastAsia"/>
        </w:rPr>
        <w:t> </w:t>
      </w:r>
      <w:r w:rsidRPr="00111F40">
        <w:t xml:space="preserve">billion at 30 June 2023, and are estimated to be </w:t>
      </w:r>
      <w:r w:rsidRPr="00C13438">
        <w:t>$82</w:t>
      </w:r>
      <w:r w:rsidR="0043511E" w:rsidRPr="00C13438">
        <w:t>5</w:t>
      </w:r>
      <w:r w:rsidRPr="00C13438">
        <w:t>.</w:t>
      </w:r>
      <w:r w:rsidR="00B05C02" w:rsidRPr="00C13438">
        <w:t>9</w:t>
      </w:r>
      <w:r w:rsidRPr="00C13438">
        <w:rPr>
          <w:rFonts w:hint="eastAsia"/>
        </w:rPr>
        <w:t> </w:t>
      </w:r>
      <w:r w:rsidRPr="00C13438">
        <w:t xml:space="preserve">billion </w:t>
      </w:r>
      <w:r w:rsidRPr="00111F40">
        <w:t xml:space="preserve">at 30 June 2024 and </w:t>
      </w:r>
      <w:r w:rsidRPr="00C13438">
        <w:t>$9</w:t>
      </w:r>
      <w:r w:rsidR="00B05C02" w:rsidRPr="00C13438">
        <w:t>63</w:t>
      </w:r>
      <w:r w:rsidRPr="00C13438">
        <w:t>.</w:t>
      </w:r>
      <w:r w:rsidR="00FB7F0E" w:rsidRPr="00C13438">
        <w:t>2</w:t>
      </w:r>
      <w:r w:rsidRPr="00C13438">
        <w:t xml:space="preserve"> billion </w:t>
      </w:r>
      <w:r w:rsidRPr="00111F40">
        <w:t>at 30 June 2028</w:t>
      </w:r>
      <w:r w:rsidRPr="00BE63BC">
        <w:t>.</w:t>
      </w:r>
    </w:p>
    <w:p w14:paraId="6F3F172F" w14:textId="77777777" w:rsidR="00FC7A26" w:rsidRDefault="00FC7A26">
      <w:pPr>
        <w:spacing w:before="0" w:after="160" w:line="259" w:lineRule="auto"/>
      </w:pPr>
      <w:r>
        <w:br w:type="page"/>
      </w:r>
    </w:p>
    <w:p w14:paraId="6B3347AB" w14:textId="4E6D2DAF" w:rsidR="00E50CB8" w:rsidRPr="001C30D5" w:rsidRDefault="00E50CB8" w:rsidP="00E50CB8">
      <w:r w:rsidRPr="001C30D5">
        <w:lastRenderedPageBreak/>
        <w:t xml:space="preserve">The composition of Australian Government GGS assets </w:t>
      </w:r>
      <w:r w:rsidRPr="00B413EF">
        <w:t>at 30 June 202</w:t>
      </w:r>
      <w:r w:rsidR="00BA0A8F" w:rsidRPr="001C30D5">
        <w:t>4</w:t>
      </w:r>
      <w:r w:rsidRPr="001C30D5">
        <w:t xml:space="preserve"> is presented below in Chart 1</w:t>
      </w:r>
      <w:r w:rsidR="00BE63BC">
        <w:t>0</w:t>
      </w:r>
      <w:r w:rsidRPr="001C30D5">
        <w:t>B.1.</w:t>
      </w:r>
    </w:p>
    <w:p w14:paraId="295158E5" w14:textId="09732942" w:rsidR="00E50CB8" w:rsidRPr="001E6F2A" w:rsidRDefault="00E50CB8" w:rsidP="00E50CB8">
      <w:pPr>
        <w:pStyle w:val="ChartMainHeading"/>
      </w:pPr>
      <w:r w:rsidRPr="001C30D5">
        <w:t>Chart 1</w:t>
      </w:r>
      <w:r w:rsidR="00BE63BC">
        <w:t>0</w:t>
      </w:r>
      <w:r w:rsidRPr="001C30D5">
        <w:t>B.1:</w:t>
      </w:r>
      <w:r w:rsidRPr="001E6F2A">
        <w:t xml:space="preserve"> Australian Government GGS asset composition</w:t>
      </w:r>
    </w:p>
    <w:p w14:paraId="30CC00B7" w14:textId="6F41D6E2" w:rsidR="00E50CB8" w:rsidRPr="001E6F2A" w:rsidRDefault="000E0F49" w:rsidP="00E50CB8">
      <w:pPr>
        <w:pStyle w:val="ChartGraphic"/>
      </w:pPr>
      <w:r>
        <w:rPr>
          <w:noProof/>
        </w:rPr>
        <w:drawing>
          <wp:inline distT="0" distB="0" distL="0" distR="0" wp14:anchorId="51719BC1" wp14:editId="6F26E4F9">
            <wp:extent cx="4903140" cy="3413499"/>
            <wp:effectExtent l="0" t="0" r="0" b="0"/>
            <wp:docPr id="854925753" name="Picture 854925753" descr="This chart illustrates the Australian Government General Government Sector asset composition as at 30 June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25753" name="Picture 854925753" descr="This chart illustrates the Australian Government General Government Sector asset composition as at 30 June 2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9931" cy="3418227"/>
                    </a:xfrm>
                    <a:prstGeom prst="rect">
                      <a:avLst/>
                    </a:prstGeom>
                    <a:noFill/>
                  </pic:spPr>
                </pic:pic>
              </a:graphicData>
            </a:graphic>
          </wp:inline>
        </w:drawing>
      </w:r>
    </w:p>
    <w:p w14:paraId="1D4436D0" w14:textId="637A16D5" w:rsidR="00E50CB8" w:rsidRPr="001E6F2A" w:rsidRDefault="00E50CB8" w:rsidP="00E50CB8">
      <w:pPr>
        <w:pStyle w:val="ChartandTableFootnote"/>
        <w:rPr>
          <w:color w:val="auto"/>
        </w:rPr>
      </w:pPr>
      <w:r w:rsidRPr="001E6F2A">
        <w:rPr>
          <w:color w:val="auto"/>
        </w:rPr>
        <w:t xml:space="preserve">Note: </w:t>
      </w:r>
      <w:r w:rsidRPr="001E6F2A">
        <w:rPr>
          <w:color w:val="auto"/>
        </w:rPr>
        <w:tab/>
        <w:t>Other financial assets includes cash and deposits and other receivables.</w:t>
      </w:r>
    </w:p>
    <w:p w14:paraId="5CF7843B" w14:textId="77777777" w:rsidR="00E50CB8" w:rsidRPr="00A9142B" w:rsidRDefault="00E50CB8" w:rsidP="00A9142B">
      <w:pPr>
        <w:pStyle w:val="ChartLine"/>
      </w:pPr>
    </w:p>
    <w:p w14:paraId="1E98ADE4" w14:textId="1C199ACE" w:rsidR="00E50CB8" w:rsidRPr="001E6F2A" w:rsidRDefault="00E50CB8" w:rsidP="00E50CB8">
      <w:pPr>
        <w:pStyle w:val="Heading4"/>
      </w:pPr>
      <w:r w:rsidRPr="001E6F2A">
        <w:t>Australian Government assets over the forward estimates</w:t>
      </w:r>
    </w:p>
    <w:p w14:paraId="6253D13A" w14:textId="6C8EAD29" w:rsidR="00E50CB8" w:rsidRPr="001E6F2A" w:rsidRDefault="00E50CB8" w:rsidP="00E50CB8">
      <w:r w:rsidRPr="00E86E7F">
        <w:t xml:space="preserve">The </w:t>
      </w:r>
      <w:r w:rsidR="009322E0" w:rsidRPr="00E86E7F">
        <w:t>Government</w:t>
      </w:r>
      <w:r w:rsidR="00390046">
        <w:t>’</w:t>
      </w:r>
      <w:r w:rsidR="009322E0">
        <w:t>s</w:t>
      </w:r>
      <w:r w:rsidRPr="00E86E7F">
        <w:t xml:space="preserve"> total assets are expected to grow over the forward estimates due to increased advances paid, investments and acquisitions of non</w:t>
      </w:r>
      <w:r w:rsidR="00390046">
        <w:noBreakHyphen/>
      </w:r>
      <w:r w:rsidRPr="00E86E7F">
        <w:t>financial assets.</w:t>
      </w:r>
    </w:p>
    <w:p w14:paraId="7EC1FDA6" w14:textId="77777777" w:rsidR="009C7DE7" w:rsidRDefault="009C7DE7">
      <w:pPr>
        <w:spacing w:before="0" w:after="160" w:line="259" w:lineRule="auto"/>
      </w:pPr>
      <w:r>
        <w:br w:type="page"/>
      </w:r>
    </w:p>
    <w:p w14:paraId="448E9043" w14:textId="69AA0036" w:rsidR="00E50CB8" w:rsidRPr="00826F32" w:rsidRDefault="00E50CB8" w:rsidP="00E50CB8">
      <w:r w:rsidRPr="00826F32">
        <w:lastRenderedPageBreak/>
        <w:t xml:space="preserve">The budgeted composition of assets on the Australian </w:t>
      </w:r>
      <w:r w:rsidR="009322E0" w:rsidRPr="00826F32">
        <w:t>Government</w:t>
      </w:r>
      <w:r w:rsidR="00390046">
        <w:t>’</w:t>
      </w:r>
      <w:r w:rsidR="009322E0">
        <w:t>s</w:t>
      </w:r>
      <w:r w:rsidRPr="00826F32">
        <w:t xml:space="preserve"> balance sheet is provided in Chart 1</w:t>
      </w:r>
      <w:r w:rsidR="00EE0558">
        <w:t>0</w:t>
      </w:r>
      <w:r w:rsidRPr="00826F32">
        <w:t xml:space="preserve">B.2 below. </w:t>
      </w:r>
    </w:p>
    <w:p w14:paraId="2C412D49" w14:textId="2E23B576" w:rsidR="00E50CB8" w:rsidRPr="001E6F2A" w:rsidRDefault="00E50CB8" w:rsidP="00E50CB8">
      <w:pPr>
        <w:pStyle w:val="ChartMainHeading"/>
      </w:pPr>
      <w:r w:rsidRPr="00826F32">
        <w:t>Chart 1</w:t>
      </w:r>
      <w:r w:rsidR="00EE0558">
        <w:t>0</w:t>
      </w:r>
      <w:r w:rsidRPr="00826F32">
        <w:t>B.2: Australian</w:t>
      </w:r>
      <w:r w:rsidRPr="001E6F2A">
        <w:t xml:space="preserve"> Government assets over the forward estimates</w:t>
      </w:r>
    </w:p>
    <w:p w14:paraId="61B109D7" w14:textId="28A04541" w:rsidR="00655199" w:rsidRPr="001E6F2A" w:rsidRDefault="00A72210" w:rsidP="00E50CB8">
      <w:pPr>
        <w:pStyle w:val="ChartGraphic"/>
      </w:pPr>
      <w:r>
        <w:rPr>
          <w:noProof/>
        </w:rPr>
        <w:drawing>
          <wp:inline distT="0" distB="0" distL="0" distR="0" wp14:anchorId="18CBBECD" wp14:editId="32797461">
            <wp:extent cx="4657725" cy="2932430"/>
            <wp:effectExtent l="0" t="0" r="9525" b="1270"/>
            <wp:docPr id="2053856086" name="Picture 2053856086" descr="This chart illustrates the Australian Government General Government Sector asset composition over the forward estim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56086" name="Picture 2053856086" descr="This chart illustrates the Australian Government General Government Sector asset composition over the forward estima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2932430"/>
                    </a:xfrm>
                    <a:prstGeom prst="rect">
                      <a:avLst/>
                    </a:prstGeom>
                    <a:noFill/>
                  </pic:spPr>
                </pic:pic>
              </a:graphicData>
            </a:graphic>
          </wp:inline>
        </w:drawing>
      </w:r>
    </w:p>
    <w:p w14:paraId="6B906D0C" w14:textId="6B6F7172" w:rsidR="00E50CB8" w:rsidRPr="001E6F2A" w:rsidRDefault="00E50CB8" w:rsidP="00E50CB8">
      <w:pPr>
        <w:pStyle w:val="ChartandTableFootnote"/>
        <w:rPr>
          <w:color w:val="auto"/>
        </w:rPr>
      </w:pPr>
      <w:r w:rsidRPr="001E6F2A">
        <w:rPr>
          <w:color w:val="auto"/>
        </w:rPr>
        <w:t xml:space="preserve">Note: </w:t>
      </w:r>
      <w:r w:rsidRPr="001E6F2A">
        <w:rPr>
          <w:color w:val="auto"/>
        </w:rPr>
        <w:tab/>
        <w:t>Other financial assets includes cash and deposits and other receivables.</w:t>
      </w:r>
    </w:p>
    <w:p w14:paraId="1EB45DD9" w14:textId="77777777" w:rsidR="00E50CB8" w:rsidRPr="001E6F2A" w:rsidRDefault="00E50CB8" w:rsidP="00B40B09">
      <w:pPr>
        <w:pStyle w:val="ChartLine"/>
      </w:pPr>
    </w:p>
    <w:p w14:paraId="3613FC08" w14:textId="77777777" w:rsidR="007968C7" w:rsidRDefault="007968C7">
      <w:pPr>
        <w:spacing w:before="0" w:after="160" w:line="259" w:lineRule="auto"/>
        <w:rPr>
          <w:rFonts w:ascii="Arial Bold" w:hAnsi="Arial Bold"/>
          <w:b/>
          <w:sz w:val="22"/>
        </w:rPr>
      </w:pPr>
      <w:bookmarkStart w:id="2" w:name="_Hlk134008648"/>
      <w:r>
        <w:br w:type="page"/>
      </w:r>
    </w:p>
    <w:p w14:paraId="0881044F" w14:textId="69928C0F" w:rsidR="00E50CB8" w:rsidRPr="001E6F2A" w:rsidRDefault="00E50CB8" w:rsidP="00E50CB8">
      <w:pPr>
        <w:pStyle w:val="Heading3"/>
      </w:pPr>
      <w:r w:rsidRPr="001E6F2A">
        <w:lastRenderedPageBreak/>
        <w:t>Financial assets</w:t>
      </w:r>
    </w:p>
    <w:bookmarkEnd w:id="2"/>
    <w:p w14:paraId="1435C3E3" w14:textId="0D1B7F90" w:rsidR="00B03AB9" w:rsidRPr="00B03AB9" w:rsidRDefault="00B03AB9" w:rsidP="00B03AB9">
      <w:r w:rsidRPr="004371FE">
        <w:t xml:space="preserve">The </w:t>
      </w:r>
      <w:r w:rsidR="009322E0" w:rsidRPr="004371FE">
        <w:t>Government</w:t>
      </w:r>
      <w:r w:rsidR="00390046">
        <w:t>’</w:t>
      </w:r>
      <w:r w:rsidR="009322E0">
        <w:t>s</w:t>
      </w:r>
      <w:r w:rsidRPr="004371FE">
        <w:t xml:space="preserve"> financial assets are estimated to be </w:t>
      </w:r>
      <w:r w:rsidRPr="00FD2234">
        <w:t>$61</w:t>
      </w:r>
      <w:r w:rsidR="00E757FE" w:rsidRPr="00FD2234">
        <w:t>4</w:t>
      </w:r>
      <w:r w:rsidRPr="00FD2234">
        <w:t>.</w:t>
      </w:r>
      <w:r w:rsidR="00E757FE" w:rsidRPr="00FD2234">
        <w:t>2</w:t>
      </w:r>
      <w:r w:rsidRPr="00FD2234">
        <w:rPr>
          <w:rFonts w:hint="eastAsia"/>
        </w:rPr>
        <w:t> </w:t>
      </w:r>
      <w:r w:rsidRPr="00FD2234">
        <w:t xml:space="preserve">billion </w:t>
      </w:r>
      <w:r w:rsidRPr="004371FE">
        <w:t>at 30 June 2024, increasing to</w:t>
      </w:r>
      <w:r w:rsidRPr="00FD2234">
        <w:t xml:space="preserve"> $</w:t>
      </w:r>
      <w:r w:rsidR="00AE7AF0" w:rsidRPr="00FD2234">
        <w:t>717</w:t>
      </w:r>
      <w:r w:rsidRPr="00FD2234">
        <w:t>.</w:t>
      </w:r>
      <w:r w:rsidR="00AE7AF0" w:rsidRPr="00FD2234">
        <w:t>5</w:t>
      </w:r>
      <w:r w:rsidRPr="00FD2234">
        <w:rPr>
          <w:rFonts w:hint="eastAsia"/>
        </w:rPr>
        <w:t> </w:t>
      </w:r>
      <w:r w:rsidRPr="00FD2234">
        <w:t xml:space="preserve">billion </w:t>
      </w:r>
      <w:r w:rsidRPr="004371FE">
        <w:t>by 30 June 2028.</w:t>
      </w:r>
    </w:p>
    <w:p w14:paraId="01077288" w14:textId="6FCE113C" w:rsidR="00E50CB8" w:rsidRPr="001E6F2A" w:rsidRDefault="00E50CB8" w:rsidP="00E50CB8">
      <w:pPr>
        <w:pStyle w:val="ChartMainHeading"/>
      </w:pPr>
      <w:r w:rsidRPr="00720DCE">
        <w:t>Chart 1</w:t>
      </w:r>
      <w:r w:rsidR="007D5D58">
        <w:t>0</w:t>
      </w:r>
      <w:r w:rsidRPr="00720DCE">
        <w:t>B.3: Financial</w:t>
      </w:r>
      <w:r w:rsidRPr="001E6F2A">
        <w:t xml:space="preserve"> assets over the forward estimates</w:t>
      </w:r>
    </w:p>
    <w:p w14:paraId="15C18242" w14:textId="218ADC8D" w:rsidR="00E50CB8" w:rsidRPr="001E6F2A" w:rsidRDefault="00DB203B" w:rsidP="00E50CB8">
      <w:pPr>
        <w:pStyle w:val="ChartGraphic"/>
      </w:pPr>
      <w:r>
        <w:rPr>
          <w:noProof/>
        </w:rPr>
        <w:drawing>
          <wp:inline distT="0" distB="0" distL="0" distR="0" wp14:anchorId="1C1E0011" wp14:editId="2EB048C5">
            <wp:extent cx="4681855" cy="2883535"/>
            <wp:effectExtent l="0" t="0" r="4445" b="0"/>
            <wp:docPr id="515941138" name="Picture 515941138" descr="This chart illustrates the Australian Government General Government Sector financial asset composition over the forward estim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41138" name="Picture 515941138" descr="This chart illustrates the Australian Government General Government Sector financial asset composition over the forward estima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1855" cy="2883535"/>
                    </a:xfrm>
                    <a:prstGeom prst="rect">
                      <a:avLst/>
                    </a:prstGeom>
                    <a:noFill/>
                  </pic:spPr>
                </pic:pic>
              </a:graphicData>
            </a:graphic>
          </wp:inline>
        </w:drawing>
      </w:r>
    </w:p>
    <w:p w14:paraId="3BAECFF5" w14:textId="77777777" w:rsidR="00E50CB8" w:rsidRPr="001E6F2A" w:rsidRDefault="00E50CB8" w:rsidP="00B40B09">
      <w:pPr>
        <w:pStyle w:val="ChartLine"/>
      </w:pPr>
    </w:p>
    <w:p w14:paraId="3C6CAEE7" w14:textId="269415DC" w:rsidR="00E50CB8" w:rsidRPr="001E6F2A" w:rsidRDefault="00E50CB8" w:rsidP="00E50CB8">
      <w:pPr>
        <w:pStyle w:val="Heading4"/>
      </w:pPr>
      <w:r w:rsidRPr="001E6F2A">
        <w:t>Advances paid</w:t>
      </w:r>
    </w:p>
    <w:p w14:paraId="2C3F25C6" w14:textId="77777777" w:rsidR="00FE7C9E" w:rsidRPr="00FE7C9E" w:rsidRDefault="00FE7C9E" w:rsidP="00FE7C9E">
      <w:r w:rsidRPr="00FE7C9E">
        <w:t xml:space="preserve">Advances paid is comprised of the Higher Education Loan Program and other student loan schemes and loans to state and territory governments. The value of advances paid is estimated to grow over the forward estimates predominantly due to expected growth in student loans. </w:t>
      </w:r>
    </w:p>
    <w:p w14:paraId="0416BD19" w14:textId="0EDF0372" w:rsidR="00E50CB8" w:rsidRPr="001E6F2A" w:rsidRDefault="00341919" w:rsidP="00E50CB8">
      <w:r w:rsidRPr="001E6F2A">
        <w:t>F</w:t>
      </w:r>
      <w:r w:rsidR="00E50CB8" w:rsidRPr="001E6F2A">
        <w:t xml:space="preserve">urther details on loans made by the Government are provided in </w:t>
      </w:r>
      <w:r w:rsidR="00E50CB8" w:rsidRPr="009216E2">
        <w:t xml:space="preserve">Statement 9: </w:t>
      </w:r>
      <w:r w:rsidR="00E50CB8" w:rsidRPr="00577ECD">
        <w:rPr>
          <w:rStyle w:val="Emphasis"/>
        </w:rPr>
        <w:t>Statement of Risks.</w:t>
      </w:r>
    </w:p>
    <w:p w14:paraId="77610933" w14:textId="77777777" w:rsidR="00E50CB8" w:rsidRPr="001E6F2A" w:rsidRDefault="00E50CB8" w:rsidP="00E50CB8">
      <w:pPr>
        <w:pStyle w:val="Heading4"/>
      </w:pPr>
      <w:r w:rsidRPr="001E6F2A">
        <w:t>Investments, loans and placements</w:t>
      </w:r>
    </w:p>
    <w:p w14:paraId="1C6AED13" w14:textId="1B8A2ABC" w:rsidR="00C93DB6" w:rsidRDefault="003B23CF" w:rsidP="00E50CB8">
      <w:r w:rsidRPr="003B23CF">
        <w:t>Investments, loans and placements is predominantly comprised of investments held in relation to the Australian Government Investment Funds, which includes the Future Fund, as well as by other entities, such as the Australian Office of Financial Management, the Treasury and specialist investment vehicles</w:t>
      </w:r>
      <w:r w:rsidR="005E4684">
        <w:t>.</w:t>
      </w:r>
    </w:p>
    <w:p w14:paraId="3BBBD860" w14:textId="271108BE" w:rsidR="004135B3" w:rsidRPr="004135B3" w:rsidRDefault="004135B3" w:rsidP="004135B3">
      <w:r w:rsidRPr="004135B3">
        <w:t xml:space="preserve">Specialist investment vehicles include for example the </w:t>
      </w:r>
      <w:r w:rsidR="006F4276" w:rsidRPr="006F4276">
        <w:t xml:space="preserve">National Reconstruction Fund Corporation, </w:t>
      </w:r>
      <w:r w:rsidRPr="004135B3">
        <w:t xml:space="preserve">Clean Energy Finance Corporation, Northern Australia Infrastructure Facility and the Regional Investment Corporation, which provide loans, guarantees and equity injections for projects that deliver public value. </w:t>
      </w:r>
    </w:p>
    <w:p w14:paraId="08426C96" w14:textId="7533696F" w:rsidR="0070104F" w:rsidRPr="0070104F" w:rsidRDefault="0070104F" w:rsidP="0070104F">
      <w:r w:rsidRPr="0070104F">
        <w:lastRenderedPageBreak/>
        <w:t>The value of total Australian Government investments, loans and placements is expected to increase steadily over the forward estimates due to forecast investment returns and the investment activities of the Australian Government Investment Funds and specialist investment vehicles.</w:t>
      </w:r>
    </w:p>
    <w:p w14:paraId="308BB204" w14:textId="5060C0EF" w:rsidR="002C7FDD" w:rsidRPr="001E6F2A" w:rsidRDefault="002C7FDD" w:rsidP="002C7FDD">
      <w:pPr>
        <w:rPr>
          <w:rFonts w:ascii="Arial Bold" w:hAnsi="Arial Bold"/>
          <w:b/>
          <w:sz w:val="20"/>
        </w:rPr>
      </w:pPr>
      <w:r w:rsidRPr="00871ED6">
        <w:t xml:space="preserve">A breakdown of investments, loans and placements is provided in </w:t>
      </w:r>
      <w:r w:rsidRPr="00730805">
        <w:t>Note 14 to Statement 1</w:t>
      </w:r>
      <w:r>
        <w:t>0</w:t>
      </w:r>
      <w:r w:rsidRPr="00730805">
        <w:t xml:space="preserve">: </w:t>
      </w:r>
      <w:r w:rsidRPr="00577ECD">
        <w:rPr>
          <w:rStyle w:val="Emphasis"/>
        </w:rPr>
        <w:t>Australian Government Budget Financial Statements</w:t>
      </w:r>
      <w:r w:rsidRPr="00730805">
        <w:rPr>
          <w:i/>
        </w:rPr>
        <w:t xml:space="preserve"> </w:t>
      </w:r>
      <w:r w:rsidRPr="00871ED6">
        <w:t xml:space="preserve">and further information on the Australian Government Investment Funds is provided below. Further details on loans made by the Government </w:t>
      </w:r>
      <w:r>
        <w:t>is</w:t>
      </w:r>
      <w:r w:rsidRPr="00871ED6">
        <w:t xml:space="preserve"> provided in </w:t>
      </w:r>
      <w:r w:rsidRPr="003F27A0">
        <w:t xml:space="preserve">Statement 9: </w:t>
      </w:r>
      <w:r w:rsidRPr="00577ECD">
        <w:rPr>
          <w:rStyle w:val="Emphasis"/>
        </w:rPr>
        <w:t>Statement of Risks.</w:t>
      </w:r>
    </w:p>
    <w:p w14:paraId="29AD6B82" w14:textId="77777777" w:rsidR="00E67C97" w:rsidRPr="001E6F2A" w:rsidRDefault="00E67C97" w:rsidP="00E67C97">
      <w:pPr>
        <w:pStyle w:val="Heading5"/>
      </w:pPr>
      <w:bookmarkStart w:id="3" w:name="_Hlk162440725"/>
      <w:r w:rsidRPr="001E6F2A">
        <w:t>Australian Government Investment Funds</w:t>
      </w:r>
    </w:p>
    <w:bookmarkEnd w:id="3"/>
    <w:p w14:paraId="4453BEDE" w14:textId="4BF2AE69" w:rsidR="00BF3404" w:rsidRPr="00BF3404" w:rsidRDefault="00BF3404" w:rsidP="00BF3404">
      <w:r w:rsidRPr="00BF3404">
        <w:t xml:space="preserve">The Australian Government Investment Funds are the: Future Fund, DisabilityCare Australia Fund, Medical Research Future Fund, Aboriginal and Torres Strait Islander Land and Sea Future Fund, Future Drought Fund, Disaster Ready Fund and the Housing Australia Future Fund. Investments held in relation to the Australian Government Investment Funds are predominantly collective investment vehicles, other interest bearing securities and equity investments. </w:t>
      </w:r>
    </w:p>
    <w:p w14:paraId="5452D2DC" w14:textId="56120484" w:rsidR="00E67C97" w:rsidRPr="001E6F2A" w:rsidRDefault="00E67C97" w:rsidP="00E67C97">
      <w:r w:rsidRPr="001E6F2A">
        <w:t xml:space="preserve">The budgeted value of Australian Government Investment Funds is provided in </w:t>
      </w:r>
      <w:r>
        <w:t>T</w:t>
      </w:r>
      <w:r w:rsidRPr="001E6F2A">
        <w:t>able 1</w:t>
      </w:r>
      <w:r w:rsidR="008A7562">
        <w:t>0</w:t>
      </w:r>
      <w:r w:rsidRPr="001E6F2A">
        <w:t xml:space="preserve">B.1. </w:t>
      </w:r>
    </w:p>
    <w:p w14:paraId="087036BD" w14:textId="15AC72D3" w:rsidR="00E67C97" w:rsidRPr="001E6F2A" w:rsidRDefault="00E67C97" w:rsidP="00E67C97">
      <w:pPr>
        <w:pStyle w:val="TableHeading"/>
        <w:rPr>
          <w:rFonts w:asciiTheme="minorHAnsi" w:eastAsiaTheme="minorHAnsi" w:hAnsiTheme="minorHAnsi" w:cstheme="minorBidi"/>
          <w:b w:val="0"/>
          <w:sz w:val="22"/>
          <w:szCs w:val="22"/>
          <w:lang w:eastAsia="en-US"/>
        </w:rPr>
      </w:pPr>
      <w:r w:rsidRPr="001E6F2A">
        <w:t>Table 1</w:t>
      </w:r>
      <w:r w:rsidR="00E11C07">
        <w:t>0</w:t>
      </w:r>
      <w:r w:rsidRPr="001E6F2A">
        <w:t>B.1: Australian Government Investment Funds balances</w:t>
      </w:r>
    </w:p>
    <w:tbl>
      <w:tblPr>
        <w:tblW w:w="5000" w:type="pct"/>
        <w:tblCellMar>
          <w:left w:w="0" w:type="dxa"/>
          <w:right w:w="28" w:type="dxa"/>
        </w:tblCellMar>
        <w:tblLook w:val="04A0" w:firstRow="1" w:lastRow="0" w:firstColumn="1" w:lastColumn="0" w:noHBand="0" w:noVBand="1"/>
      </w:tblPr>
      <w:tblGrid>
        <w:gridCol w:w="2458"/>
        <w:gridCol w:w="1013"/>
        <w:gridCol w:w="1013"/>
        <w:gridCol w:w="1025"/>
        <w:gridCol w:w="1025"/>
        <w:gridCol w:w="1176"/>
      </w:tblGrid>
      <w:tr w:rsidR="00E67C97" w:rsidRPr="001E6F2A" w14:paraId="3F17E768" w14:textId="77777777" w:rsidTr="008614DA">
        <w:trPr>
          <w:trHeight w:val="250"/>
        </w:trPr>
        <w:tc>
          <w:tcPr>
            <w:tcW w:w="2474" w:type="dxa"/>
            <w:tcBorders>
              <w:top w:val="single" w:sz="4" w:space="0" w:color="293F5B"/>
              <w:left w:val="nil"/>
              <w:bottom w:val="nil"/>
              <w:right w:val="nil"/>
            </w:tcBorders>
            <w:shd w:val="clear" w:color="000000" w:fill="FFFFFF"/>
            <w:vAlign w:val="center"/>
            <w:hideMark/>
          </w:tcPr>
          <w:p w14:paraId="53F0AAF4" w14:textId="77777777" w:rsidR="00E67C97" w:rsidRPr="001E6F2A" w:rsidRDefault="00E67C97">
            <w:pPr>
              <w:spacing w:before="0" w:after="0" w:line="240" w:lineRule="auto"/>
              <w:jc w:val="right"/>
              <w:rPr>
                <w:rFonts w:ascii="Arial" w:hAnsi="Arial" w:cs="Arial"/>
                <w:sz w:val="16"/>
                <w:szCs w:val="16"/>
              </w:rPr>
            </w:pPr>
            <w:r w:rsidRPr="001E6F2A">
              <w:rPr>
                <w:rFonts w:ascii="Arial" w:hAnsi="Arial" w:cs="Arial"/>
                <w:sz w:val="16"/>
                <w:szCs w:val="16"/>
              </w:rPr>
              <w:t> </w:t>
            </w:r>
          </w:p>
        </w:tc>
        <w:tc>
          <w:tcPr>
            <w:tcW w:w="5236" w:type="dxa"/>
            <w:gridSpan w:val="5"/>
            <w:tcBorders>
              <w:top w:val="single" w:sz="4" w:space="0" w:color="293F5B"/>
              <w:left w:val="nil"/>
              <w:bottom w:val="single" w:sz="4" w:space="0" w:color="000000"/>
              <w:right w:val="nil"/>
            </w:tcBorders>
            <w:shd w:val="clear" w:color="000000" w:fill="FFFFFF"/>
            <w:vAlign w:val="center"/>
            <w:hideMark/>
          </w:tcPr>
          <w:p w14:paraId="52DB389E" w14:textId="77777777" w:rsidR="00E67C97" w:rsidRPr="001E6F2A" w:rsidRDefault="00E67C97" w:rsidP="006D6216">
            <w:pPr>
              <w:pStyle w:val="TableTextCentred"/>
            </w:pPr>
            <w:r w:rsidRPr="001E6F2A">
              <w:t>Estimates</w:t>
            </w:r>
          </w:p>
        </w:tc>
      </w:tr>
      <w:tr w:rsidR="00E67C97" w:rsidRPr="001E6F2A" w14:paraId="3DF5F107" w14:textId="77777777" w:rsidTr="008614DA">
        <w:trPr>
          <w:trHeight w:val="230"/>
        </w:trPr>
        <w:tc>
          <w:tcPr>
            <w:tcW w:w="2474" w:type="dxa"/>
            <w:tcBorders>
              <w:top w:val="nil"/>
              <w:left w:val="nil"/>
              <w:bottom w:val="nil"/>
              <w:right w:val="nil"/>
            </w:tcBorders>
            <w:shd w:val="clear" w:color="000000" w:fill="FFFFFF"/>
            <w:vAlign w:val="center"/>
            <w:hideMark/>
          </w:tcPr>
          <w:p w14:paraId="13154ABD" w14:textId="77777777" w:rsidR="00E67C97" w:rsidRPr="001E6F2A" w:rsidRDefault="00E67C97">
            <w:pPr>
              <w:spacing w:before="0" w:after="0" w:line="240" w:lineRule="auto"/>
              <w:jc w:val="right"/>
              <w:rPr>
                <w:rFonts w:ascii="Arial" w:hAnsi="Arial" w:cs="Arial"/>
                <w:sz w:val="16"/>
                <w:szCs w:val="16"/>
              </w:rPr>
            </w:pPr>
            <w:r w:rsidRPr="001E6F2A">
              <w:rPr>
                <w:rFonts w:ascii="Arial" w:hAnsi="Arial" w:cs="Arial"/>
                <w:sz w:val="16"/>
                <w:szCs w:val="16"/>
              </w:rPr>
              <w:t>  </w:t>
            </w:r>
          </w:p>
        </w:tc>
        <w:tc>
          <w:tcPr>
            <w:tcW w:w="1017" w:type="dxa"/>
            <w:tcBorders>
              <w:top w:val="nil"/>
              <w:left w:val="nil"/>
              <w:bottom w:val="nil"/>
              <w:right w:val="nil"/>
            </w:tcBorders>
            <w:shd w:val="clear" w:color="000000" w:fill="FFFFFF"/>
            <w:vAlign w:val="center"/>
            <w:hideMark/>
          </w:tcPr>
          <w:p w14:paraId="32E0F2DA" w14:textId="7AA6C961" w:rsidR="00E67C97" w:rsidRPr="001E6F2A" w:rsidRDefault="00E67C97" w:rsidP="00205560">
            <w:pPr>
              <w:pStyle w:val="TableTextRight"/>
            </w:pPr>
            <w:r w:rsidRPr="001E6F2A">
              <w:t>2023</w:t>
            </w:r>
            <w:r w:rsidR="00390046">
              <w:noBreakHyphen/>
            </w:r>
            <w:r w:rsidRPr="001E6F2A">
              <w:t>24 </w:t>
            </w:r>
          </w:p>
        </w:tc>
        <w:tc>
          <w:tcPr>
            <w:tcW w:w="1017" w:type="dxa"/>
            <w:tcBorders>
              <w:top w:val="nil"/>
              <w:left w:val="nil"/>
              <w:bottom w:val="nil"/>
              <w:right w:val="nil"/>
            </w:tcBorders>
            <w:shd w:val="clear" w:color="auto" w:fill="E6F2FF"/>
            <w:vAlign w:val="center"/>
            <w:hideMark/>
          </w:tcPr>
          <w:p w14:paraId="7AD165E4" w14:textId="6B889329" w:rsidR="00E67C97" w:rsidRPr="001E6F2A" w:rsidRDefault="00E67C97" w:rsidP="00205560">
            <w:pPr>
              <w:pStyle w:val="TableTextRight"/>
            </w:pPr>
            <w:r w:rsidRPr="001E6F2A">
              <w:t>2024</w:t>
            </w:r>
            <w:r w:rsidR="00390046">
              <w:noBreakHyphen/>
            </w:r>
            <w:r w:rsidRPr="001E6F2A">
              <w:t>25 </w:t>
            </w:r>
          </w:p>
        </w:tc>
        <w:tc>
          <w:tcPr>
            <w:tcW w:w="1017" w:type="dxa"/>
            <w:tcBorders>
              <w:top w:val="nil"/>
              <w:left w:val="nil"/>
              <w:bottom w:val="nil"/>
              <w:right w:val="nil"/>
            </w:tcBorders>
            <w:shd w:val="clear" w:color="000000" w:fill="FFFFFF"/>
            <w:vAlign w:val="center"/>
            <w:hideMark/>
          </w:tcPr>
          <w:p w14:paraId="4E3ECDB8" w14:textId="71826EB9" w:rsidR="00E67C97" w:rsidRPr="001E6F2A" w:rsidRDefault="00E67C97" w:rsidP="00205560">
            <w:pPr>
              <w:pStyle w:val="TableTextRight"/>
            </w:pPr>
            <w:r w:rsidRPr="001E6F2A">
              <w:t>2025</w:t>
            </w:r>
            <w:r w:rsidR="00390046">
              <w:noBreakHyphen/>
            </w:r>
            <w:r w:rsidRPr="001E6F2A">
              <w:t>26 </w:t>
            </w:r>
          </w:p>
        </w:tc>
        <w:tc>
          <w:tcPr>
            <w:tcW w:w="1017" w:type="dxa"/>
            <w:tcBorders>
              <w:top w:val="nil"/>
              <w:left w:val="nil"/>
              <w:bottom w:val="nil"/>
              <w:right w:val="nil"/>
            </w:tcBorders>
            <w:shd w:val="clear" w:color="000000" w:fill="FFFFFF"/>
            <w:vAlign w:val="center"/>
            <w:hideMark/>
          </w:tcPr>
          <w:p w14:paraId="5A66E947" w14:textId="33DE9F87" w:rsidR="00E67C97" w:rsidRPr="001E6F2A" w:rsidRDefault="00E67C97" w:rsidP="00205560">
            <w:pPr>
              <w:pStyle w:val="TableTextRight"/>
            </w:pPr>
            <w:r w:rsidRPr="001E6F2A">
              <w:t>2026</w:t>
            </w:r>
            <w:r w:rsidR="00390046">
              <w:noBreakHyphen/>
            </w:r>
            <w:r w:rsidRPr="001E6F2A">
              <w:t>27 </w:t>
            </w:r>
          </w:p>
        </w:tc>
        <w:tc>
          <w:tcPr>
            <w:tcW w:w="1168" w:type="dxa"/>
            <w:tcBorders>
              <w:top w:val="nil"/>
              <w:left w:val="nil"/>
              <w:bottom w:val="nil"/>
              <w:right w:val="nil"/>
            </w:tcBorders>
            <w:shd w:val="clear" w:color="000000" w:fill="FFFFFF"/>
            <w:vAlign w:val="center"/>
            <w:hideMark/>
          </w:tcPr>
          <w:p w14:paraId="3910360A" w14:textId="7E9ABC4E" w:rsidR="00E67C97" w:rsidRPr="001E6F2A" w:rsidRDefault="00E67C97" w:rsidP="00205560">
            <w:pPr>
              <w:pStyle w:val="TableTextRight"/>
            </w:pPr>
            <w:r w:rsidRPr="001E6F2A">
              <w:t>2027</w:t>
            </w:r>
            <w:r w:rsidR="00390046">
              <w:noBreakHyphen/>
            </w:r>
            <w:r w:rsidRPr="001E6F2A">
              <w:t>28 </w:t>
            </w:r>
          </w:p>
        </w:tc>
      </w:tr>
      <w:tr w:rsidR="00E67C97" w:rsidRPr="001E6F2A" w14:paraId="3CB7BA05" w14:textId="77777777" w:rsidTr="008614DA">
        <w:trPr>
          <w:trHeight w:val="230"/>
        </w:trPr>
        <w:tc>
          <w:tcPr>
            <w:tcW w:w="2474" w:type="dxa"/>
            <w:tcBorders>
              <w:top w:val="nil"/>
              <w:left w:val="nil"/>
              <w:bottom w:val="nil"/>
              <w:right w:val="nil"/>
            </w:tcBorders>
            <w:shd w:val="clear" w:color="000000" w:fill="FFFFFF"/>
            <w:vAlign w:val="center"/>
            <w:hideMark/>
          </w:tcPr>
          <w:p w14:paraId="1F2C79C1" w14:textId="77777777" w:rsidR="00E67C97" w:rsidRPr="001E6F2A" w:rsidRDefault="00E67C97">
            <w:pPr>
              <w:spacing w:before="0" w:after="0" w:line="240" w:lineRule="auto"/>
              <w:rPr>
                <w:rFonts w:ascii="Arial" w:hAnsi="Arial" w:cs="Arial"/>
                <w:sz w:val="16"/>
                <w:szCs w:val="16"/>
              </w:rPr>
            </w:pPr>
            <w:r w:rsidRPr="001E6F2A">
              <w:rPr>
                <w:rFonts w:ascii="Arial" w:hAnsi="Arial" w:cs="Arial"/>
                <w:sz w:val="16"/>
                <w:szCs w:val="16"/>
              </w:rPr>
              <w:t>  </w:t>
            </w:r>
          </w:p>
        </w:tc>
        <w:tc>
          <w:tcPr>
            <w:tcW w:w="1017" w:type="dxa"/>
            <w:tcBorders>
              <w:top w:val="nil"/>
              <w:left w:val="nil"/>
              <w:bottom w:val="single" w:sz="4" w:space="0" w:color="000000"/>
              <w:right w:val="nil"/>
            </w:tcBorders>
            <w:shd w:val="clear" w:color="000000" w:fill="FFFFFF"/>
            <w:vAlign w:val="center"/>
            <w:hideMark/>
          </w:tcPr>
          <w:p w14:paraId="08479D49" w14:textId="77777777" w:rsidR="00E67C97" w:rsidRPr="001E6F2A" w:rsidRDefault="00E67C97" w:rsidP="00205560">
            <w:pPr>
              <w:pStyle w:val="TableTextRight"/>
            </w:pPr>
            <w:r w:rsidRPr="001E6F2A">
              <w:t>$m </w:t>
            </w:r>
          </w:p>
        </w:tc>
        <w:tc>
          <w:tcPr>
            <w:tcW w:w="1017" w:type="dxa"/>
            <w:tcBorders>
              <w:top w:val="nil"/>
              <w:left w:val="nil"/>
              <w:bottom w:val="single" w:sz="4" w:space="0" w:color="000000"/>
              <w:right w:val="nil"/>
            </w:tcBorders>
            <w:shd w:val="clear" w:color="auto" w:fill="E6F2FF"/>
            <w:vAlign w:val="center"/>
            <w:hideMark/>
          </w:tcPr>
          <w:p w14:paraId="3E69A787" w14:textId="77777777" w:rsidR="00E67C97" w:rsidRPr="001E6F2A" w:rsidRDefault="00E67C97" w:rsidP="00205560">
            <w:pPr>
              <w:pStyle w:val="TableTextRight"/>
            </w:pPr>
            <w:r w:rsidRPr="001E6F2A">
              <w:t>$m </w:t>
            </w:r>
          </w:p>
        </w:tc>
        <w:tc>
          <w:tcPr>
            <w:tcW w:w="1017" w:type="dxa"/>
            <w:tcBorders>
              <w:top w:val="nil"/>
              <w:left w:val="nil"/>
              <w:bottom w:val="single" w:sz="4" w:space="0" w:color="000000"/>
              <w:right w:val="nil"/>
            </w:tcBorders>
            <w:shd w:val="clear" w:color="000000" w:fill="FFFFFF"/>
            <w:noWrap/>
            <w:vAlign w:val="bottom"/>
            <w:hideMark/>
          </w:tcPr>
          <w:p w14:paraId="764CADBF" w14:textId="77777777" w:rsidR="00E67C97" w:rsidRPr="001E6F2A" w:rsidRDefault="00E67C97" w:rsidP="00205560">
            <w:pPr>
              <w:pStyle w:val="TableTextRight"/>
            </w:pPr>
            <w:r w:rsidRPr="001E6F2A">
              <w:t>$m </w:t>
            </w:r>
          </w:p>
        </w:tc>
        <w:tc>
          <w:tcPr>
            <w:tcW w:w="1017" w:type="dxa"/>
            <w:tcBorders>
              <w:top w:val="nil"/>
              <w:left w:val="nil"/>
              <w:bottom w:val="single" w:sz="4" w:space="0" w:color="000000"/>
              <w:right w:val="nil"/>
            </w:tcBorders>
            <w:shd w:val="clear" w:color="000000" w:fill="FFFFFF"/>
            <w:noWrap/>
            <w:vAlign w:val="bottom"/>
            <w:hideMark/>
          </w:tcPr>
          <w:p w14:paraId="76B27211" w14:textId="77777777" w:rsidR="00E67C97" w:rsidRPr="001E6F2A" w:rsidRDefault="00E67C97" w:rsidP="00205560">
            <w:pPr>
              <w:pStyle w:val="TableTextRight"/>
            </w:pPr>
            <w:r w:rsidRPr="001E6F2A">
              <w:t>$m </w:t>
            </w:r>
          </w:p>
        </w:tc>
        <w:tc>
          <w:tcPr>
            <w:tcW w:w="1168" w:type="dxa"/>
            <w:tcBorders>
              <w:top w:val="nil"/>
              <w:left w:val="nil"/>
              <w:bottom w:val="single" w:sz="4" w:space="0" w:color="000000"/>
              <w:right w:val="nil"/>
            </w:tcBorders>
            <w:shd w:val="clear" w:color="000000" w:fill="FFFFFF"/>
            <w:noWrap/>
            <w:vAlign w:val="bottom"/>
            <w:hideMark/>
          </w:tcPr>
          <w:p w14:paraId="36CEF5C8" w14:textId="77777777" w:rsidR="00E67C97" w:rsidRPr="001E6F2A" w:rsidRDefault="00E67C97" w:rsidP="00205560">
            <w:pPr>
              <w:pStyle w:val="TableTextRight"/>
            </w:pPr>
            <w:r w:rsidRPr="001E6F2A">
              <w:t>$m </w:t>
            </w:r>
          </w:p>
        </w:tc>
      </w:tr>
      <w:tr w:rsidR="00E67C97" w:rsidRPr="001E6F2A" w14:paraId="7B9AC534" w14:textId="77777777" w:rsidTr="008614DA">
        <w:trPr>
          <w:trHeight w:val="230"/>
        </w:trPr>
        <w:tc>
          <w:tcPr>
            <w:tcW w:w="2474" w:type="dxa"/>
            <w:tcBorders>
              <w:top w:val="nil"/>
              <w:left w:val="nil"/>
              <w:bottom w:val="nil"/>
              <w:right w:val="nil"/>
            </w:tcBorders>
            <w:shd w:val="clear" w:color="000000" w:fill="FFFFFF"/>
            <w:vAlign w:val="center"/>
            <w:hideMark/>
          </w:tcPr>
          <w:p w14:paraId="6F682CC7" w14:textId="77777777" w:rsidR="00E67C97" w:rsidRPr="001E6F2A" w:rsidRDefault="00E67C97" w:rsidP="00D74DE8">
            <w:pPr>
              <w:pStyle w:val="TableTextLeft"/>
            </w:pPr>
            <w:r w:rsidRPr="001E6F2A">
              <w:t>Future Fund </w:t>
            </w:r>
          </w:p>
        </w:tc>
        <w:tc>
          <w:tcPr>
            <w:tcW w:w="1017" w:type="dxa"/>
            <w:tcBorders>
              <w:top w:val="nil"/>
              <w:left w:val="nil"/>
              <w:bottom w:val="nil"/>
              <w:right w:val="nil"/>
            </w:tcBorders>
            <w:shd w:val="clear" w:color="000000" w:fill="FFFFFF"/>
            <w:vAlign w:val="bottom"/>
            <w:hideMark/>
          </w:tcPr>
          <w:p w14:paraId="0A8ABBC4" w14:textId="15908E8A" w:rsidR="00E67C97" w:rsidRPr="007C0471" w:rsidRDefault="00E67C97" w:rsidP="00205560">
            <w:pPr>
              <w:pStyle w:val="TableTextRight"/>
            </w:pPr>
            <w:r w:rsidRPr="007C0471">
              <w:t>223,602</w:t>
            </w:r>
          </w:p>
        </w:tc>
        <w:tc>
          <w:tcPr>
            <w:tcW w:w="1017" w:type="dxa"/>
            <w:tcBorders>
              <w:top w:val="nil"/>
              <w:left w:val="nil"/>
              <w:bottom w:val="nil"/>
              <w:right w:val="nil"/>
            </w:tcBorders>
            <w:shd w:val="clear" w:color="auto" w:fill="E6F2FF"/>
            <w:vAlign w:val="bottom"/>
            <w:hideMark/>
          </w:tcPr>
          <w:p w14:paraId="07521038" w14:textId="03C66FEF" w:rsidR="00E67C97" w:rsidRPr="007C0471" w:rsidRDefault="00E67C97" w:rsidP="00205560">
            <w:pPr>
              <w:pStyle w:val="TableTextRight"/>
            </w:pPr>
            <w:r w:rsidRPr="007C0471">
              <w:t>239,192</w:t>
            </w:r>
          </w:p>
        </w:tc>
        <w:tc>
          <w:tcPr>
            <w:tcW w:w="1017" w:type="dxa"/>
            <w:tcBorders>
              <w:top w:val="nil"/>
              <w:left w:val="nil"/>
              <w:bottom w:val="nil"/>
              <w:right w:val="nil"/>
            </w:tcBorders>
            <w:shd w:val="clear" w:color="000000" w:fill="FFFFFF"/>
            <w:vAlign w:val="bottom"/>
            <w:hideMark/>
          </w:tcPr>
          <w:p w14:paraId="7244E8CA" w14:textId="77D9AD97" w:rsidR="00E67C97" w:rsidRPr="007C0471" w:rsidRDefault="00E67C97" w:rsidP="00205560">
            <w:pPr>
              <w:pStyle w:val="TableTextRight"/>
            </w:pPr>
            <w:r w:rsidRPr="007C0471">
              <w:t>255,866</w:t>
            </w:r>
          </w:p>
        </w:tc>
        <w:tc>
          <w:tcPr>
            <w:tcW w:w="1017" w:type="dxa"/>
            <w:tcBorders>
              <w:top w:val="nil"/>
              <w:left w:val="nil"/>
              <w:bottom w:val="nil"/>
              <w:right w:val="nil"/>
            </w:tcBorders>
            <w:shd w:val="clear" w:color="000000" w:fill="FFFFFF"/>
            <w:vAlign w:val="bottom"/>
            <w:hideMark/>
          </w:tcPr>
          <w:p w14:paraId="58A39347" w14:textId="1F7A8660" w:rsidR="00E67C97" w:rsidRPr="007C0471" w:rsidRDefault="00E67C97" w:rsidP="00205560">
            <w:pPr>
              <w:pStyle w:val="TableTextRight"/>
            </w:pPr>
            <w:r w:rsidRPr="007C0471">
              <w:t>273,702</w:t>
            </w:r>
          </w:p>
        </w:tc>
        <w:tc>
          <w:tcPr>
            <w:tcW w:w="1168" w:type="dxa"/>
            <w:tcBorders>
              <w:top w:val="nil"/>
              <w:left w:val="nil"/>
              <w:bottom w:val="nil"/>
              <w:right w:val="nil"/>
            </w:tcBorders>
            <w:shd w:val="clear" w:color="000000" w:fill="FFFFFF"/>
            <w:vAlign w:val="bottom"/>
            <w:hideMark/>
          </w:tcPr>
          <w:p w14:paraId="1655FB6A" w14:textId="3819C876" w:rsidR="00E67C97" w:rsidRPr="007C0471" w:rsidRDefault="00E67C97" w:rsidP="00205560">
            <w:pPr>
              <w:pStyle w:val="TableTextRight"/>
            </w:pPr>
            <w:r w:rsidRPr="007C0471">
              <w:t>292,7</w:t>
            </w:r>
            <w:r w:rsidR="001C5EA8" w:rsidRPr="007C0471">
              <w:t>8</w:t>
            </w:r>
            <w:r w:rsidRPr="007C0471">
              <w:t>4</w:t>
            </w:r>
          </w:p>
        </w:tc>
      </w:tr>
      <w:tr w:rsidR="00E67C97" w:rsidRPr="001E6F2A" w14:paraId="4AA23B1F" w14:textId="77777777" w:rsidTr="008614DA">
        <w:trPr>
          <w:trHeight w:val="230"/>
        </w:trPr>
        <w:tc>
          <w:tcPr>
            <w:tcW w:w="2474" w:type="dxa"/>
            <w:tcBorders>
              <w:top w:val="nil"/>
              <w:left w:val="nil"/>
              <w:bottom w:val="nil"/>
              <w:right w:val="nil"/>
            </w:tcBorders>
            <w:shd w:val="clear" w:color="000000" w:fill="FFFFFF"/>
            <w:vAlign w:val="center"/>
            <w:hideMark/>
          </w:tcPr>
          <w:p w14:paraId="7B8C68D4" w14:textId="7BD6E3AB" w:rsidR="00E67C97" w:rsidRPr="001E6F2A" w:rsidRDefault="00E67C97" w:rsidP="00D74DE8">
            <w:pPr>
              <w:pStyle w:val="TableTextLeft"/>
            </w:pPr>
            <w:r w:rsidRPr="001E6F2A">
              <w:t>DisabilityCar</w:t>
            </w:r>
            <w:r>
              <w:t>e</w:t>
            </w:r>
            <w:r w:rsidRPr="001E6F2A">
              <w:t xml:space="preserve"> Australia Fund </w:t>
            </w:r>
          </w:p>
        </w:tc>
        <w:tc>
          <w:tcPr>
            <w:tcW w:w="1017" w:type="dxa"/>
            <w:tcBorders>
              <w:top w:val="nil"/>
              <w:left w:val="nil"/>
              <w:bottom w:val="nil"/>
              <w:right w:val="nil"/>
            </w:tcBorders>
            <w:shd w:val="clear" w:color="000000" w:fill="FFFFFF"/>
            <w:vAlign w:val="bottom"/>
            <w:hideMark/>
          </w:tcPr>
          <w:p w14:paraId="549E807B" w14:textId="7DE909E8" w:rsidR="00E67C97" w:rsidRPr="007C0471" w:rsidRDefault="00E67C97" w:rsidP="00205560">
            <w:pPr>
              <w:pStyle w:val="TableTextRight"/>
            </w:pPr>
            <w:r w:rsidRPr="007C0471">
              <w:t>17,726</w:t>
            </w:r>
          </w:p>
        </w:tc>
        <w:tc>
          <w:tcPr>
            <w:tcW w:w="1017" w:type="dxa"/>
            <w:tcBorders>
              <w:top w:val="nil"/>
              <w:left w:val="nil"/>
              <w:bottom w:val="nil"/>
              <w:right w:val="nil"/>
            </w:tcBorders>
            <w:shd w:val="clear" w:color="auto" w:fill="E6F2FF"/>
            <w:vAlign w:val="bottom"/>
            <w:hideMark/>
          </w:tcPr>
          <w:p w14:paraId="5FB3C513" w14:textId="702E13F9" w:rsidR="00E67C97" w:rsidRPr="007C0471" w:rsidRDefault="00E67C97" w:rsidP="00205560">
            <w:pPr>
              <w:pStyle w:val="TableTextRight"/>
            </w:pPr>
            <w:r w:rsidRPr="007C0471">
              <w:t>14,452</w:t>
            </w:r>
          </w:p>
        </w:tc>
        <w:tc>
          <w:tcPr>
            <w:tcW w:w="1017" w:type="dxa"/>
            <w:tcBorders>
              <w:top w:val="nil"/>
              <w:left w:val="nil"/>
              <w:bottom w:val="nil"/>
              <w:right w:val="nil"/>
            </w:tcBorders>
            <w:shd w:val="clear" w:color="000000" w:fill="FFFFFF"/>
            <w:vAlign w:val="bottom"/>
            <w:hideMark/>
          </w:tcPr>
          <w:p w14:paraId="0E9C544E" w14:textId="32C119B0" w:rsidR="00E67C97" w:rsidRPr="007C0471" w:rsidRDefault="00E67C97" w:rsidP="00205560">
            <w:pPr>
              <w:pStyle w:val="TableTextRight"/>
            </w:pPr>
            <w:r w:rsidRPr="007C0471">
              <w:t>11,041</w:t>
            </w:r>
          </w:p>
        </w:tc>
        <w:tc>
          <w:tcPr>
            <w:tcW w:w="1017" w:type="dxa"/>
            <w:tcBorders>
              <w:top w:val="nil"/>
              <w:left w:val="nil"/>
              <w:bottom w:val="nil"/>
              <w:right w:val="nil"/>
            </w:tcBorders>
            <w:shd w:val="clear" w:color="000000" w:fill="FFFFFF"/>
            <w:vAlign w:val="bottom"/>
            <w:hideMark/>
          </w:tcPr>
          <w:p w14:paraId="1E5AE51E" w14:textId="5BB5712B" w:rsidR="00E67C97" w:rsidRPr="007C0471" w:rsidRDefault="00E67C97" w:rsidP="00205560">
            <w:pPr>
              <w:pStyle w:val="TableTextRight"/>
            </w:pPr>
            <w:r w:rsidRPr="007C0471">
              <w:t>7,487</w:t>
            </w:r>
          </w:p>
        </w:tc>
        <w:tc>
          <w:tcPr>
            <w:tcW w:w="1168" w:type="dxa"/>
            <w:tcBorders>
              <w:top w:val="nil"/>
              <w:left w:val="nil"/>
              <w:bottom w:val="nil"/>
              <w:right w:val="nil"/>
            </w:tcBorders>
            <w:shd w:val="clear" w:color="000000" w:fill="FFFFFF"/>
            <w:vAlign w:val="bottom"/>
            <w:hideMark/>
          </w:tcPr>
          <w:p w14:paraId="20146CE4" w14:textId="63D2E541" w:rsidR="00E67C97" w:rsidRPr="007C0471" w:rsidRDefault="00E67C97" w:rsidP="00205560">
            <w:pPr>
              <w:pStyle w:val="TableTextRight"/>
            </w:pPr>
            <w:r w:rsidRPr="007C0471">
              <w:t>3,787</w:t>
            </w:r>
          </w:p>
        </w:tc>
      </w:tr>
      <w:tr w:rsidR="00E67C97" w:rsidRPr="001E6F2A" w14:paraId="17C4E488" w14:textId="77777777" w:rsidTr="008614DA">
        <w:trPr>
          <w:trHeight w:val="250"/>
        </w:trPr>
        <w:tc>
          <w:tcPr>
            <w:tcW w:w="2474" w:type="dxa"/>
            <w:tcBorders>
              <w:top w:val="nil"/>
              <w:left w:val="nil"/>
              <w:bottom w:val="nil"/>
              <w:right w:val="nil"/>
            </w:tcBorders>
            <w:shd w:val="clear" w:color="000000" w:fill="FFFFFF"/>
            <w:vAlign w:val="center"/>
            <w:hideMark/>
          </w:tcPr>
          <w:p w14:paraId="4CC2FB5D" w14:textId="77777777" w:rsidR="00E67C97" w:rsidRPr="001E6F2A" w:rsidRDefault="00E67C97" w:rsidP="00D74DE8">
            <w:pPr>
              <w:pStyle w:val="TableTextLeft"/>
            </w:pPr>
            <w:r w:rsidRPr="001E6F2A">
              <w:t>Medical Research Future Fund </w:t>
            </w:r>
          </w:p>
        </w:tc>
        <w:tc>
          <w:tcPr>
            <w:tcW w:w="1017" w:type="dxa"/>
            <w:tcBorders>
              <w:top w:val="nil"/>
              <w:left w:val="nil"/>
              <w:bottom w:val="nil"/>
              <w:right w:val="nil"/>
            </w:tcBorders>
            <w:shd w:val="clear" w:color="000000" w:fill="FFFFFF"/>
            <w:vAlign w:val="bottom"/>
            <w:hideMark/>
          </w:tcPr>
          <w:p w14:paraId="6F31F639" w14:textId="2CB1CCE0" w:rsidR="00E67C97" w:rsidRPr="007C0471" w:rsidRDefault="00E67C97" w:rsidP="00205560">
            <w:pPr>
              <w:pStyle w:val="TableTextRight"/>
            </w:pPr>
            <w:r w:rsidRPr="007C0471">
              <w:t>22,664</w:t>
            </w:r>
          </w:p>
        </w:tc>
        <w:tc>
          <w:tcPr>
            <w:tcW w:w="1017" w:type="dxa"/>
            <w:tcBorders>
              <w:top w:val="nil"/>
              <w:left w:val="nil"/>
              <w:bottom w:val="nil"/>
              <w:right w:val="nil"/>
            </w:tcBorders>
            <w:shd w:val="clear" w:color="auto" w:fill="E6F2FF"/>
            <w:vAlign w:val="bottom"/>
            <w:hideMark/>
          </w:tcPr>
          <w:p w14:paraId="6ABFE7EF" w14:textId="047341D5" w:rsidR="00E67C97" w:rsidRPr="007C0471" w:rsidRDefault="00E67C97" w:rsidP="00205560">
            <w:pPr>
              <w:pStyle w:val="TableTextRight"/>
            </w:pPr>
            <w:r w:rsidRPr="007C0471">
              <w:t>23,291</w:t>
            </w:r>
          </w:p>
        </w:tc>
        <w:tc>
          <w:tcPr>
            <w:tcW w:w="1017" w:type="dxa"/>
            <w:tcBorders>
              <w:top w:val="nil"/>
              <w:left w:val="nil"/>
              <w:bottom w:val="nil"/>
              <w:right w:val="nil"/>
            </w:tcBorders>
            <w:shd w:val="clear" w:color="000000" w:fill="FFFFFF"/>
            <w:vAlign w:val="bottom"/>
            <w:hideMark/>
          </w:tcPr>
          <w:p w14:paraId="5F31A625" w14:textId="2F9403BF" w:rsidR="00E67C97" w:rsidRPr="007C0471" w:rsidRDefault="00E67C97" w:rsidP="00205560">
            <w:pPr>
              <w:pStyle w:val="TableTextRight"/>
            </w:pPr>
            <w:r w:rsidRPr="007C0471">
              <w:t>23,856</w:t>
            </w:r>
          </w:p>
        </w:tc>
        <w:tc>
          <w:tcPr>
            <w:tcW w:w="1017" w:type="dxa"/>
            <w:tcBorders>
              <w:top w:val="nil"/>
              <w:left w:val="nil"/>
              <w:bottom w:val="nil"/>
              <w:right w:val="nil"/>
            </w:tcBorders>
            <w:shd w:val="clear" w:color="000000" w:fill="FFFFFF"/>
            <w:vAlign w:val="bottom"/>
            <w:hideMark/>
          </w:tcPr>
          <w:p w14:paraId="0EBFCFFB" w14:textId="7F4A9595" w:rsidR="00E67C97" w:rsidRPr="007C0471" w:rsidRDefault="00E67C97" w:rsidP="00205560">
            <w:pPr>
              <w:pStyle w:val="TableTextRight"/>
            </w:pPr>
            <w:r w:rsidRPr="007C0471">
              <w:t>24,451</w:t>
            </w:r>
          </w:p>
        </w:tc>
        <w:tc>
          <w:tcPr>
            <w:tcW w:w="1168" w:type="dxa"/>
            <w:tcBorders>
              <w:top w:val="nil"/>
              <w:left w:val="nil"/>
              <w:bottom w:val="nil"/>
              <w:right w:val="nil"/>
            </w:tcBorders>
            <w:shd w:val="clear" w:color="000000" w:fill="FFFFFF"/>
            <w:vAlign w:val="bottom"/>
            <w:hideMark/>
          </w:tcPr>
          <w:p w14:paraId="6F9A914B" w14:textId="63FC7858" w:rsidR="00E67C97" w:rsidRPr="007C0471" w:rsidRDefault="00E67C97" w:rsidP="00205560">
            <w:pPr>
              <w:pStyle w:val="TableTextRight"/>
            </w:pPr>
            <w:r w:rsidRPr="007C0471">
              <w:t>25,130</w:t>
            </w:r>
          </w:p>
        </w:tc>
      </w:tr>
      <w:tr w:rsidR="00E67C97" w:rsidRPr="001E6F2A" w14:paraId="195C37A8" w14:textId="77777777" w:rsidTr="008614DA">
        <w:trPr>
          <w:trHeight w:val="610"/>
        </w:trPr>
        <w:tc>
          <w:tcPr>
            <w:tcW w:w="2474" w:type="dxa"/>
            <w:tcBorders>
              <w:top w:val="nil"/>
              <w:left w:val="nil"/>
              <w:bottom w:val="nil"/>
              <w:right w:val="nil"/>
            </w:tcBorders>
            <w:shd w:val="clear" w:color="000000" w:fill="FFFFFF"/>
            <w:vAlign w:val="bottom"/>
            <w:hideMark/>
          </w:tcPr>
          <w:p w14:paraId="777FF9AA" w14:textId="77777777" w:rsidR="00E67C97" w:rsidRPr="001E6F2A" w:rsidRDefault="00E67C97" w:rsidP="00D74DE8">
            <w:pPr>
              <w:pStyle w:val="TableTextLeft"/>
            </w:pPr>
            <w:r w:rsidRPr="001E6F2A">
              <w:t xml:space="preserve">Aboriginal and Torres Strait </w:t>
            </w:r>
            <w:r w:rsidRPr="001E6F2A">
              <w:br/>
              <w:t xml:space="preserve">   Islander Land and Sea Future </w:t>
            </w:r>
            <w:r w:rsidRPr="001E6F2A">
              <w:br/>
              <w:t xml:space="preserve">   Fund</w:t>
            </w:r>
          </w:p>
        </w:tc>
        <w:tc>
          <w:tcPr>
            <w:tcW w:w="1017" w:type="dxa"/>
            <w:tcBorders>
              <w:top w:val="nil"/>
              <w:left w:val="nil"/>
              <w:bottom w:val="nil"/>
              <w:right w:val="nil"/>
            </w:tcBorders>
            <w:shd w:val="clear" w:color="000000" w:fill="FFFFFF"/>
            <w:vAlign w:val="bottom"/>
            <w:hideMark/>
          </w:tcPr>
          <w:p w14:paraId="0399DACF" w14:textId="67A1C1E0" w:rsidR="00E67C97" w:rsidRPr="007C0471" w:rsidRDefault="00E67C97" w:rsidP="00205560">
            <w:pPr>
              <w:pStyle w:val="TableTextRight"/>
            </w:pPr>
            <w:r w:rsidRPr="007C0471">
              <w:t>2,220</w:t>
            </w:r>
          </w:p>
        </w:tc>
        <w:tc>
          <w:tcPr>
            <w:tcW w:w="1017" w:type="dxa"/>
            <w:tcBorders>
              <w:top w:val="nil"/>
              <w:left w:val="nil"/>
              <w:bottom w:val="nil"/>
              <w:right w:val="nil"/>
            </w:tcBorders>
            <w:shd w:val="clear" w:color="auto" w:fill="E6F2FF"/>
            <w:vAlign w:val="bottom"/>
            <w:hideMark/>
          </w:tcPr>
          <w:p w14:paraId="406BE7FA" w14:textId="43979C85" w:rsidR="00E67C97" w:rsidRPr="007C0471" w:rsidRDefault="00E67C97" w:rsidP="00205560">
            <w:pPr>
              <w:pStyle w:val="TableTextRight"/>
            </w:pPr>
            <w:r w:rsidRPr="007C0471">
              <w:t>2,267</w:t>
            </w:r>
          </w:p>
        </w:tc>
        <w:tc>
          <w:tcPr>
            <w:tcW w:w="1017" w:type="dxa"/>
            <w:tcBorders>
              <w:top w:val="nil"/>
              <w:left w:val="nil"/>
              <w:bottom w:val="nil"/>
              <w:right w:val="nil"/>
            </w:tcBorders>
            <w:shd w:val="clear" w:color="000000" w:fill="FFFFFF"/>
            <w:vAlign w:val="bottom"/>
            <w:hideMark/>
          </w:tcPr>
          <w:p w14:paraId="06AF452E" w14:textId="2A5C749B" w:rsidR="00E67C97" w:rsidRPr="007C0471" w:rsidRDefault="00E67C97" w:rsidP="00205560">
            <w:pPr>
              <w:pStyle w:val="TableTextRight"/>
            </w:pPr>
            <w:r w:rsidRPr="007C0471">
              <w:t>2,319</w:t>
            </w:r>
          </w:p>
        </w:tc>
        <w:tc>
          <w:tcPr>
            <w:tcW w:w="1017" w:type="dxa"/>
            <w:tcBorders>
              <w:top w:val="nil"/>
              <w:left w:val="nil"/>
              <w:bottom w:val="nil"/>
              <w:right w:val="nil"/>
            </w:tcBorders>
            <w:shd w:val="clear" w:color="000000" w:fill="FFFFFF"/>
            <w:vAlign w:val="bottom"/>
            <w:hideMark/>
          </w:tcPr>
          <w:p w14:paraId="0CFDA3A5" w14:textId="37F2336E" w:rsidR="00E67C97" w:rsidRPr="007C0471" w:rsidRDefault="00E67C97" w:rsidP="00205560">
            <w:pPr>
              <w:pStyle w:val="TableTextRight"/>
            </w:pPr>
            <w:r w:rsidRPr="007C0471">
              <w:t>2,360</w:t>
            </w:r>
          </w:p>
        </w:tc>
        <w:tc>
          <w:tcPr>
            <w:tcW w:w="1168" w:type="dxa"/>
            <w:tcBorders>
              <w:top w:val="nil"/>
              <w:left w:val="nil"/>
              <w:bottom w:val="nil"/>
              <w:right w:val="nil"/>
            </w:tcBorders>
            <w:shd w:val="clear" w:color="000000" w:fill="FFFFFF"/>
            <w:vAlign w:val="bottom"/>
            <w:hideMark/>
          </w:tcPr>
          <w:p w14:paraId="797BB1AD" w14:textId="61ABC39F" w:rsidR="00E67C97" w:rsidRPr="007C0471" w:rsidRDefault="00E67C97" w:rsidP="00205560">
            <w:pPr>
              <w:pStyle w:val="TableTextRight"/>
            </w:pPr>
            <w:r w:rsidRPr="007C0471">
              <w:t>2,406</w:t>
            </w:r>
          </w:p>
        </w:tc>
      </w:tr>
      <w:tr w:rsidR="00DF2C90" w:rsidRPr="001E6F2A" w14:paraId="01884BB1" w14:textId="77777777" w:rsidTr="008614DA">
        <w:trPr>
          <w:trHeight w:val="224"/>
        </w:trPr>
        <w:tc>
          <w:tcPr>
            <w:tcW w:w="2474" w:type="dxa"/>
            <w:tcBorders>
              <w:top w:val="nil"/>
              <w:left w:val="nil"/>
              <w:bottom w:val="nil"/>
              <w:right w:val="nil"/>
            </w:tcBorders>
            <w:shd w:val="clear" w:color="000000" w:fill="FFFFFF"/>
            <w:vAlign w:val="bottom"/>
          </w:tcPr>
          <w:p w14:paraId="6CE93C8B" w14:textId="08210F36" w:rsidR="00DF2C90" w:rsidRPr="001E6F2A" w:rsidRDefault="00DF2C90" w:rsidP="00D74DE8">
            <w:pPr>
              <w:pStyle w:val="TableTextLeft"/>
            </w:pPr>
            <w:r w:rsidRPr="00DF2C90">
              <w:t>Future Drought Fund</w:t>
            </w:r>
          </w:p>
        </w:tc>
        <w:tc>
          <w:tcPr>
            <w:tcW w:w="1017" w:type="dxa"/>
            <w:tcBorders>
              <w:top w:val="nil"/>
              <w:left w:val="nil"/>
              <w:bottom w:val="nil"/>
              <w:right w:val="nil"/>
            </w:tcBorders>
            <w:shd w:val="clear" w:color="000000" w:fill="FFFFFF"/>
            <w:vAlign w:val="bottom"/>
          </w:tcPr>
          <w:p w14:paraId="4AC49921" w14:textId="17801504" w:rsidR="00DF2C90" w:rsidRPr="007C0471" w:rsidRDefault="00DF2C90" w:rsidP="00205560">
            <w:pPr>
              <w:pStyle w:val="TableTextRight"/>
            </w:pPr>
            <w:r w:rsidRPr="007C0471">
              <w:t>4,813</w:t>
            </w:r>
          </w:p>
        </w:tc>
        <w:tc>
          <w:tcPr>
            <w:tcW w:w="1017" w:type="dxa"/>
            <w:tcBorders>
              <w:top w:val="nil"/>
              <w:left w:val="nil"/>
              <w:bottom w:val="nil"/>
              <w:right w:val="nil"/>
            </w:tcBorders>
            <w:shd w:val="clear" w:color="auto" w:fill="E6F2FF"/>
            <w:vAlign w:val="bottom"/>
          </w:tcPr>
          <w:p w14:paraId="733371E8" w14:textId="27B3059C" w:rsidR="00DF2C90" w:rsidRPr="007C0471" w:rsidRDefault="00DF2C90" w:rsidP="00205560">
            <w:pPr>
              <w:pStyle w:val="TableTextRight"/>
            </w:pPr>
            <w:r w:rsidRPr="007C0471">
              <w:t>4,957</w:t>
            </w:r>
          </w:p>
        </w:tc>
        <w:tc>
          <w:tcPr>
            <w:tcW w:w="1017" w:type="dxa"/>
            <w:tcBorders>
              <w:top w:val="nil"/>
              <w:left w:val="nil"/>
              <w:bottom w:val="nil"/>
              <w:right w:val="nil"/>
            </w:tcBorders>
            <w:shd w:val="clear" w:color="000000" w:fill="FFFFFF"/>
            <w:vAlign w:val="bottom"/>
          </w:tcPr>
          <w:p w14:paraId="17A5D934" w14:textId="19EAEC45" w:rsidR="00DF2C90" w:rsidRPr="007C0471" w:rsidRDefault="00DF2C90" w:rsidP="00205560">
            <w:pPr>
              <w:pStyle w:val="TableTextRight"/>
            </w:pPr>
            <w:r w:rsidRPr="007C0471">
              <w:t>5,119</w:t>
            </w:r>
          </w:p>
        </w:tc>
        <w:tc>
          <w:tcPr>
            <w:tcW w:w="1017" w:type="dxa"/>
            <w:tcBorders>
              <w:top w:val="nil"/>
              <w:left w:val="nil"/>
              <w:bottom w:val="nil"/>
              <w:right w:val="nil"/>
            </w:tcBorders>
            <w:shd w:val="clear" w:color="000000" w:fill="FFFFFF"/>
            <w:vAlign w:val="bottom"/>
          </w:tcPr>
          <w:p w14:paraId="508A668C" w14:textId="6476C830" w:rsidR="00DF2C90" w:rsidRPr="007C0471" w:rsidRDefault="00DF2C90" w:rsidP="00205560">
            <w:pPr>
              <w:pStyle w:val="TableTextRight"/>
            </w:pPr>
            <w:r w:rsidRPr="007C0471">
              <w:t>5,264</w:t>
            </w:r>
          </w:p>
        </w:tc>
        <w:tc>
          <w:tcPr>
            <w:tcW w:w="1168" w:type="dxa"/>
            <w:tcBorders>
              <w:top w:val="nil"/>
              <w:left w:val="nil"/>
              <w:bottom w:val="nil"/>
              <w:right w:val="nil"/>
            </w:tcBorders>
            <w:shd w:val="clear" w:color="000000" w:fill="FFFFFF"/>
            <w:vAlign w:val="bottom"/>
          </w:tcPr>
          <w:p w14:paraId="688CEDB6" w14:textId="3BEAD153" w:rsidR="00DF2C90" w:rsidRPr="007C0471" w:rsidRDefault="00DF2C90" w:rsidP="00205560">
            <w:pPr>
              <w:pStyle w:val="TableTextRight"/>
            </w:pPr>
            <w:r w:rsidRPr="007C0471">
              <w:t>5,424</w:t>
            </w:r>
          </w:p>
        </w:tc>
      </w:tr>
      <w:tr w:rsidR="00BB703C" w:rsidRPr="001E6F2A" w14:paraId="0D8E4457" w14:textId="77777777" w:rsidTr="008614DA">
        <w:trPr>
          <w:trHeight w:val="66"/>
        </w:trPr>
        <w:tc>
          <w:tcPr>
            <w:tcW w:w="2474" w:type="dxa"/>
            <w:tcBorders>
              <w:top w:val="nil"/>
              <w:left w:val="nil"/>
              <w:bottom w:val="nil"/>
              <w:right w:val="nil"/>
            </w:tcBorders>
            <w:shd w:val="clear" w:color="000000" w:fill="FFFFFF"/>
            <w:vAlign w:val="center"/>
          </w:tcPr>
          <w:p w14:paraId="01CFDA9D" w14:textId="502C3A4C" w:rsidR="00BB703C" w:rsidRPr="001E6F2A" w:rsidRDefault="00BB703C" w:rsidP="00D74DE8">
            <w:pPr>
              <w:pStyle w:val="TableTextLeft"/>
            </w:pPr>
            <w:r w:rsidRPr="00BB703C">
              <w:t>Disaster Ready Fund</w:t>
            </w:r>
            <w:r w:rsidRPr="00BB703C" w:rsidDel="00DF2C90">
              <w:t xml:space="preserve"> </w:t>
            </w:r>
          </w:p>
        </w:tc>
        <w:tc>
          <w:tcPr>
            <w:tcW w:w="1017" w:type="dxa"/>
            <w:tcBorders>
              <w:top w:val="nil"/>
              <w:left w:val="nil"/>
              <w:bottom w:val="nil"/>
              <w:right w:val="nil"/>
            </w:tcBorders>
            <w:shd w:val="clear" w:color="000000" w:fill="FFFFFF"/>
            <w:vAlign w:val="bottom"/>
          </w:tcPr>
          <w:p w14:paraId="1E025D74" w14:textId="4BC550DF" w:rsidR="00BB703C" w:rsidRPr="007C0471" w:rsidRDefault="00BB703C" w:rsidP="00205560">
            <w:pPr>
              <w:pStyle w:val="TableTextRight"/>
            </w:pPr>
            <w:r w:rsidRPr="007C0471">
              <w:t>4,549</w:t>
            </w:r>
          </w:p>
        </w:tc>
        <w:tc>
          <w:tcPr>
            <w:tcW w:w="1017" w:type="dxa"/>
            <w:tcBorders>
              <w:top w:val="nil"/>
              <w:left w:val="nil"/>
              <w:bottom w:val="nil"/>
              <w:right w:val="nil"/>
            </w:tcBorders>
            <w:shd w:val="clear" w:color="auto" w:fill="E6F2FF"/>
            <w:vAlign w:val="bottom"/>
          </w:tcPr>
          <w:p w14:paraId="5BC7E942" w14:textId="6BBC5DFD" w:rsidR="00BB703C" w:rsidRPr="007C0471" w:rsidRDefault="00BB703C" w:rsidP="00205560">
            <w:pPr>
              <w:pStyle w:val="TableTextRight"/>
            </w:pPr>
            <w:r w:rsidRPr="007C0471">
              <w:t>4,782</w:t>
            </w:r>
          </w:p>
        </w:tc>
        <w:tc>
          <w:tcPr>
            <w:tcW w:w="1017" w:type="dxa"/>
            <w:tcBorders>
              <w:top w:val="nil"/>
              <w:left w:val="nil"/>
              <w:bottom w:val="nil"/>
              <w:right w:val="nil"/>
            </w:tcBorders>
            <w:shd w:val="clear" w:color="000000" w:fill="FFFFFF"/>
            <w:vAlign w:val="bottom"/>
          </w:tcPr>
          <w:p w14:paraId="1F4C69B6" w14:textId="346EB117" w:rsidR="00BB703C" w:rsidRPr="007C0471" w:rsidRDefault="00BB703C" w:rsidP="00205560">
            <w:pPr>
              <w:pStyle w:val="TableTextRight"/>
            </w:pPr>
            <w:r w:rsidRPr="007C0471">
              <w:t>5,038</w:t>
            </w:r>
          </w:p>
        </w:tc>
        <w:tc>
          <w:tcPr>
            <w:tcW w:w="1017" w:type="dxa"/>
            <w:tcBorders>
              <w:top w:val="nil"/>
              <w:left w:val="nil"/>
              <w:bottom w:val="nil"/>
              <w:right w:val="nil"/>
            </w:tcBorders>
            <w:shd w:val="clear" w:color="000000" w:fill="FFFFFF"/>
            <w:vAlign w:val="bottom"/>
          </w:tcPr>
          <w:p w14:paraId="518031B3" w14:textId="158C94B4" w:rsidR="00BB703C" w:rsidRPr="007C0471" w:rsidRDefault="00BB703C" w:rsidP="00205560">
            <w:pPr>
              <w:pStyle w:val="TableTextRight"/>
            </w:pPr>
            <w:r w:rsidRPr="007C0471">
              <w:t>5,282</w:t>
            </w:r>
          </w:p>
        </w:tc>
        <w:tc>
          <w:tcPr>
            <w:tcW w:w="1168" w:type="dxa"/>
            <w:tcBorders>
              <w:top w:val="nil"/>
              <w:left w:val="nil"/>
              <w:bottom w:val="nil"/>
              <w:right w:val="nil"/>
            </w:tcBorders>
            <w:shd w:val="clear" w:color="000000" w:fill="FFFFFF"/>
            <w:vAlign w:val="bottom"/>
          </w:tcPr>
          <w:p w14:paraId="3DFF7DEA" w14:textId="4D316C98" w:rsidR="00BB703C" w:rsidRPr="007C0471" w:rsidRDefault="00BB703C" w:rsidP="00205560">
            <w:pPr>
              <w:pStyle w:val="TableTextRight"/>
            </w:pPr>
            <w:r w:rsidRPr="007C0471">
              <w:t>5,546</w:t>
            </w:r>
          </w:p>
        </w:tc>
      </w:tr>
      <w:tr w:rsidR="00FB10E8" w:rsidRPr="001E6F2A" w14:paraId="68CAFE95" w14:textId="77777777" w:rsidTr="008614DA">
        <w:trPr>
          <w:trHeight w:val="66"/>
        </w:trPr>
        <w:tc>
          <w:tcPr>
            <w:tcW w:w="2474" w:type="dxa"/>
            <w:tcBorders>
              <w:top w:val="nil"/>
              <w:left w:val="nil"/>
              <w:bottom w:val="nil"/>
              <w:right w:val="nil"/>
            </w:tcBorders>
            <w:shd w:val="clear" w:color="000000" w:fill="FFFFFF"/>
            <w:vAlign w:val="bottom"/>
          </w:tcPr>
          <w:p w14:paraId="5FD78B9A" w14:textId="344101E6" w:rsidR="00FB10E8" w:rsidRPr="00BB703C" w:rsidRDefault="00FB10E8" w:rsidP="00D74DE8">
            <w:pPr>
              <w:pStyle w:val="TableTextLeft"/>
            </w:pPr>
            <w:r w:rsidRPr="001E6F2A">
              <w:t>Housing Australia Future Fund</w:t>
            </w:r>
            <w:r w:rsidR="00D0288F">
              <w:rPr>
                <w:vertAlign w:val="superscript"/>
              </w:rPr>
              <w:t>(a)</w:t>
            </w:r>
            <w:r w:rsidRPr="001E6F2A">
              <w:t xml:space="preserve">     </w:t>
            </w:r>
          </w:p>
        </w:tc>
        <w:tc>
          <w:tcPr>
            <w:tcW w:w="1017" w:type="dxa"/>
            <w:tcBorders>
              <w:top w:val="nil"/>
              <w:left w:val="nil"/>
              <w:bottom w:val="nil"/>
              <w:right w:val="nil"/>
            </w:tcBorders>
            <w:shd w:val="clear" w:color="000000" w:fill="FFFFFF"/>
            <w:vAlign w:val="bottom"/>
          </w:tcPr>
          <w:p w14:paraId="6B1373FA" w14:textId="1B0EB860" w:rsidR="00FB10E8" w:rsidRPr="007C0471" w:rsidRDefault="00FB10E8" w:rsidP="00205560">
            <w:pPr>
              <w:pStyle w:val="TableTextRight"/>
            </w:pPr>
            <w:r w:rsidRPr="000E24BC">
              <w:t>10,291</w:t>
            </w:r>
          </w:p>
        </w:tc>
        <w:tc>
          <w:tcPr>
            <w:tcW w:w="1017" w:type="dxa"/>
            <w:tcBorders>
              <w:top w:val="nil"/>
              <w:left w:val="nil"/>
              <w:bottom w:val="nil"/>
              <w:right w:val="nil"/>
            </w:tcBorders>
            <w:shd w:val="clear" w:color="auto" w:fill="E6F2FF"/>
            <w:vAlign w:val="bottom"/>
          </w:tcPr>
          <w:p w14:paraId="64552046" w14:textId="0761DA1F" w:rsidR="00FB10E8" w:rsidRPr="007C0471" w:rsidRDefault="00FB10E8" w:rsidP="00205560">
            <w:pPr>
              <w:pStyle w:val="TableTextRight"/>
            </w:pPr>
            <w:r w:rsidRPr="000E24BC">
              <w:t>10,303</w:t>
            </w:r>
          </w:p>
        </w:tc>
        <w:tc>
          <w:tcPr>
            <w:tcW w:w="1017" w:type="dxa"/>
            <w:tcBorders>
              <w:top w:val="nil"/>
              <w:left w:val="nil"/>
              <w:bottom w:val="nil"/>
              <w:right w:val="nil"/>
            </w:tcBorders>
            <w:shd w:val="clear" w:color="000000" w:fill="FFFFFF"/>
            <w:vAlign w:val="bottom"/>
          </w:tcPr>
          <w:p w14:paraId="30C41158" w14:textId="7F868EC5" w:rsidR="00FB10E8" w:rsidRPr="007C0471" w:rsidRDefault="00FB10E8" w:rsidP="00205560">
            <w:pPr>
              <w:pStyle w:val="TableTextRight"/>
            </w:pPr>
            <w:r w:rsidRPr="000E24BC">
              <w:t>10,338</w:t>
            </w:r>
          </w:p>
        </w:tc>
        <w:tc>
          <w:tcPr>
            <w:tcW w:w="1017" w:type="dxa"/>
            <w:tcBorders>
              <w:top w:val="nil"/>
              <w:left w:val="nil"/>
              <w:bottom w:val="nil"/>
              <w:right w:val="nil"/>
            </w:tcBorders>
            <w:shd w:val="clear" w:color="000000" w:fill="FFFFFF"/>
            <w:vAlign w:val="bottom"/>
          </w:tcPr>
          <w:p w14:paraId="6CDA36BB" w14:textId="49CB4E37" w:rsidR="00FB10E8" w:rsidRPr="007C0471" w:rsidRDefault="00FB10E8" w:rsidP="00205560">
            <w:pPr>
              <w:pStyle w:val="TableTextRight"/>
            </w:pPr>
            <w:r w:rsidRPr="000E24BC">
              <w:t>10,323</w:t>
            </w:r>
          </w:p>
        </w:tc>
        <w:tc>
          <w:tcPr>
            <w:tcW w:w="1168" w:type="dxa"/>
            <w:tcBorders>
              <w:top w:val="nil"/>
              <w:left w:val="nil"/>
              <w:bottom w:val="nil"/>
              <w:right w:val="nil"/>
            </w:tcBorders>
            <w:shd w:val="clear" w:color="000000" w:fill="FFFFFF"/>
            <w:vAlign w:val="bottom"/>
          </w:tcPr>
          <w:p w14:paraId="0A729501" w14:textId="2F4FFDBF" w:rsidR="00FB10E8" w:rsidRPr="007C0471" w:rsidRDefault="00FB10E8" w:rsidP="00205560">
            <w:pPr>
              <w:pStyle w:val="TableTextRight"/>
            </w:pPr>
            <w:r w:rsidRPr="000E24BC">
              <w:t>10,323</w:t>
            </w:r>
          </w:p>
        </w:tc>
      </w:tr>
      <w:tr w:rsidR="00FB10E8" w:rsidRPr="00D25BDB" w14:paraId="339924D9" w14:textId="77777777" w:rsidTr="008614DA">
        <w:trPr>
          <w:trHeight w:val="230"/>
        </w:trPr>
        <w:tc>
          <w:tcPr>
            <w:tcW w:w="2474" w:type="dxa"/>
            <w:tcBorders>
              <w:top w:val="single" w:sz="4" w:space="0" w:color="293F5B"/>
              <w:left w:val="nil"/>
              <w:bottom w:val="single" w:sz="4" w:space="0" w:color="293F5B"/>
              <w:right w:val="nil"/>
            </w:tcBorders>
            <w:shd w:val="clear" w:color="000000" w:fill="FFFFFF"/>
            <w:vAlign w:val="center"/>
            <w:hideMark/>
          </w:tcPr>
          <w:p w14:paraId="09CD5029" w14:textId="77777777" w:rsidR="00FB10E8" w:rsidRPr="001E6F2A" w:rsidRDefault="00FB10E8" w:rsidP="00FB10E8">
            <w:pPr>
              <w:spacing w:before="0" w:after="0" w:line="240" w:lineRule="auto"/>
              <w:rPr>
                <w:rFonts w:ascii="Arial" w:hAnsi="Arial" w:cs="Arial"/>
                <w:b/>
                <w:bCs/>
                <w:sz w:val="16"/>
                <w:szCs w:val="16"/>
              </w:rPr>
            </w:pPr>
            <w:r w:rsidRPr="001E6F2A">
              <w:rPr>
                <w:rFonts w:ascii="Arial" w:hAnsi="Arial" w:cs="Arial"/>
                <w:b/>
                <w:bCs/>
                <w:sz w:val="16"/>
                <w:szCs w:val="16"/>
              </w:rPr>
              <w:t>Total investment funds </w:t>
            </w:r>
          </w:p>
        </w:tc>
        <w:tc>
          <w:tcPr>
            <w:tcW w:w="1017" w:type="dxa"/>
            <w:tcBorders>
              <w:top w:val="single" w:sz="4" w:space="0" w:color="293F5B"/>
              <w:left w:val="nil"/>
              <w:bottom w:val="single" w:sz="4" w:space="0" w:color="293F5B"/>
              <w:right w:val="nil"/>
            </w:tcBorders>
            <w:shd w:val="clear" w:color="000000" w:fill="FFFFFF"/>
            <w:vAlign w:val="bottom"/>
            <w:hideMark/>
          </w:tcPr>
          <w:p w14:paraId="2488DF9B" w14:textId="09EE5719" w:rsidR="00FB10E8" w:rsidRPr="00D25BDB" w:rsidRDefault="00FB10E8" w:rsidP="00205560">
            <w:pPr>
              <w:pStyle w:val="TableTextRight"/>
              <w:rPr>
                <w:b/>
                <w:bCs/>
              </w:rPr>
            </w:pPr>
            <w:r w:rsidRPr="00D25BDB">
              <w:rPr>
                <w:b/>
                <w:bCs/>
              </w:rPr>
              <w:t>285,865</w:t>
            </w:r>
          </w:p>
        </w:tc>
        <w:tc>
          <w:tcPr>
            <w:tcW w:w="1017" w:type="dxa"/>
            <w:tcBorders>
              <w:top w:val="single" w:sz="4" w:space="0" w:color="293F5B"/>
              <w:left w:val="nil"/>
              <w:bottom w:val="single" w:sz="4" w:space="0" w:color="293F5B"/>
              <w:right w:val="nil"/>
            </w:tcBorders>
            <w:shd w:val="clear" w:color="000000" w:fill="E6F2FF"/>
            <w:vAlign w:val="bottom"/>
            <w:hideMark/>
          </w:tcPr>
          <w:p w14:paraId="31F70551" w14:textId="17901175" w:rsidR="00FB10E8" w:rsidRPr="00D25BDB" w:rsidRDefault="00FB10E8" w:rsidP="00205560">
            <w:pPr>
              <w:pStyle w:val="TableTextRight"/>
              <w:rPr>
                <w:b/>
                <w:bCs/>
              </w:rPr>
            </w:pPr>
            <w:r w:rsidRPr="00D25BDB">
              <w:rPr>
                <w:b/>
                <w:bCs/>
              </w:rPr>
              <w:t>299,244</w:t>
            </w:r>
          </w:p>
        </w:tc>
        <w:tc>
          <w:tcPr>
            <w:tcW w:w="1017" w:type="dxa"/>
            <w:tcBorders>
              <w:top w:val="single" w:sz="4" w:space="0" w:color="293F5B"/>
              <w:left w:val="nil"/>
              <w:bottom w:val="single" w:sz="4" w:space="0" w:color="293F5B"/>
              <w:right w:val="nil"/>
            </w:tcBorders>
            <w:shd w:val="clear" w:color="000000" w:fill="FFFFFF"/>
            <w:vAlign w:val="bottom"/>
            <w:hideMark/>
          </w:tcPr>
          <w:p w14:paraId="6C93BD41" w14:textId="0CFA71E6" w:rsidR="00FB10E8" w:rsidRPr="00D25BDB" w:rsidRDefault="00FB10E8" w:rsidP="00205560">
            <w:pPr>
              <w:pStyle w:val="TableTextRight"/>
              <w:rPr>
                <w:b/>
                <w:bCs/>
              </w:rPr>
            </w:pPr>
            <w:r w:rsidRPr="00D25BDB">
              <w:rPr>
                <w:b/>
                <w:bCs/>
              </w:rPr>
              <w:t>313,577</w:t>
            </w:r>
          </w:p>
        </w:tc>
        <w:tc>
          <w:tcPr>
            <w:tcW w:w="1017" w:type="dxa"/>
            <w:tcBorders>
              <w:top w:val="single" w:sz="4" w:space="0" w:color="293F5B"/>
              <w:left w:val="nil"/>
              <w:bottom w:val="single" w:sz="4" w:space="0" w:color="293F5B"/>
              <w:right w:val="nil"/>
            </w:tcBorders>
            <w:shd w:val="clear" w:color="000000" w:fill="FFFFFF"/>
            <w:vAlign w:val="bottom"/>
            <w:hideMark/>
          </w:tcPr>
          <w:p w14:paraId="7AD055BB" w14:textId="7EF04776" w:rsidR="00FB10E8" w:rsidRPr="00D25BDB" w:rsidRDefault="00FB10E8" w:rsidP="00205560">
            <w:pPr>
              <w:pStyle w:val="TableTextRight"/>
              <w:rPr>
                <w:b/>
                <w:bCs/>
              </w:rPr>
            </w:pPr>
            <w:r w:rsidRPr="00D25BDB">
              <w:rPr>
                <w:b/>
                <w:bCs/>
              </w:rPr>
              <w:t>328,869</w:t>
            </w:r>
          </w:p>
        </w:tc>
        <w:tc>
          <w:tcPr>
            <w:tcW w:w="1168" w:type="dxa"/>
            <w:tcBorders>
              <w:top w:val="single" w:sz="4" w:space="0" w:color="293F5B"/>
              <w:left w:val="nil"/>
              <w:bottom w:val="single" w:sz="4" w:space="0" w:color="293F5B"/>
              <w:right w:val="nil"/>
            </w:tcBorders>
            <w:shd w:val="clear" w:color="000000" w:fill="FFFFFF"/>
            <w:vAlign w:val="bottom"/>
            <w:hideMark/>
          </w:tcPr>
          <w:p w14:paraId="2575CF29" w14:textId="19FDA2FC" w:rsidR="00FB10E8" w:rsidRPr="00D25BDB" w:rsidRDefault="00FB10E8" w:rsidP="00205560">
            <w:pPr>
              <w:pStyle w:val="TableTextRight"/>
              <w:rPr>
                <w:b/>
                <w:bCs/>
              </w:rPr>
            </w:pPr>
            <w:r w:rsidRPr="00D25BDB">
              <w:rPr>
                <w:b/>
                <w:bCs/>
              </w:rPr>
              <w:t>345,400</w:t>
            </w:r>
          </w:p>
        </w:tc>
      </w:tr>
    </w:tbl>
    <w:p w14:paraId="15276137" w14:textId="32624A5B" w:rsidR="00E67C97" w:rsidRPr="001E6F2A" w:rsidRDefault="00E67C97" w:rsidP="00E67C97">
      <w:pPr>
        <w:pStyle w:val="ChartandTableFootnoteAlpha"/>
        <w:numPr>
          <w:ilvl w:val="0"/>
          <w:numId w:val="20"/>
        </w:numPr>
        <w:rPr>
          <w:color w:val="auto"/>
        </w:rPr>
      </w:pPr>
      <w:r w:rsidRPr="001E6F2A">
        <w:rPr>
          <w:color w:val="auto"/>
        </w:rPr>
        <w:t xml:space="preserve">The Housing Australia Future Fund was established on 1 November 2023. </w:t>
      </w:r>
    </w:p>
    <w:p w14:paraId="22C9404B" w14:textId="77777777" w:rsidR="00E67C97" w:rsidRPr="001E6F2A" w:rsidRDefault="00E67C97" w:rsidP="00B40B09">
      <w:pPr>
        <w:pStyle w:val="ChartLine"/>
      </w:pPr>
    </w:p>
    <w:p w14:paraId="1DB43166" w14:textId="77777777" w:rsidR="00E67C97" w:rsidRPr="001E6F2A" w:rsidRDefault="00E67C97" w:rsidP="00E67C97">
      <w:pPr>
        <w:pStyle w:val="Heading6"/>
      </w:pPr>
      <w:r w:rsidRPr="001E6F2A">
        <w:t>Future Fund</w:t>
      </w:r>
    </w:p>
    <w:p w14:paraId="24D7D9B8" w14:textId="7B9DC374" w:rsidR="00E67C97" w:rsidRPr="001E6F2A" w:rsidRDefault="00E67C97" w:rsidP="00E67C97">
      <w:r w:rsidRPr="001E6F2A">
        <w:t xml:space="preserve">The Future Fund was established in 2006 to accumulate financial assets and invest them on behalf of the Australian Government to address the </w:t>
      </w:r>
      <w:r w:rsidR="00D91C93" w:rsidRPr="001E6F2A">
        <w:t>Government</w:t>
      </w:r>
      <w:r w:rsidR="00390046">
        <w:t>’</w:t>
      </w:r>
      <w:r w:rsidR="00D91C93">
        <w:t>s</w:t>
      </w:r>
      <w:r w:rsidRPr="001E6F2A">
        <w:t xml:space="preserve"> unfunded superannuation liability.</w:t>
      </w:r>
    </w:p>
    <w:p w14:paraId="07C81C26" w14:textId="4903BAAA" w:rsidR="00E67C97" w:rsidRPr="001E6F2A" w:rsidRDefault="00E67C97" w:rsidP="00E67C97">
      <w:r w:rsidRPr="001E6F2A">
        <w:t>The Investment Mandate for the Future Fund sets a benchmark rate of return of at least CPI plus 4.0 to 5.0 per cent per annum over the long</w:t>
      </w:r>
      <w:r w:rsidR="00390046">
        <w:noBreakHyphen/>
      </w:r>
      <w:r w:rsidRPr="001E6F2A">
        <w:t xml:space="preserve">term. The Investment Mandate gives guidance to the Future Fund Board of Guardians (the Future Fund Board) in relation to its </w:t>
      </w:r>
      <w:r w:rsidRPr="001E6F2A">
        <w:lastRenderedPageBreak/>
        <w:t>investment strategy. The Board is independently responsible for the investment decisions of the Future Fund. The Investment Mandate also requires the Board to take an acceptable, but not excessive, level of risk for the Future Fund, measured in terms such as the probability of losses in a particular year.</w:t>
      </w:r>
    </w:p>
    <w:p w14:paraId="17A47CA2" w14:textId="048F5A04" w:rsidR="00403235" w:rsidRPr="00403235" w:rsidRDefault="00403235" w:rsidP="00403235">
      <w:r w:rsidRPr="00403235">
        <w:t>Between establishment and 31 March 2024, the average return has been 7.8</w:t>
      </w:r>
      <w:r w:rsidRPr="00403235">
        <w:rPr>
          <w:rFonts w:hint="eastAsia"/>
        </w:rPr>
        <w:t> </w:t>
      </w:r>
      <w:r w:rsidRPr="00403235">
        <w:t>per</w:t>
      </w:r>
      <w:r w:rsidRPr="00403235">
        <w:rPr>
          <w:rFonts w:hint="eastAsia"/>
        </w:rPr>
        <w:t> </w:t>
      </w:r>
      <w:r w:rsidRPr="00403235">
        <w:t>cent per annum against the benchmark return of 7.0</w:t>
      </w:r>
      <w:r w:rsidRPr="00403235">
        <w:rPr>
          <w:rFonts w:hint="eastAsia"/>
        </w:rPr>
        <w:t> </w:t>
      </w:r>
      <w:r w:rsidRPr="00403235">
        <w:t>per</w:t>
      </w:r>
      <w:r w:rsidRPr="00403235">
        <w:rPr>
          <w:rFonts w:hint="eastAsia"/>
        </w:rPr>
        <w:t> </w:t>
      </w:r>
      <w:r w:rsidRPr="00403235">
        <w:t>cent. For the 12</w:t>
      </w:r>
      <w:r w:rsidR="00390046">
        <w:noBreakHyphen/>
      </w:r>
      <w:r w:rsidRPr="00403235">
        <w:t>month period ending 31 March 2024, the Future Fund return was 10.1</w:t>
      </w:r>
      <w:r w:rsidRPr="00403235">
        <w:rPr>
          <w:rFonts w:hint="eastAsia"/>
        </w:rPr>
        <w:t> </w:t>
      </w:r>
      <w:r w:rsidRPr="00403235">
        <w:t>per</w:t>
      </w:r>
      <w:r w:rsidRPr="00403235">
        <w:rPr>
          <w:rFonts w:hint="eastAsia"/>
        </w:rPr>
        <w:t> </w:t>
      </w:r>
      <w:r w:rsidRPr="00403235">
        <w:t>cent against a benchmark return of 7.6</w:t>
      </w:r>
      <w:r w:rsidRPr="00403235">
        <w:rPr>
          <w:rFonts w:hint="eastAsia"/>
        </w:rPr>
        <w:t> </w:t>
      </w:r>
      <w:r w:rsidRPr="00403235">
        <w:t>per</w:t>
      </w:r>
      <w:r w:rsidRPr="00403235">
        <w:rPr>
          <w:rFonts w:hint="eastAsia"/>
        </w:rPr>
        <w:t> </w:t>
      </w:r>
      <w:r w:rsidRPr="00403235">
        <w:t>cent. The Future Fund was valued at $223.4 billion as at 31 March 2024.</w:t>
      </w:r>
    </w:p>
    <w:p w14:paraId="6752170D" w14:textId="22A1A6A3" w:rsidR="00E67C97" w:rsidRPr="001E6F2A" w:rsidRDefault="00E67C97" w:rsidP="00E67C97">
      <w:r w:rsidRPr="001E6F2A">
        <w:t>The Future Fund Board continues to maintain clear objectives and manage the portfolio in line with its mandate and strategy. Table 1</w:t>
      </w:r>
      <w:r w:rsidR="00E60054">
        <w:t>0</w:t>
      </w:r>
      <w:r w:rsidRPr="001E6F2A">
        <w:t>B.2 shows changes in the asset allocation of the Future Fund since 31 March 2023.</w:t>
      </w:r>
    </w:p>
    <w:p w14:paraId="534B466E" w14:textId="41D35FD4" w:rsidR="00E67C97" w:rsidRPr="001E6F2A" w:rsidRDefault="00E67C97" w:rsidP="00E67C97">
      <w:pPr>
        <w:pStyle w:val="TableHeading"/>
        <w:rPr>
          <w:rFonts w:asciiTheme="minorHAnsi" w:eastAsiaTheme="minorHAnsi" w:hAnsiTheme="minorHAnsi" w:cstheme="minorBidi"/>
          <w:sz w:val="22"/>
          <w:szCs w:val="22"/>
          <w:lang w:eastAsia="en-US"/>
        </w:rPr>
      </w:pPr>
      <w:r w:rsidRPr="001E6F2A">
        <w:t>Table</w:t>
      </w:r>
      <w:r w:rsidRPr="001E6F2A">
        <w:rPr>
          <w:spacing w:val="-9"/>
        </w:rPr>
        <w:t xml:space="preserve"> </w:t>
      </w:r>
      <w:r w:rsidRPr="001E6F2A">
        <w:t>1</w:t>
      </w:r>
      <w:r w:rsidR="0025787A">
        <w:t>0</w:t>
      </w:r>
      <w:r w:rsidRPr="001E6F2A">
        <w:t>B.2:</w:t>
      </w:r>
      <w:r w:rsidRPr="001E6F2A">
        <w:rPr>
          <w:spacing w:val="-6"/>
        </w:rPr>
        <w:t xml:space="preserve"> </w:t>
      </w:r>
      <w:r w:rsidRPr="001E6F2A">
        <w:t>Asset</w:t>
      </w:r>
      <w:r w:rsidRPr="001E6F2A">
        <w:rPr>
          <w:spacing w:val="-6"/>
        </w:rPr>
        <w:t xml:space="preserve"> </w:t>
      </w:r>
      <w:r w:rsidRPr="001E6F2A">
        <w:t>allocation</w:t>
      </w:r>
      <w:r w:rsidRPr="001E6F2A">
        <w:rPr>
          <w:spacing w:val="-5"/>
        </w:rPr>
        <w:t xml:space="preserve"> </w:t>
      </w:r>
      <w:r w:rsidRPr="001E6F2A">
        <w:t>of</w:t>
      </w:r>
      <w:r w:rsidRPr="001E6F2A">
        <w:rPr>
          <w:spacing w:val="-5"/>
        </w:rPr>
        <w:t xml:space="preserve"> </w:t>
      </w:r>
      <w:r w:rsidRPr="001E6F2A">
        <w:t>the</w:t>
      </w:r>
      <w:r w:rsidRPr="001E6F2A">
        <w:rPr>
          <w:spacing w:val="-6"/>
        </w:rPr>
        <w:t xml:space="preserve"> </w:t>
      </w:r>
      <w:r w:rsidRPr="001E6F2A">
        <w:t>Future</w:t>
      </w:r>
      <w:r w:rsidRPr="001E6F2A">
        <w:rPr>
          <w:spacing w:val="-6"/>
        </w:rPr>
        <w:t xml:space="preserve"> </w:t>
      </w:r>
      <w:r w:rsidRPr="001E6F2A">
        <w:t>Fund</w:t>
      </w:r>
    </w:p>
    <w:tbl>
      <w:tblPr>
        <w:tblW w:w="5000" w:type="pct"/>
        <w:tblCellMar>
          <w:left w:w="0" w:type="dxa"/>
          <w:right w:w="28" w:type="dxa"/>
        </w:tblCellMar>
        <w:tblLook w:val="04A0" w:firstRow="1" w:lastRow="0" w:firstColumn="1" w:lastColumn="0" w:noHBand="0" w:noVBand="1"/>
      </w:tblPr>
      <w:tblGrid>
        <w:gridCol w:w="2975"/>
        <w:gridCol w:w="1166"/>
        <w:gridCol w:w="1190"/>
        <w:gridCol w:w="1190"/>
        <w:gridCol w:w="1189"/>
      </w:tblGrid>
      <w:tr w:rsidR="00E67C97" w:rsidRPr="001E6F2A" w14:paraId="418424F2" w14:textId="77777777">
        <w:trPr>
          <w:trHeight w:hRule="exact" w:val="230"/>
        </w:trPr>
        <w:tc>
          <w:tcPr>
            <w:tcW w:w="1929" w:type="pct"/>
            <w:tcBorders>
              <w:top w:val="single" w:sz="4" w:space="0" w:color="293F5B"/>
              <w:left w:val="nil"/>
              <w:bottom w:val="nil"/>
              <w:right w:val="nil"/>
            </w:tcBorders>
            <w:shd w:val="clear" w:color="000000" w:fill="FFFFFF"/>
            <w:vAlign w:val="center"/>
            <w:hideMark/>
          </w:tcPr>
          <w:p w14:paraId="09D9DBB5" w14:textId="77777777" w:rsidR="00E67C97" w:rsidRPr="001E6F2A" w:rsidRDefault="00E67C97">
            <w:pPr>
              <w:spacing w:before="0" w:after="0" w:line="240" w:lineRule="auto"/>
              <w:rPr>
                <w:rFonts w:ascii="Arial" w:hAnsi="Arial" w:cs="Arial"/>
                <w:sz w:val="16"/>
                <w:szCs w:val="16"/>
              </w:rPr>
            </w:pPr>
            <w:r w:rsidRPr="001E6F2A">
              <w:rPr>
                <w:rFonts w:ascii="Arial" w:hAnsi="Arial" w:cs="Arial"/>
                <w:sz w:val="16"/>
                <w:szCs w:val="16"/>
              </w:rPr>
              <w:t>  </w:t>
            </w:r>
          </w:p>
        </w:tc>
        <w:tc>
          <w:tcPr>
            <w:tcW w:w="756" w:type="pct"/>
            <w:tcBorders>
              <w:top w:val="single" w:sz="4" w:space="0" w:color="293F5B"/>
              <w:left w:val="nil"/>
              <w:bottom w:val="nil"/>
              <w:right w:val="nil"/>
            </w:tcBorders>
            <w:shd w:val="clear" w:color="000000" w:fill="FFFFFF"/>
            <w:vAlign w:val="center"/>
            <w:hideMark/>
          </w:tcPr>
          <w:p w14:paraId="05CE57E5" w14:textId="3A520152" w:rsidR="00E67C97" w:rsidRPr="001E6F2A" w:rsidRDefault="00E67C97" w:rsidP="00205560">
            <w:pPr>
              <w:pStyle w:val="TableTextRight"/>
            </w:pPr>
            <w:r w:rsidRPr="001E6F2A">
              <w:t>31</w:t>
            </w:r>
            <w:r w:rsidR="00390046">
              <w:noBreakHyphen/>
            </w:r>
            <w:r w:rsidRPr="001E6F2A">
              <w:t>Mar</w:t>
            </w:r>
            <w:r w:rsidR="00390046">
              <w:noBreakHyphen/>
            </w:r>
            <w:r w:rsidRPr="001E6F2A">
              <w:t>24</w:t>
            </w:r>
          </w:p>
        </w:tc>
        <w:tc>
          <w:tcPr>
            <w:tcW w:w="772" w:type="pct"/>
            <w:tcBorders>
              <w:top w:val="single" w:sz="4" w:space="0" w:color="293F5B"/>
              <w:left w:val="nil"/>
              <w:bottom w:val="nil"/>
              <w:right w:val="nil"/>
            </w:tcBorders>
            <w:shd w:val="clear" w:color="000000" w:fill="FFFFFF"/>
            <w:vAlign w:val="center"/>
            <w:hideMark/>
          </w:tcPr>
          <w:p w14:paraId="580E94F4" w14:textId="445BBDDB" w:rsidR="00E67C97" w:rsidRPr="001E6F2A" w:rsidRDefault="00E67C97" w:rsidP="00205560">
            <w:pPr>
              <w:pStyle w:val="TableTextRight"/>
            </w:pPr>
            <w:r w:rsidRPr="001E6F2A">
              <w:t>31</w:t>
            </w:r>
            <w:r w:rsidR="00390046">
              <w:noBreakHyphen/>
            </w:r>
            <w:r w:rsidRPr="001E6F2A">
              <w:t>Mar</w:t>
            </w:r>
            <w:r w:rsidR="00390046">
              <w:noBreakHyphen/>
            </w:r>
            <w:r w:rsidRPr="001E6F2A">
              <w:t>24</w:t>
            </w:r>
          </w:p>
        </w:tc>
        <w:tc>
          <w:tcPr>
            <w:tcW w:w="772" w:type="pct"/>
            <w:tcBorders>
              <w:top w:val="single" w:sz="4" w:space="0" w:color="293F5B"/>
              <w:left w:val="nil"/>
              <w:bottom w:val="nil"/>
              <w:right w:val="nil"/>
            </w:tcBorders>
            <w:shd w:val="clear" w:color="000000" w:fill="FFFFFF"/>
            <w:vAlign w:val="center"/>
            <w:hideMark/>
          </w:tcPr>
          <w:p w14:paraId="42752749" w14:textId="2C5D9674" w:rsidR="00E67C97" w:rsidRPr="001E6F2A" w:rsidRDefault="00E67C97" w:rsidP="00205560">
            <w:pPr>
              <w:pStyle w:val="TableTextRight"/>
            </w:pPr>
            <w:r w:rsidRPr="001E6F2A">
              <w:t>31</w:t>
            </w:r>
            <w:r w:rsidR="00390046">
              <w:noBreakHyphen/>
            </w:r>
            <w:r w:rsidRPr="001E6F2A">
              <w:t>Mar</w:t>
            </w:r>
            <w:r w:rsidR="00390046">
              <w:noBreakHyphen/>
            </w:r>
            <w:r w:rsidRPr="001E6F2A">
              <w:t>23</w:t>
            </w:r>
          </w:p>
        </w:tc>
        <w:tc>
          <w:tcPr>
            <w:tcW w:w="771" w:type="pct"/>
            <w:tcBorders>
              <w:top w:val="single" w:sz="4" w:space="0" w:color="293F5B"/>
              <w:left w:val="nil"/>
              <w:bottom w:val="nil"/>
              <w:right w:val="nil"/>
            </w:tcBorders>
            <w:shd w:val="clear" w:color="000000" w:fill="FFFFFF"/>
            <w:vAlign w:val="center"/>
            <w:hideMark/>
          </w:tcPr>
          <w:p w14:paraId="237102C6" w14:textId="440F9E92" w:rsidR="00E67C97" w:rsidRPr="001E6F2A" w:rsidRDefault="00E67C97" w:rsidP="00205560">
            <w:pPr>
              <w:pStyle w:val="TableTextRight"/>
            </w:pPr>
            <w:r w:rsidRPr="001E6F2A">
              <w:t>31</w:t>
            </w:r>
            <w:r w:rsidR="00390046">
              <w:noBreakHyphen/>
            </w:r>
            <w:r w:rsidRPr="001E6F2A">
              <w:t>Mar</w:t>
            </w:r>
            <w:r w:rsidR="00390046">
              <w:noBreakHyphen/>
            </w:r>
            <w:r w:rsidRPr="001E6F2A">
              <w:t>23</w:t>
            </w:r>
          </w:p>
        </w:tc>
      </w:tr>
      <w:tr w:rsidR="00E67C97" w:rsidRPr="001E6F2A" w14:paraId="03E19B31" w14:textId="77777777">
        <w:trPr>
          <w:trHeight w:hRule="exact" w:val="230"/>
        </w:trPr>
        <w:tc>
          <w:tcPr>
            <w:tcW w:w="1929" w:type="pct"/>
            <w:tcBorders>
              <w:top w:val="nil"/>
              <w:left w:val="nil"/>
              <w:bottom w:val="single" w:sz="4" w:space="0" w:color="000000"/>
              <w:right w:val="nil"/>
            </w:tcBorders>
            <w:shd w:val="clear" w:color="000000" w:fill="FFFFFF"/>
            <w:vAlign w:val="center"/>
            <w:hideMark/>
          </w:tcPr>
          <w:p w14:paraId="058A288A" w14:textId="77777777" w:rsidR="00E67C97" w:rsidRPr="001E6F2A" w:rsidRDefault="00E67C97" w:rsidP="00205560">
            <w:pPr>
              <w:pStyle w:val="TableTextLeft"/>
            </w:pPr>
            <w:r w:rsidRPr="001E6F2A">
              <w:t>Asset class </w:t>
            </w:r>
          </w:p>
        </w:tc>
        <w:tc>
          <w:tcPr>
            <w:tcW w:w="756" w:type="pct"/>
            <w:tcBorders>
              <w:top w:val="nil"/>
              <w:left w:val="nil"/>
              <w:bottom w:val="single" w:sz="4" w:space="0" w:color="000000"/>
              <w:right w:val="nil"/>
            </w:tcBorders>
            <w:shd w:val="clear" w:color="000000" w:fill="FFFFFF"/>
            <w:vAlign w:val="center"/>
            <w:hideMark/>
          </w:tcPr>
          <w:p w14:paraId="2041FAB2" w14:textId="77777777" w:rsidR="00E67C97" w:rsidRPr="001E6F2A" w:rsidRDefault="00E67C97" w:rsidP="00205560">
            <w:pPr>
              <w:pStyle w:val="TableTextRight"/>
            </w:pPr>
            <w:r w:rsidRPr="001E6F2A">
              <w:t>$m </w:t>
            </w:r>
          </w:p>
        </w:tc>
        <w:tc>
          <w:tcPr>
            <w:tcW w:w="772" w:type="pct"/>
            <w:tcBorders>
              <w:top w:val="nil"/>
              <w:left w:val="nil"/>
              <w:bottom w:val="single" w:sz="4" w:space="0" w:color="000000"/>
              <w:right w:val="nil"/>
            </w:tcBorders>
            <w:shd w:val="clear" w:color="000000" w:fill="FFFFFF"/>
            <w:vAlign w:val="center"/>
            <w:hideMark/>
          </w:tcPr>
          <w:p w14:paraId="1E3B39DC" w14:textId="77777777" w:rsidR="00E67C97" w:rsidRPr="001E6F2A" w:rsidRDefault="00E67C97" w:rsidP="00205560">
            <w:pPr>
              <w:pStyle w:val="TableTextRight"/>
            </w:pPr>
            <w:r w:rsidRPr="001E6F2A">
              <w:t>% of Fund </w:t>
            </w:r>
          </w:p>
        </w:tc>
        <w:tc>
          <w:tcPr>
            <w:tcW w:w="772" w:type="pct"/>
            <w:tcBorders>
              <w:top w:val="nil"/>
              <w:left w:val="nil"/>
              <w:bottom w:val="single" w:sz="4" w:space="0" w:color="000000"/>
              <w:right w:val="nil"/>
            </w:tcBorders>
            <w:shd w:val="clear" w:color="000000" w:fill="FFFFFF"/>
            <w:vAlign w:val="center"/>
            <w:hideMark/>
          </w:tcPr>
          <w:p w14:paraId="6127736D" w14:textId="77777777" w:rsidR="00E67C97" w:rsidRPr="001E6F2A" w:rsidRDefault="00E67C97" w:rsidP="00205560">
            <w:pPr>
              <w:pStyle w:val="TableTextRight"/>
            </w:pPr>
            <w:r w:rsidRPr="001E6F2A">
              <w:t>$m </w:t>
            </w:r>
          </w:p>
        </w:tc>
        <w:tc>
          <w:tcPr>
            <w:tcW w:w="771" w:type="pct"/>
            <w:tcBorders>
              <w:top w:val="nil"/>
              <w:left w:val="nil"/>
              <w:bottom w:val="single" w:sz="4" w:space="0" w:color="000000"/>
              <w:right w:val="nil"/>
            </w:tcBorders>
            <w:shd w:val="clear" w:color="000000" w:fill="FFFFFF"/>
            <w:vAlign w:val="center"/>
            <w:hideMark/>
          </w:tcPr>
          <w:p w14:paraId="418419E1" w14:textId="77777777" w:rsidR="00E67C97" w:rsidRPr="001E6F2A" w:rsidRDefault="00E67C97" w:rsidP="00205560">
            <w:pPr>
              <w:pStyle w:val="TableTextRight"/>
            </w:pPr>
            <w:r w:rsidRPr="001E6F2A">
              <w:t>% of Fund </w:t>
            </w:r>
          </w:p>
        </w:tc>
      </w:tr>
      <w:tr w:rsidR="00487638" w:rsidRPr="001E6F2A" w14:paraId="6A03433E" w14:textId="77777777">
        <w:trPr>
          <w:trHeight w:hRule="exact" w:val="230"/>
        </w:trPr>
        <w:tc>
          <w:tcPr>
            <w:tcW w:w="1929" w:type="pct"/>
            <w:tcBorders>
              <w:top w:val="nil"/>
              <w:left w:val="nil"/>
              <w:bottom w:val="nil"/>
              <w:right w:val="nil"/>
            </w:tcBorders>
            <w:shd w:val="clear" w:color="000000" w:fill="FFFFFF"/>
            <w:vAlign w:val="center"/>
            <w:hideMark/>
          </w:tcPr>
          <w:p w14:paraId="010B6119" w14:textId="77777777" w:rsidR="00487638" w:rsidRPr="001E6F2A" w:rsidRDefault="00487638" w:rsidP="00205560">
            <w:pPr>
              <w:pStyle w:val="TableTextLeft"/>
            </w:pPr>
            <w:r w:rsidRPr="001E6F2A">
              <w:t>Australian equities </w:t>
            </w:r>
          </w:p>
        </w:tc>
        <w:tc>
          <w:tcPr>
            <w:tcW w:w="756" w:type="pct"/>
            <w:tcBorders>
              <w:top w:val="nil"/>
              <w:left w:val="nil"/>
              <w:bottom w:val="nil"/>
              <w:right w:val="nil"/>
            </w:tcBorders>
            <w:shd w:val="clear" w:color="000000" w:fill="FFFFFF"/>
            <w:vAlign w:val="center"/>
            <w:hideMark/>
          </w:tcPr>
          <w:p w14:paraId="2C98BBB3" w14:textId="212A7D82" w:rsidR="00487638" w:rsidRPr="00D63B96" w:rsidRDefault="00487638" w:rsidP="00205560">
            <w:pPr>
              <w:pStyle w:val="TableTextRight"/>
            </w:pPr>
            <w:r w:rsidRPr="00D63B96">
              <w:t>22,523</w:t>
            </w:r>
          </w:p>
        </w:tc>
        <w:tc>
          <w:tcPr>
            <w:tcW w:w="772" w:type="pct"/>
            <w:tcBorders>
              <w:top w:val="nil"/>
              <w:left w:val="nil"/>
              <w:bottom w:val="nil"/>
              <w:right w:val="nil"/>
            </w:tcBorders>
            <w:shd w:val="clear" w:color="000000" w:fill="FFFFFF"/>
            <w:vAlign w:val="center"/>
            <w:hideMark/>
          </w:tcPr>
          <w:p w14:paraId="7A657DAB" w14:textId="6BFABBE6" w:rsidR="00487638" w:rsidRPr="00D63B96" w:rsidRDefault="00487638" w:rsidP="00205560">
            <w:pPr>
              <w:pStyle w:val="TableTextRight"/>
            </w:pPr>
            <w:r w:rsidRPr="00D63B96">
              <w:t>10.1</w:t>
            </w:r>
          </w:p>
        </w:tc>
        <w:tc>
          <w:tcPr>
            <w:tcW w:w="772" w:type="pct"/>
            <w:tcBorders>
              <w:top w:val="nil"/>
              <w:left w:val="nil"/>
              <w:bottom w:val="nil"/>
              <w:right w:val="nil"/>
            </w:tcBorders>
            <w:shd w:val="clear" w:color="000000" w:fill="FFFFFF"/>
            <w:vAlign w:val="center"/>
            <w:hideMark/>
          </w:tcPr>
          <w:p w14:paraId="229304F1" w14:textId="77777777" w:rsidR="00487638" w:rsidRPr="001E6F2A" w:rsidRDefault="00487638" w:rsidP="00205560">
            <w:pPr>
              <w:pStyle w:val="TableTextRight"/>
            </w:pPr>
            <w:r w:rsidRPr="001E6F2A">
              <w:t>17,913</w:t>
            </w:r>
          </w:p>
        </w:tc>
        <w:tc>
          <w:tcPr>
            <w:tcW w:w="771" w:type="pct"/>
            <w:tcBorders>
              <w:top w:val="nil"/>
              <w:left w:val="nil"/>
              <w:bottom w:val="nil"/>
              <w:right w:val="nil"/>
            </w:tcBorders>
            <w:shd w:val="clear" w:color="000000" w:fill="FFFFFF"/>
            <w:vAlign w:val="center"/>
            <w:hideMark/>
          </w:tcPr>
          <w:p w14:paraId="7D315E80" w14:textId="77777777" w:rsidR="00487638" w:rsidRPr="001E6F2A" w:rsidRDefault="00487638" w:rsidP="00205560">
            <w:pPr>
              <w:pStyle w:val="TableTextRight"/>
            </w:pPr>
            <w:r w:rsidRPr="001E6F2A">
              <w:t>8.8</w:t>
            </w:r>
          </w:p>
        </w:tc>
      </w:tr>
      <w:tr w:rsidR="00E67C97" w:rsidRPr="001E6F2A" w14:paraId="37662FA6" w14:textId="77777777">
        <w:trPr>
          <w:trHeight w:hRule="exact" w:val="230"/>
        </w:trPr>
        <w:tc>
          <w:tcPr>
            <w:tcW w:w="1929" w:type="pct"/>
            <w:tcBorders>
              <w:top w:val="nil"/>
              <w:left w:val="nil"/>
              <w:bottom w:val="nil"/>
              <w:right w:val="nil"/>
            </w:tcBorders>
            <w:shd w:val="clear" w:color="000000" w:fill="FFFFFF"/>
            <w:vAlign w:val="center"/>
            <w:hideMark/>
          </w:tcPr>
          <w:p w14:paraId="1A378D59" w14:textId="77777777" w:rsidR="00E67C97" w:rsidRPr="001E6F2A" w:rsidRDefault="00E67C97" w:rsidP="00205560">
            <w:pPr>
              <w:pStyle w:val="TableTextLeft"/>
            </w:pPr>
            <w:r w:rsidRPr="001E6F2A">
              <w:t>Global equities </w:t>
            </w:r>
          </w:p>
        </w:tc>
        <w:tc>
          <w:tcPr>
            <w:tcW w:w="756" w:type="pct"/>
            <w:tcBorders>
              <w:top w:val="nil"/>
              <w:left w:val="nil"/>
              <w:bottom w:val="nil"/>
              <w:right w:val="nil"/>
            </w:tcBorders>
            <w:shd w:val="clear" w:color="000000" w:fill="FFFFFF"/>
            <w:vAlign w:val="center"/>
            <w:hideMark/>
          </w:tcPr>
          <w:p w14:paraId="6036516B" w14:textId="77777777" w:rsidR="00E67C97" w:rsidRPr="00D63B96" w:rsidRDefault="00E67C97" w:rsidP="00205560">
            <w:pPr>
              <w:pStyle w:val="TableTextRight"/>
            </w:pPr>
            <w:r w:rsidRPr="00D63B96">
              <w:t>  </w:t>
            </w:r>
          </w:p>
        </w:tc>
        <w:tc>
          <w:tcPr>
            <w:tcW w:w="772" w:type="pct"/>
            <w:tcBorders>
              <w:top w:val="nil"/>
              <w:left w:val="nil"/>
              <w:bottom w:val="nil"/>
              <w:right w:val="nil"/>
            </w:tcBorders>
            <w:shd w:val="clear" w:color="000000" w:fill="FFFFFF"/>
            <w:vAlign w:val="center"/>
            <w:hideMark/>
          </w:tcPr>
          <w:p w14:paraId="1EDE57A8" w14:textId="77777777" w:rsidR="00E67C97" w:rsidRPr="00D63B96" w:rsidRDefault="00E67C97" w:rsidP="00205560">
            <w:pPr>
              <w:pStyle w:val="TableTextRight"/>
            </w:pPr>
            <w:r w:rsidRPr="00D63B96">
              <w:t>  </w:t>
            </w:r>
          </w:p>
        </w:tc>
        <w:tc>
          <w:tcPr>
            <w:tcW w:w="772" w:type="pct"/>
            <w:tcBorders>
              <w:top w:val="nil"/>
              <w:left w:val="nil"/>
              <w:bottom w:val="nil"/>
              <w:right w:val="nil"/>
            </w:tcBorders>
            <w:shd w:val="clear" w:color="000000" w:fill="FFFFFF"/>
            <w:vAlign w:val="center"/>
            <w:hideMark/>
          </w:tcPr>
          <w:p w14:paraId="52D57D14" w14:textId="77777777" w:rsidR="00E67C97" w:rsidRPr="001E6F2A" w:rsidRDefault="00E67C97" w:rsidP="00205560">
            <w:pPr>
              <w:pStyle w:val="TableTextRight"/>
            </w:pPr>
            <w:r w:rsidRPr="001E6F2A">
              <w:t>  </w:t>
            </w:r>
          </w:p>
        </w:tc>
        <w:tc>
          <w:tcPr>
            <w:tcW w:w="771" w:type="pct"/>
            <w:tcBorders>
              <w:top w:val="nil"/>
              <w:left w:val="nil"/>
              <w:bottom w:val="nil"/>
              <w:right w:val="nil"/>
            </w:tcBorders>
            <w:shd w:val="clear" w:color="000000" w:fill="FFFFFF"/>
            <w:vAlign w:val="center"/>
            <w:hideMark/>
          </w:tcPr>
          <w:p w14:paraId="632C592E" w14:textId="77777777" w:rsidR="00E67C97" w:rsidRPr="001E6F2A" w:rsidRDefault="00E67C97" w:rsidP="00205560">
            <w:pPr>
              <w:pStyle w:val="TableTextRight"/>
            </w:pPr>
            <w:r w:rsidRPr="001E6F2A">
              <w:t>  </w:t>
            </w:r>
          </w:p>
        </w:tc>
      </w:tr>
      <w:tr w:rsidR="00CA4633" w:rsidRPr="001E6F2A" w14:paraId="5453FAF0" w14:textId="77777777">
        <w:trPr>
          <w:trHeight w:hRule="exact" w:val="230"/>
        </w:trPr>
        <w:tc>
          <w:tcPr>
            <w:tcW w:w="1929" w:type="pct"/>
            <w:tcBorders>
              <w:top w:val="nil"/>
              <w:left w:val="nil"/>
              <w:bottom w:val="nil"/>
              <w:right w:val="nil"/>
            </w:tcBorders>
            <w:shd w:val="clear" w:color="000000" w:fill="FFFFFF"/>
            <w:vAlign w:val="center"/>
            <w:hideMark/>
          </w:tcPr>
          <w:p w14:paraId="663EC965" w14:textId="77777777" w:rsidR="00CA4633" w:rsidRPr="001E6F2A" w:rsidRDefault="00CA4633" w:rsidP="00205560">
            <w:pPr>
              <w:pStyle w:val="TableTextLeft"/>
              <w:rPr>
                <w:i/>
              </w:rPr>
            </w:pPr>
            <w:r w:rsidRPr="001E6F2A">
              <w:rPr>
                <w:i/>
              </w:rPr>
              <w:t>   Developed markets</w:t>
            </w:r>
            <w:r w:rsidRPr="001E6F2A">
              <w:t> </w:t>
            </w:r>
          </w:p>
        </w:tc>
        <w:tc>
          <w:tcPr>
            <w:tcW w:w="756" w:type="pct"/>
            <w:tcBorders>
              <w:top w:val="nil"/>
              <w:left w:val="nil"/>
              <w:bottom w:val="nil"/>
              <w:right w:val="nil"/>
            </w:tcBorders>
            <w:shd w:val="clear" w:color="000000" w:fill="FFFFFF"/>
            <w:vAlign w:val="center"/>
            <w:hideMark/>
          </w:tcPr>
          <w:p w14:paraId="11C11C95" w14:textId="4ED4D974" w:rsidR="00CA4633" w:rsidRPr="00D63B96" w:rsidRDefault="00CA4633" w:rsidP="00205560">
            <w:pPr>
              <w:pStyle w:val="TableTextRight"/>
            </w:pPr>
            <w:r w:rsidRPr="00D63B96">
              <w:t>45,409</w:t>
            </w:r>
          </w:p>
        </w:tc>
        <w:tc>
          <w:tcPr>
            <w:tcW w:w="772" w:type="pct"/>
            <w:tcBorders>
              <w:top w:val="nil"/>
              <w:left w:val="nil"/>
              <w:bottom w:val="nil"/>
              <w:right w:val="nil"/>
            </w:tcBorders>
            <w:shd w:val="clear" w:color="000000" w:fill="FFFFFF"/>
            <w:vAlign w:val="center"/>
            <w:hideMark/>
          </w:tcPr>
          <w:p w14:paraId="38724164" w14:textId="613ACAC0" w:rsidR="00CA4633" w:rsidRPr="00D63B96" w:rsidRDefault="00CA4633" w:rsidP="00205560">
            <w:pPr>
              <w:pStyle w:val="TableTextRight"/>
            </w:pPr>
            <w:r w:rsidRPr="00D63B96">
              <w:t>20.3</w:t>
            </w:r>
          </w:p>
        </w:tc>
        <w:tc>
          <w:tcPr>
            <w:tcW w:w="772" w:type="pct"/>
            <w:tcBorders>
              <w:top w:val="nil"/>
              <w:left w:val="nil"/>
              <w:bottom w:val="nil"/>
              <w:right w:val="nil"/>
            </w:tcBorders>
            <w:shd w:val="clear" w:color="000000" w:fill="FFFFFF"/>
            <w:vAlign w:val="center"/>
            <w:hideMark/>
          </w:tcPr>
          <w:p w14:paraId="12437B30" w14:textId="77777777" w:rsidR="00CA4633" w:rsidRPr="001E6F2A" w:rsidRDefault="00CA4633" w:rsidP="00205560">
            <w:pPr>
              <w:pStyle w:val="TableTextRight"/>
            </w:pPr>
            <w:r w:rsidRPr="001E6F2A">
              <w:t>34,536</w:t>
            </w:r>
          </w:p>
        </w:tc>
        <w:tc>
          <w:tcPr>
            <w:tcW w:w="771" w:type="pct"/>
            <w:tcBorders>
              <w:top w:val="nil"/>
              <w:left w:val="nil"/>
              <w:bottom w:val="nil"/>
              <w:right w:val="nil"/>
            </w:tcBorders>
            <w:shd w:val="clear" w:color="000000" w:fill="FFFFFF"/>
            <w:vAlign w:val="center"/>
            <w:hideMark/>
          </w:tcPr>
          <w:p w14:paraId="41D99C75" w14:textId="77777777" w:rsidR="00CA4633" w:rsidRPr="001E6F2A" w:rsidRDefault="00CA4633" w:rsidP="00205560">
            <w:pPr>
              <w:pStyle w:val="TableTextRight"/>
            </w:pPr>
            <w:r w:rsidRPr="001E6F2A">
              <w:t>17.0</w:t>
            </w:r>
          </w:p>
        </w:tc>
      </w:tr>
      <w:tr w:rsidR="00CA4633" w:rsidRPr="001E6F2A" w14:paraId="2FAFF0BA" w14:textId="77777777">
        <w:trPr>
          <w:trHeight w:hRule="exact" w:val="230"/>
        </w:trPr>
        <w:tc>
          <w:tcPr>
            <w:tcW w:w="1929" w:type="pct"/>
            <w:tcBorders>
              <w:top w:val="nil"/>
              <w:left w:val="nil"/>
              <w:bottom w:val="nil"/>
              <w:right w:val="nil"/>
            </w:tcBorders>
            <w:shd w:val="clear" w:color="000000" w:fill="FFFFFF"/>
            <w:vAlign w:val="center"/>
            <w:hideMark/>
          </w:tcPr>
          <w:p w14:paraId="34CE9923" w14:textId="77777777" w:rsidR="00CA4633" w:rsidRPr="001E6F2A" w:rsidRDefault="00CA4633" w:rsidP="00205560">
            <w:pPr>
              <w:pStyle w:val="TableTextLeft"/>
              <w:rPr>
                <w:i/>
              </w:rPr>
            </w:pPr>
            <w:r w:rsidRPr="001E6F2A">
              <w:rPr>
                <w:i/>
              </w:rPr>
              <w:t>   Emerging markets</w:t>
            </w:r>
            <w:r w:rsidRPr="001E6F2A">
              <w:t> </w:t>
            </w:r>
          </w:p>
        </w:tc>
        <w:tc>
          <w:tcPr>
            <w:tcW w:w="756" w:type="pct"/>
            <w:tcBorders>
              <w:top w:val="nil"/>
              <w:left w:val="nil"/>
              <w:bottom w:val="nil"/>
              <w:right w:val="nil"/>
            </w:tcBorders>
            <w:shd w:val="clear" w:color="000000" w:fill="FFFFFF"/>
            <w:vAlign w:val="center"/>
            <w:hideMark/>
          </w:tcPr>
          <w:p w14:paraId="74D5A648" w14:textId="2028D5DA" w:rsidR="00CA4633" w:rsidRPr="00D63B96" w:rsidRDefault="00CA4633" w:rsidP="00205560">
            <w:pPr>
              <w:pStyle w:val="TableTextRight"/>
            </w:pPr>
            <w:r w:rsidRPr="00D63B96">
              <w:t>15,159</w:t>
            </w:r>
          </w:p>
        </w:tc>
        <w:tc>
          <w:tcPr>
            <w:tcW w:w="772" w:type="pct"/>
            <w:tcBorders>
              <w:top w:val="nil"/>
              <w:left w:val="nil"/>
              <w:bottom w:val="nil"/>
              <w:right w:val="nil"/>
            </w:tcBorders>
            <w:shd w:val="clear" w:color="000000" w:fill="FFFFFF"/>
            <w:vAlign w:val="center"/>
            <w:hideMark/>
          </w:tcPr>
          <w:p w14:paraId="43591ECD" w14:textId="0758F5FD" w:rsidR="00CA4633" w:rsidRPr="00D63B96" w:rsidRDefault="00CA4633" w:rsidP="00205560">
            <w:pPr>
              <w:pStyle w:val="TableTextRight"/>
            </w:pPr>
            <w:r w:rsidRPr="00D63B96">
              <w:t>6.8</w:t>
            </w:r>
          </w:p>
        </w:tc>
        <w:tc>
          <w:tcPr>
            <w:tcW w:w="772" w:type="pct"/>
            <w:tcBorders>
              <w:top w:val="nil"/>
              <w:left w:val="nil"/>
              <w:bottom w:val="nil"/>
              <w:right w:val="nil"/>
            </w:tcBorders>
            <w:shd w:val="clear" w:color="000000" w:fill="FFFFFF"/>
            <w:vAlign w:val="center"/>
            <w:hideMark/>
          </w:tcPr>
          <w:p w14:paraId="4CFF880C" w14:textId="77777777" w:rsidR="00CA4633" w:rsidRPr="001E6F2A" w:rsidRDefault="00CA4633" w:rsidP="00205560">
            <w:pPr>
              <w:pStyle w:val="TableTextRight"/>
            </w:pPr>
            <w:r w:rsidRPr="001E6F2A">
              <w:t>11,955</w:t>
            </w:r>
          </w:p>
        </w:tc>
        <w:tc>
          <w:tcPr>
            <w:tcW w:w="771" w:type="pct"/>
            <w:tcBorders>
              <w:top w:val="nil"/>
              <w:left w:val="nil"/>
              <w:bottom w:val="nil"/>
              <w:right w:val="nil"/>
            </w:tcBorders>
            <w:shd w:val="clear" w:color="000000" w:fill="FFFFFF"/>
            <w:vAlign w:val="center"/>
            <w:hideMark/>
          </w:tcPr>
          <w:p w14:paraId="02130B94" w14:textId="77777777" w:rsidR="00CA4633" w:rsidRPr="001E6F2A" w:rsidRDefault="00CA4633" w:rsidP="00205560">
            <w:pPr>
              <w:pStyle w:val="TableTextRight"/>
            </w:pPr>
            <w:r w:rsidRPr="001E6F2A">
              <w:t>5.9</w:t>
            </w:r>
          </w:p>
        </w:tc>
      </w:tr>
      <w:tr w:rsidR="00CA4633" w:rsidRPr="001E6F2A" w14:paraId="5B1FB690" w14:textId="77777777">
        <w:trPr>
          <w:trHeight w:hRule="exact" w:val="230"/>
        </w:trPr>
        <w:tc>
          <w:tcPr>
            <w:tcW w:w="1929" w:type="pct"/>
            <w:tcBorders>
              <w:top w:val="nil"/>
              <w:left w:val="nil"/>
              <w:bottom w:val="nil"/>
              <w:right w:val="nil"/>
            </w:tcBorders>
            <w:shd w:val="clear" w:color="000000" w:fill="FFFFFF"/>
            <w:vAlign w:val="center"/>
            <w:hideMark/>
          </w:tcPr>
          <w:p w14:paraId="0BB2DFC0" w14:textId="77777777" w:rsidR="00CA4633" w:rsidRPr="001E6F2A" w:rsidRDefault="00CA4633" w:rsidP="00205560">
            <w:pPr>
              <w:pStyle w:val="TableTextLeft"/>
            </w:pPr>
            <w:r w:rsidRPr="001E6F2A">
              <w:t>Private equity </w:t>
            </w:r>
          </w:p>
        </w:tc>
        <w:tc>
          <w:tcPr>
            <w:tcW w:w="756" w:type="pct"/>
            <w:tcBorders>
              <w:top w:val="nil"/>
              <w:left w:val="nil"/>
              <w:bottom w:val="nil"/>
              <w:right w:val="nil"/>
            </w:tcBorders>
            <w:shd w:val="clear" w:color="000000" w:fill="FFFFFF"/>
            <w:vAlign w:val="center"/>
            <w:hideMark/>
          </w:tcPr>
          <w:p w14:paraId="683E7A80" w14:textId="3ABFE212" w:rsidR="00CA4633" w:rsidRPr="00D63B96" w:rsidRDefault="00CA4633" w:rsidP="00205560">
            <w:pPr>
              <w:pStyle w:val="TableTextRight"/>
            </w:pPr>
            <w:r w:rsidRPr="00D63B96">
              <w:t>33,490</w:t>
            </w:r>
          </w:p>
        </w:tc>
        <w:tc>
          <w:tcPr>
            <w:tcW w:w="772" w:type="pct"/>
            <w:tcBorders>
              <w:top w:val="nil"/>
              <w:left w:val="nil"/>
              <w:bottom w:val="nil"/>
              <w:right w:val="nil"/>
            </w:tcBorders>
            <w:shd w:val="clear" w:color="000000" w:fill="FFFFFF"/>
            <w:vAlign w:val="center"/>
            <w:hideMark/>
          </w:tcPr>
          <w:p w14:paraId="3FEE71B8" w14:textId="26D22B80" w:rsidR="00CA4633" w:rsidRPr="00D63B96" w:rsidRDefault="00CA4633" w:rsidP="00205560">
            <w:pPr>
              <w:pStyle w:val="TableTextRight"/>
            </w:pPr>
            <w:r w:rsidRPr="00D63B96">
              <w:t>15.0</w:t>
            </w:r>
          </w:p>
        </w:tc>
        <w:tc>
          <w:tcPr>
            <w:tcW w:w="772" w:type="pct"/>
            <w:tcBorders>
              <w:top w:val="nil"/>
              <w:left w:val="nil"/>
              <w:bottom w:val="nil"/>
              <w:right w:val="nil"/>
            </w:tcBorders>
            <w:shd w:val="clear" w:color="000000" w:fill="FFFFFF"/>
            <w:vAlign w:val="center"/>
            <w:hideMark/>
          </w:tcPr>
          <w:p w14:paraId="398D64EE" w14:textId="77777777" w:rsidR="00CA4633" w:rsidRPr="001E6F2A" w:rsidRDefault="00CA4633" w:rsidP="00205560">
            <w:pPr>
              <w:pStyle w:val="TableTextRight"/>
            </w:pPr>
            <w:r w:rsidRPr="001E6F2A">
              <w:t>33,320</w:t>
            </w:r>
          </w:p>
        </w:tc>
        <w:tc>
          <w:tcPr>
            <w:tcW w:w="771" w:type="pct"/>
            <w:tcBorders>
              <w:top w:val="nil"/>
              <w:left w:val="nil"/>
              <w:bottom w:val="nil"/>
              <w:right w:val="nil"/>
            </w:tcBorders>
            <w:shd w:val="clear" w:color="000000" w:fill="FFFFFF"/>
            <w:vAlign w:val="center"/>
            <w:hideMark/>
          </w:tcPr>
          <w:p w14:paraId="0065C413" w14:textId="77777777" w:rsidR="00CA4633" w:rsidRPr="001E6F2A" w:rsidRDefault="00CA4633" w:rsidP="00205560">
            <w:pPr>
              <w:pStyle w:val="TableTextRight"/>
            </w:pPr>
            <w:r w:rsidRPr="001E6F2A">
              <w:t>16.4</w:t>
            </w:r>
          </w:p>
        </w:tc>
      </w:tr>
      <w:tr w:rsidR="00CA4633" w:rsidRPr="001E6F2A" w14:paraId="19A3D469" w14:textId="77777777">
        <w:trPr>
          <w:trHeight w:hRule="exact" w:val="230"/>
        </w:trPr>
        <w:tc>
          <w:tcPr>
            <w:tcW w:w="1929" w:type="pct"/>
            <w:tcBorders>
              <w:top w:val="nil"/>
              <w:left w:val="nil"/>
              <w:bottom w:val="nil"/>
              <w:right w:val="nil"/>
            </w:tcBorders>
            <w:shd w:val="clear" w:color="000000" w:fill="FFFFFF"/>
            <w:vAlign w:val="center"/>
            <w:hideMark/>
          </w:tcPr>
          <w:p w14:paraId="6AAB8BDA" w14:textId="77777777" w:rsidR="00CA4633" w:rsidRPr="001E6F2A" w:rsidRDefault="00CA4633" w:rsidP="00205560">
            <w:pPr>
              <w:pStyle w:val="TableTextLeft"/>
            </w:pPr>
            <w:r w:rsidRPr="001E6F2A">
              <w:t>Property </w:t>
            </w:r>
          </w:p>
        </w:tc>
        <w:tc>
          <w:tcPr>
            <w:tcW w:w="756" w:type="pct"/>
            <w:tcBorders>
              <w:top w:val="nil"/>
              <w:left w:val="nil"/>
              <w:bottom w:val="nil"/>
              <w:right w:val="nil"/>
            </w:tcBorders>
            <w:shd w:val="clear" w:color="000000" w:fill="FFFFFF"/>
            <w:vAlign w:val="center"/>
            <w:hideMark/>
          </w:tcPr>
          <w:p w14:paraId="522114BE" w14:textId="6BBEBF2E" w:rsidR="00CA4633" w:rsidRPr="00D63B96" w:rsidRDefault="00CA4633" w:rsidP="00205560">
            <w:pPr>
              <w:pStyle w:val="TableTextRight"/>
            </w:pPr>
            <w:r w:rsidRPr="00D63B96">
              <w:t>12,744</w:t>
            </w:r>
          </w:p>
        </w:tc>
        <w:tc>
          <w:tcPr>
            <w:tcW w:w="772" w:type="pct"/>
            <w:tcBorders>
              <w:top w:val="nil"/>
              <w:left w:val="nil"/>
              <w:bottom w:val="nil"/>
              <w:right w:val="nil"/>
            </w:tcBorders>
            <w:shd w:val="clear" w:color="000000" w:fill="FFFFFF"/>
            <w:vAlign w:val="center"/>
            <w:hideMark/>
          </w:tcPr>
          <w:p w14:paraId="5A25A21A" w14:textId="4DBE9F28" w:rsidR="00CA4633" w:rsidRPr="00D63B96" w:rsidRDefault="00CA4633" w:rsidP="00205560">
            <w:pPr>
              <w:pStyle w:val="TableTextRight"/>
            </w:pPr>
            <w:r w:rsidRPr="00D63B96">
              <w:t>5.7</w:t>
            </w:r>
          </w:p>
        </w:tc>
        <w:tc>
          <w:tcPr>
            <w:tcW w:w="772" w:type="pct"/>
            <w:tcBorders>
              <w:top w:val="nil"/>
              <w:left w:val="nil"/>
              <w:bottom w:val="nil"/>
              <w:right w:val="nil"/>
            </w:tcBorders>
            <w:shd w:val="clear" w:color="000000" w:fill="FFFFFF"/>
            <w:vAlign w:val="center"/>
            <w:hideMark/>
          </w:tcPr>
          <w:p w14:paraId="70C89A8E" w14:textId="77777777" w:rsidR="00CA4633" w:rsidRPr="001E6F2A" w:rsidRDefault="00CA4633" w:rsidP="00205560">
            <w:pPr>
              <w:pStyle w:val="TableTextRight"/>
            </w:pPr>
            <w:r w:rsidRPr="001E6F2A">
              <w:t>13,118</w:t>
            </w:r>
          </w:p>
        </w:tc>
        <w:tc>
          <w:tcPr>
            <w:tcW w:w="771" w:type="pct"/>
            <w:tcBorders>
              <w:top w:val="nil"/>
              <w:left w:val="nil"/>
              <w:bottom w:val="nil"/>
              <w:right w:val="nil"/>
            </w:tcBorders>
            <w:shd w:val="clear" w:color="000000" w:fill="FFFFFF"/>
            <w:vAlign w:val="center"/>
            <w:hideMark/>
          </w:tcPr>
          <w:p w14:paraId="5ADE34FE" w14:textId="77777777" w:rsidR="00CA4633" w:rsidRPr="001E6F2A" w:rsidRDefault="00CA4633" w:rsidP="00205560">
            <w:pPr>
              <w:pStyle w:val="TableTextRight"/>
            </w:pPr>
            <w:r w:rsidRPr="001E6F2A">
              <w:t>6.5</w:t>
            </w:r>
          </w:p>
        </w:tc>
      </w:tr>
      <w:tr w:rsidR="00CA4633" w:rsidRPr="001E6F2A" w14:paraId="5829C60D" w14:textId="77777777">
        <w:trPr>
          <w:trHeight w:hRule="exact" w:val="230"/>
        </w:trPr>
        <w:tc>
          <w:tcPr>
            <w:tcW w:w="1929" w:type="pct"/>
            <w:tcBorders>
              <w:top w:val="nil"/>
              <w:left w:val="nil"/>
              <w:bottom w:val="nil"/>
              <w:right w:val="nil"/>
            </w:tcBorders>
            <w:shd w:val="clear" w:color="000000" w:fill="FFFFFF"/>
            <w:vAlign w:val="center"/>
            <w:hideMark/>
          </w:tcPr>
          <w:p w14:paraId="3D187558" w14:textId="77777777" w:rsidR="00CA4633" w:rsidRPr="001E6F2A" w:rsidRDefault="00CA4633" w:rsidP="00205560">
            <w:pPr>
              <w:pStyle w:val="TableTextLeft"/>
            </w:pPr>
            <w:r w:rsidRPr="001E6F2A">
              <w:t>Infrastructure &amp; Timberland </w:t>
            </w:r>
          </w:p>
        </w:tc>
        <w:tc>
          <w:tcPr>
            <w:tcW w:w="756" w:type="pct"/>
            <w:tcBorders>
              <w:top w:val="nil"/>
              <w:left w:val="nil"/>
              <w:bottom w:val="nil"/>
              <w:right w:val="nil"/>
            </w:tcBorders>
            <w:shd w:val="clear" w:color="000000" w:fill="FFFFFF"/>
            <w:vAlign w:val="center"/>
            <w:hideMark/>
          </w:tcPr>
          <w:p w14:paraId="6E5A8975" w14:textId="253F2F9B" w:rsidR="00CA4633" w:rsidRPr="00D63B96" w:rsidRDefault="00CA4633" w:rsidP="00205560">
            <w:pPr>
              <w:pStyle w:val="TableTextRight"/>
            </w:pPr>
            <w:r w:rsidRPr="00D63B96">
              <w:t>21,280</w:t>
            </w:r>
          </w:p>
        </w:tc>
        <w:tc>
          <w:tcPr>
            <w:tcW w:w="772" w:type="pct"/>
            <w:tcBorders>
              <w:top w:val="nil"/>
              <w:left w:val="nil"/>
              <w:bottom w:val="nil"/>
              <w:right w:val="nil"/>
            </w:tcBorders>
            <w:shd w:val="clear" w:color="000000" w:fill="FFFFFF"/>
            <w:vAlign w:val="center"/>
            <w:hideMark/>
          </w:tcPr>
          <w:p w14:paraId="22583B33" w14:textId="45C861BF" w:rsidR="00CA4633" w:rsidRPr="00D63B96" w:rsidRDefault="00CA4633" w:rsidP="00205560">
            <w:pPr>
              <w:pStyle w:val="TableTextRight"/>
            </w:pPr>
            <w:r w:rsidRPr="00D63B96">
              <w:t>9.5</w:t>
            </w:r>
          </w:p>
        </w:tc>
        <w:tc>
          <w:tcPr>
            <w:tcW w:w="772" w:type="pct"/>
            <w:tcBorders>
              <w:top w:val="nil"/>
              <w:left w:val="nil"/>
              <w:bottom w:val="nil"/>
              <w:right w:val="nil"/>
            </w:tcBorders>
            <w:shd w:val="clear" w:color="000000" w:fill="FFFFFF"/>
            <w:vAlign w:val="center"/>
            <w:hideMark/>
          </w:tcPr>
          <w:p w14:paraId="2DE3EA5F" w14:textId="77777777" w:rsidR="00CA4633" w:rsidRPr="001E6F2A" w:rsidRDefault="00CA4633" w:rsidP="00205560">
            <w:pPr>
              <w:pStyle w:val="TableTextRight"/>
            </w:pPr>
            <w:r w:rsidRPr="001E6F2A">
              <w:t>19,166</w:t>
            </w:r>
          </w:p>
        </w:tc>
        <w:tc>
          <w:tcPr>
            <w:tcW w:w="771" w:type="pct"/>
            <w:tcBorders>
              <w:top w:val="nil"/>
              <w:left w:val="nil"/>
              <w:bottom w:val="nil"/>
              <w:right w:val="nil"/>
            </w:tcBorders>
            <w:shd w:val="clear" w:color="000000" w:fill="FFFFFF"/>
            <w:vAlign w:val="center"/>
            <w:hideMark/>
          </w:tcPr>
          <w:p w14:paraId="1BA305FF" w14:textId="77777777" w:rsidR="00CA4633" w:rsidRPr="001E6F2A" w:rsidRDefault="00CA4633" w:rsidP="00205560">
            <w:pPr>
              <w:pStyle w:val="TableTextRight"/>
            </w:pPr>
            <w:r w:rsidRPr="001E6F2A">
              <w:t>9.4</w:t>
            </w:r>
          </w:p>
        </w:tc>
      </w:tr>
      <w:tr w:rsidR="00CA4633" w:rsidRPr="001E6F2A" w14:paraId="1061486A" w14:textId="77777777">
        <w:trPr>
          <w:trHeight w:hRule="exact" w:val="230"/>
        </w:trPr>
        <w:tc>
          <w:tcPr>
            <w:tcW w:w="1929" w:type="pct"/>
            <w:tcBorders>
              <w:top w:val="nil"/>
              <w:left w:val="nil"/>
              <w:bottom w:val="nil"/>
              <w:right w:val="nil"/>
            </w:tcBorders>
            <w:shd w:val="clear" w:color="000000" w:fill="FFFFFF"/>
            <w:vAlign w:val="center"/>
            <w:hideMark/>
          </w:tcPr>
          <w:p w14:paraId="559FC653" w14:textId="77777777" w:rsidR="00CA4633" w:rsidRPr="001E6F2A" w:rsidRDefault="00CA4633" w:rsidP="00205560">
            <w:pPr>
              <w:pStyle w:val="TableTextLeft"/>
            </w:pPr>
            <w:r w:rsidRPr="001E6F2A">
              <w:t>Debt securities </w:t>
            </w:r>
          </w:p>
        </w:tc>
        <w:tc>
          <w:tcPr>
            <w:tcW w:w="756" w:type="pct"/>
            <w:tcBorders>
              <w:top w:val="nil"/>
              <w:left w:val="nil"/>
              <w:bottom w:val="nil"/>
              <w:right w:val="nil"/>
            </w:tcBorders>
            <w:shd w:val="clear" w:color="000000" w:fill="FFFFFF"/>
            <w:vAlign w:val="center"/>
            <w:hideMark/>
          </w:tcPr>
          <w:p w14:paraId="6D8843AD" w14:textId="3A050121" w:rsidR="00CA4633" w:rsidRPr="00D63B96" w:rsidRDefault="00CA4633" w:rsidP="00205560">
            <w:pPr>
              <w:pStyle w:val="TableTextRight"/>
            </w:pPr>
            <w:r w:rsidRPr="00D63B96">
              <w:t>24,675</w:t>
            </w:r>
          </w:p>
        </w:tc>
        <w:tc>
          <w:tcPr>
            <w:tcW w:w="772" w:type="pct"/>
            <w:tcBorders>
              <w:top w:val="nil"/>
              <w:left w:val="nil"/>
              <w:bottom w:val="nil"/>
              <w:right w:val="nil"/>
            </w:tcBorders>
            <w:shd w:val="clear" w:color="000000" w:fill="FFFFFF"/>
            <w:vAlign w:val="center"/>
            <w:hideMark/>
          </w:tcPr>
          <w:p w14:paraId="1F9948C6" w14:textId="15392A21" w:rsidR="00CA4633" w:rsidRPr="00D63B96" w:rsidRDefault="00CA4633" w:rsidP="00205560">
            <w:pPr>
              <w:pStyle w:val="TableTextRight"/>
            </w:pPr>
            <w:r w:rsidRPr="00D63B96">
              <w:t>11.0</w:t>
            </w:r>
          </w:p>
        </w:tc>
        <w:tc>
          <w:tcPr>
            <w:tcW w:w="772" w:type="pct"/>
            <w:tcBorders>
              <w:top w:val="nil"/>
              <w:left w:val="nil"/>
              <w:bottom w:val="nil"/>
              <w:right w:val="nil"/>
            </w:tcBorders>
            <w:shd w:val="clear" w:color="000000" w:fill="FFFFFF"/>
            <w:vAlign w:val="center"/>
            <w:hideMark/>
          </w:tcPr>
          <w:p w14:paraId="56899065" w14:textId="77777777" w:rsidR="00CA4633" w:rsidRPr="001E6F2A" w:rsidRDefault="00CA4633" w:rsidP="00205560">
            <w:pPr>
              <w:pStyle w:val="TableTextRight"/>
            </w:pPr>
            <w:r w:rsidRPr="001E6F2A">
              <w:t>16,706</w:t>
            </w:r>
          </w:p>
        </w:tc>
        <w:tc>
          <w:tcPr>
            <w:tcW w:w="771" w:type="pct"/>
            <w:tcBorders>
              <w:top w:val="nil"/>
              <w:left w:val="nil"/>
              <w:bottom w:val="nil"/>
              <w:right w:val="nil"/>
            </w:tcBorders>
            <w:shd w:val="clear" w:color="000000" w:fill="FFFFFF"/>
            <w:vAlign w:val="center"/>
            <w:hideMark/>
          </w:tcPr>
          <w:p w14:paraId="767562EE" w14:textId="77777777" w:rsidR="00CA4633" w:rsidRPr="001E6F2A" w:rsidRDefault="00CA4633" w:rsidP="00205560">
            <w:pPr>
              <w:pStyle w:val="TableTextRight"/>
            </w:pPr>
            <w:r w:rsidRPr="001E6F2A">
              <w:t>8.2</w:t>
            </w:r>
          </w:p>
        </w:tc>
      </w:tr>
      <w:tr w:rsidR="00CA4633" w:rsidRPr="001E6F2A" w14:paraId="43E2A77A" w14:textId="77777777">
        <w:trPr>
          <w:trHeight w:hRule="exact" w:val="230"/>
        </w:trPr>
        <w:tc>
          <w:tcPr>
            <w:tcW w:w="1929" w:type="pct"/>
            <w:tcBorders>
              <w:top w:val="nil"/>
              <w:left w:val="nil"/>
              <w:bottom w:val="nil"/>
              <w:right w:val="nil"/>
            </w:tcBorders>
            <w:shd w:val="clear" w:color="000000" w:fill="FFFFFF"/>
            <w:vAlign w:val="center"/>
            <w:hideMark/>
          </w:tcPr>
          <w:p w14:paraId="7F23B909" w14:textId="77777777" w:rsidR="00CA4633" w:rsidRPr="001E6F2A" w:rsidRDefault="00CA4633" w:rsidP="00205560">
            <w:pPr>
              <w:pStyle w:val="TableTextLeft"/>
            </w:pPr>
            <w:r w:rsidRPr="001E6F2A">
              <w:t>Alternative assets </w:t>
            </w:r>
          </w:p>
        </w:tc>
        <w:tc>
          <w:tcPr>
            <w:tcW w:w="756" w:type="pct"/>
            <w:tcBorders>
              <w:top w:val="nil"/>
              <w:left w:val="nil"/>
              <w:bottom w:val="nil"/>
              <w:right w:val="nil"/>
            </w:tcBorders>
            <w:shd w:val="clear" w:color="000000" w:fill="FFFFFF"/>
            <w:vAlign w:val="center"/>
            <w:hideMark/>
          </w:tcPr>
          <w:p w14:paraId="187E86C2" w14:textId="426557DA" w:rsidR="00CA4633" w:rsidRPr="00D63B96" w:rsidRDefault="00CA4633" w:rsidP="00205560">
            <w:pPr>
              <w:pStyle w:val="TableTextRight"/>
            </w:pPr>
            <w:r w:rsidRPr="00D63B96">
              <w:t>32,799</w:t>
            </w:r>
          </w:p>
        </w:tc>
        <w:tc>
          <w:tcPr>
            <w:tcW w:w="772" w:type="pct"/>
            <w:tcBorders>
              <w:top w:val="nil"/>
              <w:left w:val="nil"/>
              <w:bottom w:val="nil"/>
              <w:right w:val="nil"/>
            </w:tcBorders>
            <w:shd w:val="clear" w:color="000000" w:fill="FFFFFF"/>
            <w:vAlign w:val="center"/>
            <w:hideMark/>
          </w:tcPr>
          <w:p w14:paraId="490476F3" w14:textId="17BA4F9A" w:rsidR="00CA4633" w:rsidRPr="00D63B96" w:rsidRDefault="00CA4633" w:rsidP="00205560">
            <w:pPr>
              <w:pStyle w:val="TableTextRight"/>
            </w:pPr>
            <w:r w:rsidRPr="00D63B96">
              <w:t>14.7</w:t>
            </w:r>
          </w:p>
        </w:tc>
        <w:tc>
          <w:tcPr>
            <w:tcW w:w="772" w:type="pct"/>
            <w:tcBorders>
              <w:top w:val="nil"/>
              <w:left w:val="nil"/>
              <w:bottom w:val="nil"/>
              <w:right w:val="nil"/>
            </w:tcBorders>
            <w:shd w:val="clear" w:color="000000" w:fill="FFFFFF"/>
            <w:vAlign w:val="center"/>
            <w:hideMark/>
          </w:tcPr>
          <w:p w14:paraId="4B542424" w14:textId="77777777" w:rsidR="00CA4633" w:rsidRPr="001E6F2A" w:rsidRDefault="00CA4633" w:rsidP="00205560">
            <w:pPr>
              <w:pStyle w:val="TableTextRight"/>
            </w:pPr>
            <w:r w:rsidRPr="001E6F2A">
              <w:t>34,616</w:t>
            </w:r>
          </w:p>
        </w:tc>
        <w:tc>
          <w:tcPr>
            <w:tcW w:w="771" w:type="pct"/>
            <w:tcBorders>
              <w:top w:val="nil"/>
              <w:left w:val="nil"/>
              <w:bottom w:val="nil"/>
              <w:right w:val="nil"/>
            </w:tcBorders>
            <w:shd w:val="clear" w:color="000000" w:fill="FFFFFF"/>
            <w:vAlign w:val="center"/>
            <w:hideMark/>
          </w:tcPr>
          <w:p w14:paraId="75FB4713" w14:textId="77777777" w:rsidR="00CA4633" w:rsidRPr="001E6F2A" w:rsidRDefault="00CA4633" w:rsidP="00205560">
            <w:pPr>
              <w:pStyle w:val="TableTextRight"/>
            </w:pPr>
            <w:r w:rsidRPr="001E6F2A">
              <w:t>17.1</w:t>
            </w:r>
          </w:p>
        </w:tc>
      </w:tr>
      <w:tr w:rsidR="00CA4633" w:rsidRPr="001E6F2A" w14:paraId="5AF7C5E8" w14:textId="77777777">
        <w:trPr>
          <w:trHeight w:hRule="exact" w:val="230"/>
        </w:trPr>
        <w:tc>
          <w:tcPr>
            <w:tcW w:w="1929" w:type="pct"/>
            <w:tcBorders>
              <w:top w:val="nil"/>
              <w:left w:val="nil"/>
              <w:bottom w:val="nil"/>
              <w:right w:val="nil"/>
            </w:tcBorders>
            <w:shd w:val="clear" w:color="000000" w:fill="FFFFFF"/>
            <w:vAlign w:val="center"/>
            <w:hideMark/>
          </w:tcPr>
          <w:p w14:paraId="693FCBA9" w14:textId="77777777" w:rsidR="00CA4633" w:rsidRPr="001E6F2A" w:rsidRDefault="00CA4633" w:rsidP="00205560">
            <w:pPr>
              <w:pStyle w:val="TableTextLeft"/>
            </w:pPr>
            <w:r w:rsidRPr="001E6F2A">
              <w:t>Cash </w:t>
            </w:r>
          </w:p>
        </w:tc>
        <w:tc>
          <w:tcPr>
            <w:tcW w:w="756" w:type="pct"/>
            <w:tcBorders>
              <w:top w:val="nil"/>
              <w:left w:val="nil"/>
              <w:bottom w:val="nil"/>
              <w:right w:val="nil"/>
            </w:tcBorders>
            <w:shd w:val="clear" w:color="000000" w:fill="FFFFFF"/>
            <w:vAlign w:val="center"/>
            <w:hideMark/>
          </w:tcPr>
          <w:p w14:paraId="4F74F227" w14:textId="646C9C79" w:rsidR="00CA4633" w:rsidRPr="00D63B96" w:rsidRDefault="00CA4633" w:rsidP="00205560">
            <w:pPr>
              <w:pStyle w:val="TableTextRight"/>
            </w:pPr>
            <w:r w:rsidRPr="00D63B96">
              <w:t>15,272</w:t>
            </w:r>
          </w:p>
        </w:tc>
        <w:tc>
          <w:tcPr>
            <w:tcW w:w="772" w:type="pct"/>
            <w:tcBorders>
              <w:top w:val="nil"/>
              <w:left w:val="nil"/>
              <w:bottom w:val="nil"/>
              <w:right w:val="nil"/>
            </w:tcBorders>
            <w:shd w:val="clear" w:color="000000" w:fill="FFFFFF"/>
            <w:vAlign w:val="center"/>
            <w:hideMark/>
          </w:tcPr>
          <w:p w14:paraId="547AA140" w14:textId="0084D0B6" w:rsidR="00CA4633" w:rsidRPr="00D63B96" w:rsidRDefault="00CA4633" w:rsidP="00205560">
            <w:pPr>
              <w:pStyle w:val="TableTextRight"/>
            </w:pPr>
            <w:r w:rsidRPr="00D63B96">
              <w:t>6.8</w:t>
            </w:r>
          </w:p>
        </w:tc>
        <w:tc>
          <w:tcPr>
            <w:tcW w:w="772" w:type="pct"/>
            <w:tcBorders>
              <w:top w:val="nil"/>
              <w:left w:val="nil"/>
              <w:bottom w:val="nil"/>
              <w:right w:val="nil"/>
            </w:tcBorders>
            <w:shd w:val="clear" w:color="000000" w:fill="FFFFFF"/>
            <w:vAlign w:val="center"/>
            <w:hideMark/>
          </w:tcPr>
          <w:p w14:paraId="7F890158" w14:textId="77777777" w:rsidR="00CA4633" w:rsidRPr="001E6F2A" w:rsidRDefault="00CA4633" w:rsidP="00205560">
            <w:pPr>
              <w:pStyle w:val="TableTextRight"/>
            </w:pPr>
            <w:r w:rsidRPr="001E6F2A">
              <w:t>21,488</w:t>
            </w:r>
          </w:p>
        </w:tc>
        <w:tc>
          <w:tcPr>
            <w:tcW w:w="771" w:type="pct"/>
            <w:tcBorders>
              <w:top w:val="nil"/>
              <w:left w:val="nil"/>
              <w:bottom w:val="nil"/>
              <w:right w:val="nil"/>
            </w:tcBorders>
            <w:shd w:val="clear" w:color="000000" w:fill="FFFFFF"/>
            <w:vAlign w:val="center"/>
            <w:hideMark/>
          </w:tcPr>
          <w:p w14:paraId="460578CA" w14:textId="77777777" w:rsidR="00CA4633" w:rsidRPr="001E6F2A" w:rsidRDefault="00CA4633" w:rsidP="00205560">
            <w:pPr>
              <w:pStyle w:val="TableTextRight"/>
            </w:pPr>
            <w:r w:rsidRPr="001E6F2A">
              <w:t>10.6</w:t>
            </w:r>
          </w:p>
        </w:tc>
      </w:tr>
      <w:tr w:rsidR="00E67C97" w:rsidRPr="001E6F2A" w14:paraId="2EAEAB5D" w14:textId="77777777">
        <w:trPr>
          <w:trHeight w:hRule="exact" w:val="230"/>
        </w:trPr>
        <w:tc>
          <w:tcPr>
            <w:tcW w:w="1929" w:type="pct"/>
            <w:tcBorders>
              <w:top w:val="single" w:sz="4" w:space="0" w:color="293F5B"/>
              <w:left w:val="nil"/>
              <w:bottom w:val="single" w:sz="4" w:space="0" w:color="293F5B"/>
              <w:right w:val="nil"/>
            </w:tcBorders>
            <w:shd w:val="clear" w:color="000000" w:fill="FFFFFF"/>
            <w:vAlign w:val="center"/>
            <w:hideMark/>
          </w:tcPr>
          <w:p w14:paraId="6E703E07" w14:textId="77777777" w:rsidR="00E67C97" w:rsidRPr="001E6F2A" w:rsidRDefault="00E67C97">
            <w:pPr>
              <w:spacing w:before="0" w:after="0" w:line="240" w:lineRule="auto"/>
              <w:rPr>
                <w:rFonts w:ascii="Arial" w:hAnsi="Arial" w:cs="Arial"/>
                <w:b/>
                <w:bCs/>
                <w:sz w:val="16"/>
                <w:szCs w:val="16"/>
              </w:rPr>
            </w:pPr>
            <w:r w:rsidRPr="001E6F2A">
              <w:rPr>
                <w:rFonts w:ascii="Arial" w:hAnsi="Arial" w:cs="Arial"/>
                <w:b/>
                <w:bCs/>
                <w:sz w:val="16"/>
                <w:szCs w:val="16"/>
              </w:rPr>
              <w:t>Total Future Fund assets </w:t>
            </w:r>
          </w:p>
        </w:tc>
        <w:tc>
          <w:tcPr>
            <w:tcW w:w="756" w:type="pct"/>
            <w:tcBorders>
              <w:top w:val="single" w:sz="4" w:space="0" w:color="293F5B"/>
              <w:left w:val="nil"/>
              <w:bottom w:val="single" w:sz="4" w:space="0" w:color="293F5B"/>
              <w:right w:val="nil"/>
            </w:tcBorders>
            <w:shd w:val="clear" w:color="000000" w:fill="FFFFFF"/>
            <w:vAlign w:val="center"/>
            <w:hideMark/>
          </w:tcPr>
          <w:p w14:paraId="63089032" w14:textId="0F8F09EC" w:rsidR="00E67C97" w:rsidRPr="00D63B96" w:rsidRDefault="00AD6C4B" w:rsidP="00205560">
            <w:pPr>
              <w:pStyle w:val="TableTextRight"/>
              <w:rPr>
                <w:b/>
              </w:rPr>
            </w:pPr>
            <w:r w:rsidRPr="00D63B96">
              <w:rPr>
                <w:b/>
              </w:rPr>
              <w:t>223,350</w:t>
            </w:r>
          </w:p>
        </w:tc>
        <w:tc>
          <w:tcPr>
            <w:tcW w:w="772" w:type="pct"/>
            <w:tcBorders>
              <w:top w:val="single" w:sz="4" w:space="0" w:color="293F5B"/>
              <w:left w:val="nil"/>
              <w:bottom w:val="single" w:sz="4" w:space="0" w:color="293F5B"/>
              <w:right w:val="nil"/>
            </w:tcBorders>
            <w:shd w:val="clear" w:color="000000" w:fill="FFFFFF"/>
            <w:vAlign w:val="center"/>
            <w:hideMark/>
          </w:tcPr>
          <w:p w14:paraId="5A90BF87" w14:textId="77777777" w:rsidR="00E67C97" w:rsidRPr="00D63B96" w:rsidRDefault="00E67C97" w:rsidP="00205560">
            <w:pPr>
              <w:pStyle w:val="TableTextRight"/>
              <w:rPr>
                <w:b/>
              </w:rPr>
            </w:pPr>
            <w:r w:rsidRPr="00D63B96">
              <w:rPr>
                <w:b/>
              </w:rPr>
              <w:t>100</w:t>
            </w:r>
          </w:p>
        </w:tc>
        <w:tc>
          <w:tcPr>
            <w:tcW w:w="772" w:type="pct"/>
            <w:tcBorders>
              <w:top w:val="single" w:sz="4" w:space="0" w:color="293F5B"/>
              <w:left w:val="nil"/>
              <w:bottom w:val="single" w:sz="4" w:space="0" w:color="293F5B"/>
              <w:right w:val="nil"/>
            </w:tcBorders>
            <w:shd w:val="clear" w:color="000000" w:fill="FFFFFF"/>
            <w:vAlign w:val="center"/>
            <w:hideMark/>
          </w:tcPr>
          <w:p w14:paraId="7E10976C" w14:textId="77777777" w:rsidR="00E67C97" w:rsidRPr="001E6F2A" w:rsidRDefault="00E67C97" w:rsidP="00205560">
            <w:pPr>
              <w:pStyle w:val="TableTextRight"/>
              <w:rPr>
                <w:b/>
                <w:bCs/>
              </w:rPr>
            </w:pPr>
            <w:r w:rsidRPr="001E6F2A">
              <w:rPr>
                <w:b/>
                <w:bCs/>
              </w:rPr>
              <w:t>202,818</w:t>
            </w:r>
          </w:p>
        </w:tc>
        <w:tc>
          <w:tcPr>
            <w:tcW w:w="771" w:type="pct"/>
            <w:tcBorders>
              <w:top w:val="single" w:sz="4" w:space="0" w:color="293F5B"/>
              <w:left w:val="nil"/>
              <w:bottom w:val="single" w:sz="4" w:space="0" w:color="293F5B"/>
              <w:right w:val="nil"/>
            </w:tcBorders>
            <w:shd w:val="clear" w:color="000000" w:fill="FFFFFF"/>
            <w:vAlign w:val="center"/>
            <w:hideMark/>
          </w:tcPr>
          <w:p w14:paraId="5D8E1453" w14:textId="77777777" w:rsidR="00E67C97" w:rsidRPr="001E6F2A" w:rsidRDefault="00E67C97" w:rsidP="00205560">
            <w:pPr>
              <w:pStyle w:val="TableTextRight"/>
              <w:rPr>
                <w:b/>
                <w:bCs/>
              </w:rPr>
            </w:pPr>
            <w:r w:rsidRPr="001E6F2A">
              <w:rPr>
                <w:b/>
                <w:bCs/>
              </w:rPr>
              <w:t>100</w:t>
            </w:r>
          </w:p>
        </w:tc>
      </w:tr>
    </w:tbl>
    <w:p w14:paraId="7DF0E83F" w14:textId="77777777" w:rsidR="00E67C97" w:rsidRPr="001E6F2A" w:rsidRDefault="00E67C97" w:rsidP="00E67C97">
      <w:pPr>
        <w:pStyle w:val="ChartandTableFootnote"/>
        <w:rPr>
          <w:color w:val="auto"/>
        </w:rPr>
      </w:pPr>
      <w:r w:rsidRPr="001E6F2A">
        <w:rPr>
          <w:color w:val="auto"/>
        </w:rPr>
        <w:t xml:space="preserve">Note: </w:t>
      </w:r>
      <w:r w:rsidRPr="001E6F2A">
        <w:rPr>
          <w:color w:val="auto"/>
        </w:rPr>
        <w:tab/>
        <w:t>Figures may not sum due to rounding.</w:t>
      </w:r>
    </w:p>
    <w:p w14:paraId="1E0AB472" w14:textId="77777777" w:rsidR="00E67C97" w:rsidRPr="001E6F2A" w:rsidRDefault="00E67C97" w:rsidP="00B40B09">
      <w:pPr>
        <w:pStyle w:val="ChartLine"/>
      </w:pPr>
    </w:p>
    <w:p w14:paraId="1BB9411F" w14:textId="77777777" w:rsidR="00E67C97" w:rsidRPr="001E6F2A" w:rsidRDefault="00E67C97" w:rsidP="00E67C97">
      <w:pPr>
        <w:pStyle w:val="Heading6"/>
      </w:pPr>
      <w:r w:rsidRPr="001E6F2A">
        <w:t>DisabilityCare Australia Fund</w:t>
      </w:r>
    </w:p>
    <w:p w14:paraId="2D041595" w14:textId="7FCB505C" w:rsidR="00E67C97" w:rsidRPr="001E6F2A" w:rsidRDefault="00E67C97" w:rsidP="00E67C97">
      <w:r w:rsidRPr="001E6F2A">
        <w:t xml:space="preserve">The </w:t>
      </w:r>
      <w:r w:rsidR="00985CF2" w:rsidRPr="00985CF2">
        <w:t xml:space="preserve">DisabilityCare Australia Fund (DCAF) </w:t>
      </w:r>
      <w:r w:rsidRPr="001E6F2A">
        <w:t>was established on 1 July 2014 to assist the Commonwealth and the state and territory governments with spending directly related to the National Disability Insurance Scheme.</w:t>
      </w:r>
    </w:p>
    <w:p w14:paraId="41430F1E" w14:textId="54DFDEB7" w:rsidR="00CE6A66" w:rsidRPr="00CE6A66" w:rsidRDefault="00CE6A66" w:rsidP="00CE6A66">
      <w:pPr>
        <w:keepLines/>
      </w:pPr>
      <w:r w:rsidRPr="00CE6A66">
        <w:t>The DCAF is funded by revenue raised from the 0.5 per cent increase in the Medicare levy to 2.0 per cent</w:t>
      </w:r>
      <w:r w:rsidR="00864EC7" w:rsidRPr="00864EC7">
        <w:t>, set in 2014</w:t>
      </w:r>
      <w:r w:rsidR="005948F5">
        <w:t>–</w:t>
      </w:r>
      <w:r w:rsidR="00864EC7" w:rsidRPr="00864EC7">
        <w:t>15</w:t>
      </w:r>
      <w:r w:rsidRPr="00CE6A66">
        <w:t xml:space="preserve">. As at 31 March 2024, the DCAF had received credits totalling $39.0 billion. Since inception to 31 March 2024, $24.4 billion has been paid from the DCAF. </w:t>
      </w:r>
    </w:p>
    <w:p w14:paraId="3645D2CD" w14:textId="076FA79A" w:rsidR="00E67C97" w:rsidRPr="001E6F2A" w:rsidRDefault="00E67C97" w:rsidP="00E67C97">
      <w:pPr>
        <w:keepLines/>
      </w:pPr>
      <w:r w:rsidRPr="001E6F2A">
        <w:t xml:space="preserve">The investments of the DCAF are managed by the Future Fund Board. The Investment Mandate for the DCAF provides guidance to the </w:t>
      </w:r>
      <w:r w:rsidR="00604ECF" w:rsidRPr="001E6F2A">
        <w:t xml:space="preserve">Future Fund </w:t>
      </w:r>
      <w:r w:rsidRPr="001E6F2A">
        <w:t>Board in relation to its investment strategy for the DCAF. The DCAF Investment Mandate sets a benchmark return of the Australian 3</w:t>
      </w:r>
      <w:r w:rsidR="00390046">
        <w:noBreakHyphen/>
      </w:r>
      <w:r w:rsidRPr="001E6F2A">
        <w:t>month bank bill swap rate plus 0.3 per cent per annum calculated on a rolling 12</w:t>
      </w:r>
      <w:r w:rsidR="00390046">
        <w:noBreakHyphen/>
      </w:r>
      <w:r w:rsidRPr="001E6F2A">
        <w:t>month basis (net of fees). In achieving its objectives, the Board must invest in such a way as to minimise the probability of capital losses over a 12</w:t>
      </w:r>
      <w:r w:rsidR="00390046">
        <w:noBreakHyphen/>
      </w:r>
      <w:r w:rsidRPr="001E6F2A">
        <w:t>month horizon.</w:t>
      </w:r>
    </w:p>
    <w:p w14:paraId="2E9C7CB0" w14:textId="22A4618A" w:rsidR="00CF2A6F" w:rsidRPr="00894B2C" w:rsidRDefault="00CF2A6F" w:rsidP="00CF2A6F">
      <w:r w:rsidRPr="00894B2C">
        <w:lastRenderedPageBreak/>
        <w:t>For the 12</w:t>
      </w:r>
      <w:r w:rsidR="00390046">
        <w:noBreakHyphen/>
      </w:r>
      <w:r w:rsidRPr="00894B2C">
        <w:t>month period ending 31 March 2024, the DCAF return was 5.1</w:t>
      </w:r>
      <w:r w:rsidRPr="00894B2C">
        <w:rPr>
          <w:rFonts w:hint="eastAsia"/>
        </w:rPr>
        <w:t> </w:t>
      </w:r>
      <w:r w:rsidRPr="00894B2C">
        <w:t>per</w:t>
      </w:r>
      <w:r w:rsidRPr="00894B2C">
        <w:rPr>
          <w:rFonts w:hint="eastAsia"/>
        </w:rPr>
        <w:t> </w:t>
      </w:r>
      <w:r w:rsidRPr="00894B2C">
        <w:t>cent against the benchmark return of 4.5</w:t>
      </w:r>
      <w:r w:rsidRPr="00894B2C">
        <w:rPr>
          <w:rFonts w:hint="eastAsia"/>
        </w:rPr>
        <w:t> </w:t>
      </w:r>
      <w:r w:rsidRPr="00894B2C">
        <w:t>per</w:t>
      </w:r>
      <w:r w:rsidRPr="00894B2C">
        <w:rPr>
          <w:rFonts w:hint="eastAsia"/>
        </w:rPr>
        <w:t> </w:t>
      </w:r>
      <w:r w:rsidRPr="00894B2C">
        <w:t>cent. The DCAF was valued at $16.8</w:t>
      </w:r>
      <w:r w:rsidRPr="00894B2C">
        <w:rPr>
          <w:rFonts w:hint="eastAsia"/>
        </w:rPr>
        <w:t> </w:t>
      </w:r>
      <w:r w:rsidRPr="00894B2C">
        <w:t>billion as at 31 March 2024.</w:t>
      </w:r>
    </w:p>
    <w:p w14:paraId="479484D2" w14:textId="77777777" w:rsidR="00E67C97" w:rsidRPr="001E6F2A" w:rsidRDefault="00E67C97" w:rsidP="00E67C97">
      <w:pPr>
        <w:pStyle w:val="Heading6"/>
      </w:pPr>
      <w:r w:rsidRPr="001E6F2A">
        <w:t>Medical Research Future Fund</w:t>
      </w:r>
    </w:p>
    <w:p w14:paraId="27B85437" w14:textId="0BCF9EAD" w:rsidR="00E67C97" w:rsidRPr="001E6F2A" w:rsidRDefault="00E67C97" w:rsidP="00E67C97">
      <w:r w:rsidRPr="001E6F2A">
        <w:t xml:space="preserve">The </w:t>
      </w:r>
      <w:r w:rsidR="002057DF" w:rsidRPr="002057DF">
        <w:t xml:space="preserve">Medical Research Future Fund (MRFF) </w:t>
      </w:r>
      <w:r w:rsidRPr="001E6F2A">
        <w:t>was established on 26 August 2015 to provide additional funding for medical research and medical innovation.</w:t>
      </w:r>
    </w:p>
    <w:p w14:paraId="65839958" w14:textId="7CA4555D" w:rsidR="00E67C97" w:rsidRPr="001E6F2A" w:rsidRDefault="00E67C97" w:rsidP="00E67C97">
      <w:r w:rsidRPr="001E6F2A">
        <w:t xml:space="preserve">The investments of the MRFF are managed by the Future Fund Board. The Investment Mandate for the MRFF provides broad direction to the </w:t>
      </w:r>
      <w:r w:rsidR="00BA56A9" w:rsidRPr="001E6F2A">
        <w:t xml:space="preserve">Future Fund </w:t>
      </w:r>
      <w:r w:rsidRPr="001E6F2A">
        <w:t xml:space="preserve">Board in relation to its investment strategy. The MRFF Investment Mandate sets a benchmark return of the Reserve Bank of </w:t>
      </w:r>
      <w:r w:rsidR="00B975C9" w:rsidRPr="001E6F2A">
        <w:t>Australia</w:t>
      </w:r>
      <w:r w:rsidR="00390046">
        <w:t>’</w:t>
      </w:r>
      <w:r w:rsidR="00B975C9">
        <w:t>s</w:t>
      </w:r>
      <w:r w:rsidRPr="001E6F2A">
        <w:t xml:space="preserve"> Cash Rate target plus 1.5 to 2.0 per cent per annum, net of costs, over a rolling 10</w:t>
      </w:r>
      <w:r w:rsidR="00390046">
        <w:noBreakHyphen/>
      </w:r>
      <w:r w:rsidRPr="001E6F2A">
        <w:t>year term.</w:t>
      </w:r>
    </w:p>
    <w:p w14:paraId="4AE92D41" w14:textId="22EF96CB" w:rsidR="00011DD8" w:rsidRPr="00316AC9" w:rsidRDefault="00011DD8" w:rsidP="00011DD8">
      <w:pPr>
        <w:keepNext/>
        <w:keepLines/>
      </w:pPr>
      <w:r w:rsidRPr="00316AC9">
        <w:t>Since inception to 31 March 2024, MRFF investments have returned 4.5</w:t>
      </w:r>
      <w:r w:rsidRPr="00316AC9">
        <w:rPr>
          <w:rFonts w:hint="eastAsia"/>
        </w:rPr>
        <w:t> </w:t>
      </w:r>
      <w:r w:rsidRPr="00316AC9">
        <w:t>per</w:t>
      </w:r>
      <w:r w:rsidRPr="00316AC9">
        <w:rPr>
          <w:rFonts w:hint="eastAsia"/>
        </w:rPr>
        <w:t> </w:t>
      </w:r>
      <w:r w:rsidRPr="00316AC9">
        <w:t>cent per annum against a benchmark return of 3.0</w:t>
      </w:r>
      <w:r w:rsidRPr="00316AC9">
        <w:rPr>
          <w:rFonts w:hint="eastAsia"/>
        </w:rPr>
        <w:t> </w:t>
      </w:r>
      <w:r w:rsidRPr="00316AC9">
        <w:t>per</w:t>
      </w:r>
      <w:r w:rsidRPr="00316AC9">
        <w:rPr>
          <w:rFonts w:hint="eastAsia"/>
        </w:rPr>
        <w:t> </w:t>
      </w:r>
      <w:r w:rsidRPr="00316AC9">
        <w:t>cent. For the 12</w:t>
      </w:r>
      <w:r w:rsidR="00F82F3C">
        <w:t>-</w:t>
      </w:r>
      <w:r w:rsidRPr="00316AC9">
        <w:t>month period ending 31 March 2024, the MRFF</w:t>
      </w:r>
      <w:r w:rsidR="00390046">
        <w:t>’</w:t>
      </w:r>
      <w:r w:rsidRPr="00316AC9">
        <w:t>s return was 8.4</w:t>
      </w:r>
      <w:r w:rsidRPr="00316AC9">
        <w:rPr>
          <w:rFonts w:hint="eastAsia"/>
        </w:rPr>
        <w:t> </w:t>
      </w:r>
      <w:r w:rsidRPr="00316AC9">
        <w:t>per</w:t>
      </w:r>
      <w:r w:rsidRPr="00316AC9">
        <w:rPr>
          <w:rFonts w:hint="eastAsia"/>
        </w:rPr>
        <w:t> </w:t>
      </w:r>
      <w:r w:rsidRPr="00316AC9">
        <w:t>cent against the benchmark return of 5.7</w:t>
      </w:r>
      <w:r w:rsidRPr="00316AC9">
        <w:rPr>
          <w:rFonts w:hint="eastAsia"/>
        </w:rPr>
        <w:t> </w:t>
      </w:r>
      <w:r w:rsidRPr="00316AC9">
        <w:t>per</w:t>
      </w:r>
      <w:r w:rsidRPr="00316AC9">
        <w:rPr>
          <w:rFonts w:hint="eastAsia"/>
        </w:rPr>
        <w:t> </w:t>
      </w:r>
      <w:r w:rsidRPr="00316AC9">
        <w:t>cent. The MRFF was valued at $23.0</w:t>
      </w:r>
      <w:r w:rsidRPr="00316AC9">
        <w:rPr>
          <w:rFonts w:hint="eastAsia"/>
        </w:rPr>
        <w:t> </w:t>
      </w:r>
      <w:r w:rsidRPr="00316AC9">
        <w:t>billion as at 31 March 2024.</w:t>
      </w:r>
    </w:p>
    <w:p w14:paraId="58CE485D" w14:textId="77777777" w:rsidR="00E67C97" w:rsidRPr="001E6F2A" w:rsidRDefault="00E67C97" w:rsidP="00E67C97">
      <w:pPr>
        <w:pStyle w:val="Heading6"/>
      </w:pPr>
      <w:r w:rsidRPr="001E6F2A">
        <w:t>Aboriginal and Torres Strait Islander Land and Sea Future Fund</w:t>
      </w:r>
    </w:p>
    <w:p w14:paraId="7CBB0002" w14:textId="22681CE3" w:rsidR="00E67C97" w:rsidRPr="001E6F2A" w:rsidRDefault="00E67C97" w:rsidP="00E67C97">
      <w:r w:rsidRPr="001E6F2A">
        <w:t xml:space="preserve">The </w:t>
      </w:r>
      <w:r w:rsidR="00144F1E" w:rsidRPr="00144F1E">
        <w:t>Aboriginal and Torres Strait Islander Land and Sea Future Fund (ATSILSFF)</w:t>
      </w:r>
      <w:r w:rsidR="00144F1E">
        <w:t xml:space="preserve"> </w:t>
      </w:r>
      <w:r w:rsidRPr="001E6F2A">
        <w:t>was established on 1 February 2019 to support payments to the Indigenous Land and Sea Corporation.</w:t>
      </w:r>
    </w:p>
    <w:p w14:paraId="59C0A33D" w14:textId="0F290417" w:rsidR="00920DFE" w:rsidRPr="00920DFE" w:rsidRDefault="00920DFE" w:rsidP="00920DFE">
      <w:r w:rsidRPr="00920DFE">
        <w:t>The ATSILSFF was seeded with the capital of the former Aboriginal and Torres Strait Islander Land Account (Land Account)</w:t>
      </w:r>
      <w:r w:rsidR="00377392">
        <w:t xml:space="preserve"> – </w:t>
      </w:r>
      <w:r w:rsidRPr="00920DFE">
        <w:t>approximately $2.0 billion. The Land Account was abolished on the establishment of the ATSILSFF.</w:t>
      </w:r>
    </w:p>
    <w:p w14:paraId="642ECEA7" w14:textId="65423FDD" w:rsidR="00E67C97" w:rsidRPr="001E6F2A" w:rsidRDefault="00E67C97" w:rsidP="00E67C97">
      <w:r w:rsidRPr="001E6F2A">
        <w:t xml:space="preserve">The investments of the ATSILSFF are managed by the Future Fund Board. The Investment Mandate for the ATSILSFF provides broad direction to the </w:t>
      </w:r>
      <w:r w:rsidR="00A33FE7" w:rsidRPr="001E6F2A">
        <w:t xml:space="preserve">Future Fund </w:t>
      </w:r>
      <w:r w:rsidRPr="001E6F2A">
        <w:t>Board in relation to its investment strategy. The ATSILSFF Investment Mandate sets a long</w:t>
      </w:r>
      <w:r w:rsidR="00390046">
        <w:noBreakHyphen/>
      </w:r>
      <w:r w:rsidRPr="001E6F2A">
        <w:t>term benchmark return of CPI plus 2.0 to 3.0 per cent per annum, net of costs.</w:t>
      </w:r>
    </w:p>
    <w:p w14:paraId="3E5F46C2" w14:textId="62D404ED" w:rsidR="00B65A3A" w:rsidRPr="00A573E4" w:rsidRDefault="00B65A3A" w:rsidP="00B65A3A">
      <w:r w:rsidRPr="00A573E4">
        <w:t>Since inception to 31 March 2024, ATSILSFF investments have returned</w:t>
      </w:r>
      <w:r w:rsidR="00514925">
        <w:t xml:space="preserve"> </w:t>
      </w:r>
      <w:r w:rsidRPr="00A573E4">
        <w:t>5.3</w:t>
      </w:r>
      <w:r w:rsidRPr="00A573E4">
        <w:rPr>
          <w:rFonts w:hint="eastAsia"/>
        </w:rPr>
        <w:t> </w:t>
      </w:r>
      <w:r w:rsidRPr="00A573E4">
        <w:t>per</w:t>
      </w:r>
      <w:r w:rsidRPr="00A573E4">
        <w:rPr>
          <w:rFonts w:hint="eastAsia"/>
        </w:rPr>
        <w:t> </w:t>
      </w:r>
      <w:r w:rsidRPr="00A573E4">
        <w:t>cent</w:t>
      </w:r>
      <w:r w:rsidR="00323F11">
        <w:t xml:space="preserve"> </w:t>
      </w:r>
      <w:r w:rsidRPr="00A573E4">
        <w:t>per annum against a benchmark return of 5.8</w:t>
      </w:r>
      <w:r w:rsidRPr="00A573E4">
        <w:rPr>
          <w:rFonts w:hint="eastAsia"/>
        </w:rPr>
        <w:t> </w:t>
      </w:r>
      <w:r w:rsidRPr="00A573E4">
        <w:t>per</w:t>
      </w:r>
      <w:r w:rsidRPr="00A573E4">
        <w:rPr>
          <w:rFonts w:hint="eastAsia"/>
        </w:rPr>
        <w:t> </w:t>
      </w:r>
      <w:r w:rsidRPr="00A573E4">
        <w:t>cent. For the 12</w:t>
      </w:r>
      <w:r w:rsidR="00390046">
        <w:noBreakHyphen/>
      </w:r>
      <w:r w:rsidRPr="00A573E4">
        <w:t>month period ending 31 March 2024, the ATSILSFF returned 9.4</w:t>
      </w:r>
      <w:r w:rsidRPr="00A573E4">
        <w:rPr>
          <w:rFonts w:hint="eastAsia"/>
        </w:rPr>
        <w:t> </w:t>
      </w:r>
      <w:r w:rsidRPr="00A573E4">
        <w:t>per</w:t>
      </w:r>
      <w:r w:rsidRPr="00A573E4">
        <w:rPr>
          <w:rFonts w:hint="eastAsia"/>
        </w:rPr>
        <w:t> </w:t>
      </w:r>
      <w:r w:rsidRPr="00A573E4">
        <w:t>cent against a benchmark return of 5.6</w:t>
      </w:r>
      <w:r w:rsidRPr="00A573E4">
        <w:rPr>
          <w:rFonts w:hint="eastAsia"/>
        </w:rPr>
        <w:t> </w:t>
      </w:r>
      <w:r w:rsidRPr="00A573E4">
        <w:t>per</w:t>
      </w:r>
      <w:r w:rsidRPr="00A573E4">
        <w:rPr>
          <w:rFonts w:hint="eastAsia"/>
        </w:rPr>
        <w:t> </w:t>
      </w:r>
      <w:r w:rsidRPr="00A573E4">
        <w:t>cent. The ATSILSFF was valued at $2.2</w:t>
      </w:r>
      <w:r w:rsidRPr="00A573E4">
        <w:rPr>
          <w:rFonts w:hint="eastAsia"/>
        </w:rPr>
        <w:t> </w:t>
      </w:r>
      <w:r w:rsidRPr="00A573E4">
        <w:t>billion as at 31 March 2024.</w:t>
      </w:r>
    </w:p>
    <w:p w14:paraId="05594CF5" w14:textId="77777777" w:rsidR="00E67C97" w:rsidRPr="001E6F2A" w:rsidRDefault="00E67C97" w:rsidP="00E67C97">
      <w:pPr>
        <w:pStyle w:val="Heading6"/>
      </w:pPr>
      <w:r w:rsidRPr="001E6F2A">
        <w:t>Future Drought Fund</w:t>
      </w:r>
    </w:p>
    <w:p w14:paraId="4DE9F4A5" w14:textId="338E8EBE" w:rsidR="00E67C97" w:rsidRPr="001E6F2A" w:rsidRDefault="00E67C97" w:rsidP="00E67C97">
      <w:r w:rsidRPr="001E6F2A">
        <w:t xml:space="preserve">The </w:t>
      </w:r>
      <w:r w:rsidR="00AE17C9" w:rsidRPr="00AE17C9">
        <w:t>Future Drought Fund (FDF)</w:t>
      </w:r>
      <w:r w:rsidR="00BC503D">
        <w:t xml:space="preserve"> </w:t>
      </w:r>
      <w:r w:rsidRPr="001E6F2A">
        <w:t>was established on 1 September 2019 to fund initiatives that enhance future drought resilience, preparedness and response across Australia.</w:t>
      </w:r>
    </w:p>
    <w:p w14:paraId="235B4D23" w14:textId="77777777" w:rsidR="00E67C97" w:rsidRPr="001E6F2A" w:rsidRDefault="00E67C97" w:rsidP="00E67C97">
      <w:r w:rsidRPr="001E6F2A">
        <w:t>The FDF provides disbursements of $100.0 million per annum, with the first disbursement made in July 2020.</w:t>
      </w:r>
    </w:p>
    <w:p w14:paraId="00AB0079" w14:textId="773719F8" w:rsidR="00E67C97" w:rsidRPr="001E6F2A" w:rsidRDefault="00E67C97" w:rsidP="00E67C97">
      <w:r w:rsidRPr="001E6F2A">
        <w:lastRenderedPageBreak/>
        <w:t xml:space="preserve">The investments of the FDF are managed by the Future Fund Board. The Investment Mandate for the FDF provides broad direction to the </w:t>
      </w:r>
      <w:r w:rsidR="009A1647" w:rsidRPr="001E6F2A">
        <w:t xml:space="preserve">Future Fund </w:t>
      </w:r>
      <w:r w:rsidRPr="001E6F2A">
        <w:t>Board in relation to its investment strategy. The FDF Investment Mandate sets a long</w:t>
      </w:r>
      <w:r w:rsidR="00390046">
        <w:noBreakHyphen/>
      </w:r>
      <w:r w:rsidRPr="001E6F2A">
        <w:t>term benchmark return of CPI plus 2.0 to 3.0 per cent per annum, net of costs.</w:t>
      </w:r>
    </w:p>
    <w:p w14:paraId="3764B481" w14:textId="5C64E271" w:rsidR="00016667" w:rsidRPr="00016667" w:rsidRDefault="00016667" w:rsidP="00016667">
      <w:r w:rsidRPr="00016667">
        <w:t>Since inception to 31 March 2024, FDF investments have returned 7.3</w:t>
      </w:r>
      <w:r w:rsidRPr="00016667">
        <w:rPr>
          <w:rFonts w:hint="eastAsia"/>
        </w:rPr>
        <w:t> </w:t>
      </w:r>
      <w:r w:rsidRPr="00016667">
        <w:t>per</w:t>
      </w:r>
      <w:r w:rsidRPr="00016667">
        <w:rPr>
          <w:rFonts w:hint="eastAsia"/>
        </w:rPr>
        <w:t> </w:t>
      </w:r>
      <w:r w:rsidRPr="00016667">
        <w:t>cent per annum against a benchmark return of 6.0</w:t>
      </w:r>
      <w:r w:rsidRPr="00016667">
        <w:rPr>
          <w:rFonts w:hint="eastAsia"/>
        </w:rPr>
        <w:t> </w:t>
      </w:r>
      <w:r w:rsidRPr="00016667">
        <w:t>per</w:t>
      </w:r>
      <w:r w:rsidRPr="00016667">
        <w:rPr>
          <w:rFonts w:hint="eastAsia"/>
        </w:rPr>
        <w:t> </w:t>
      </w:r>
      <w:r w:rsidRPr="00016667">
        <w:t>cent. For the 12</w:t>
      </w:r>
      <w:r w:rsidR="00390046">
        <w:noBreakHyphen/>
      </w:r>
      <w:r w:rsidRPr="00016667">
        <w:t>month period ending 31 March 2024, the FDF returned 9.5</w:t>
      </w:r>
      <w:r w:rsidRPr="00016667">
        <w:rPr>
          <w:rFonts w:hint="eastAsia"/>
        </w:rPr>
        <w:t> </w:t>
      </w:r>
      <w:r w:rsidRPr="00016667">
        <w:t>per</w:t>
      </w:r>
      <w:r w:rsidRPr="00016667">
        <w:rPr>
          <w:rFonts w:hint="eastAsia"/>
        </w:rPr>
        <w:t> </w:t>
      </w:r>
      <w:r w:rsidRPr="00016667">
        <w:t>cent against the benchmark return of 5.6</w:t>
      </w:r>
      <w:r w:rsidRPr="00016667">
        <w:rPr>
          <w:rFonts w:hint="eastAsia"/>
        </w:rPr>
        <w:t> </w:t>
      </w:r>
      <w:r w:rsidRPr="00016667">
        <w:t>per</w:t>
      </w:r>
      <w:r w:rsidRPr="00016667">
        <w:rPr>
          <w:rFonts w:hint="eastAsia"/>
        </w:rPr>
        <w:t> </w:t>
      </w:r>
      <w:r w:rsidRPr="00016667">
        <w:t>cent. The FDF was valued at $4.8 billion as at 31 March 2024.</w:t>
      </w:r>
    </w:p>
    <w:p w14:paraId="5056DC4C" w14:textId="77777777" w:rsidR="00E67C97" w:rsidRPr="001E6F2A" w:rsidRDefault="00E67C97" w:rsidP="00E67C97">
      <w:pPr>
        <w:pStyle w:val="Heading6"/>
      </w:pPr>
      <w:r w:rsidRPr="001E6F2A">
        <w:t>Disaster Ready Fund</w:t>
      </w:r>
    </w:p>
    <w:p w14:paraId="2F4E209C" w14:textId="7F06E530" w:rsidR="00E67C97" w:rsidRPr="001E6F2A" w:rsidRDefault="00E67C97" w:rsidP="00E67C97">
      <w:r w:rsidRPr="001E6F2A">
        <w:rPr>
          <w:rFonts w:asciiTheme="minorHAnsi" w:hAnsiTheme="minorHAnsi"/>
        </w:rPr>
        <w:t xml:space="preserve">The </w:t>
      </w:r>
      <w:r w:rsidR="000F0093" w:rsidRPr="000F0093">
        <w:rPr>
          <w:rFonts w:asciiTheme="minorHAnsi" w:hAnsiTheme="minorHAnsi"/>
        </w:rPr>
        <w:t xml:space="preserve">Disaster Ready Fund (DRF) </w:t>
      </w:r>
      <w:r w:rsidRPr="001E6F2A">
        <w:rPr>
          <w:rFonts w:asciiTheme="minorHAnsi" w:hAnsiTheme="minorHAnsi"/>
        </w:rPr>
        <w:t xml:space="preserve">was initially established as the Emergency Response Fund (ERF) on 12 December 2019 and provided up to $150 million per year for emergency response and recovery, and up to $50 million per year for natural disaster resilience and risk reduction. </w:t>
      </w:r>
    </w:p>
    <w:p w14:paraId="6345C1B5" w14:textId="77777777" w:rsidR="00E67C97" w:rsidRPr="001E6F2A" w:rsidRDefault="00E67C97" w:rsidP="00E67C97">
      <w:r w:rsidRPr="001E6F2A">
        <w:t xml:space="preserve">On 1 March 2023, legislative changes took effect that renamed the ERF as the DRF and allowed up to $200 million per annum to be drawn from the DRF to fund natural disaster resilience and risk reduction from 2023–24 onwards. </w:t>
      </w:r>
    </w:p>
    <w:p w14:paraId="06253013" w14:textId="334A8AE6" w:rsidR="00E67C97" w:rsidRPr="001E6F2A" w:rsidRDefault="00E67C97" w:rsidP="00E67C97">
      <w:r w:rsidRPr="001E6F2A">
        <w:t xml:space="preserve">The investments of the DRF are managed by the Future Fund Board. The Investment Mandate for the DRF provides broad direction to the </w:t>
      </w:r>
      <w:r w:rsidR="009E5B0D" w:rsidRPr="001E6F2A">
        <w:t xml:space="preserve">Future Fund </w:t>
      </w:r>
      <w:r w:rsidRPr="001E6F2A">
        <w:t>Board in relation to its investment strategy. The DRF Investment Mandate sets a long</w:t>
      </w:r>
      <w:r w:rsidR="00536620">
        <w:t>-</w:t>
      </w:r>
      <w:r w:rsidRPr="001E6F2A">
        <w:t>term benchmark return of CPI plus 2.0 to 3.0 per cent per annum, net of costs.</w:t>
      </w:r>
    </w:p>
    <w:p w14:paraId="0069A89C" w14:textId="2627E2CB" w:rsidR="00C74AC8" w:rsidRPr="00C74AC8" w:rsidRDefault="00C74AC8" w:rsidP="00C74AC8">
      <w:r w:rsidRPr="00C74AC8">
        <w:t>Since inception to 31 March 2024, DRF investments have returned 7.3</w:t>
      </w:r>
      <w:r w:rsidRPr="00C74AC8">
        <w:rPr>
          <w:rFonts w:hint="eastAsia"/>
        </w:rPr>
        <w:t> </w:t>
      </w:r>
      <w:r w:rsidRPr="00C74AC8">
        <w:t>per</w:t>
      </w:r>
      <w:r w:rsidRPr="00C74AC8">
        <w:rPr>
          <w:rFonts w:hint="eastAsia"/>
        </w:rPr>
        <w:t> </w:t>
      </w:r>
      <w:r w:rsidRPr="00C74AC8">
        <w:t>cent per annum against a benchmark return of 6.0</w:t>
      </w:r>
      <w:r w:rsidRPr="00C74AC8">
        <w:rPr>
          <w:rFonts w:hint="eastAsia"/>
        </w:rPr>
        <w:t> </w:t>
      </w:r>
      <w:r w:rsidRPr="00C74AC8">
        <w:t>per</w:t>
      </w:r>
      <w:r w:rsidRPr="00C74AC8">
        <w:rPr>
          <w:rFonts w:hint="eastAsia"/>
        </w:rPr>
        <w:t> </w:t>
      </w:r>
      <w:r w:rsidRPr="00C74AC8">
        <w:t>cent. For the 12</w:t>
      </w:r>
      <w:r w:rsidR="00390046">
        <w:noBreakHyphen/>
      </w:r>
      <w:r w:rsidRPr="00C74AC8">
        <w:t>month period ending 31 March 2024, the DRF returned 9.5</w:t>
      </w:r>
      <w:r w:rsidRPr="00C74AC8">
        <w:rPr>
          <w:rFonts w:hint="eastAsia"/>
        </w:rPr>
        <w:t> </w:t>
      </w:r>
      <w:r w:rsidRPr="00C74AC8">
        <w:t>per</w:t>
      </w:r>
      <w:r w:rsidRPr="00C74AC8">
        <w:rPr>
          <w:rFonts w:hint="eastAsia"/>
        </w:rPr>
        <w:t> </w:t>
      </w:r>
      <w:r w:rsidRPr="00C74AC8">
        <w:t>cent against the benchmark return of 5.6</w:t>
      </w:r>
      <w:r w:rsidRPr="00C74AC8">
        <w:rPr>
          <w:rFonts w:hint="eastAsia"/>
        </w:rPr>
        <w:t> </w:t>
      </w:r>
      <w:r w:rsidRPr="00C74AC8">
        <w:t>per</w:t>
      </w:r>
      <w:r w:rsidRPr="00C74AC8">
        <w:rPr>
          <w:rFonts w:hint="eastAsia"/>
        </w:rPr>
        <w:t> </w:t>
      </w:r>
      <w:r w:rsidRPr="00C74AC8">
        <w:t>cent. The DRF was valued at $4.6 billion as at 31 March 2024.</w:t>
      </w:r>
    </w:p>
    <w:p w14:paraId="538E250B" w14:textId="77777777" w:rsidR="00E67C97" w:rsidRPr="001E6F2A" w:rsidRDefault="00E67C97" w:rsidP="00E67C97">
      <w:pPr>
        <w:pStyle w:val="Heading6"/>
      </w:pPr>
      <w:r w:rsidRPr="001E6F2A">
        <w:t xml:space="preserve">Housing Australia Future Fund </w:t>
      </w:r>
    </w:p>
    <w:p w14:paraId="1597ABB6" w14:textId="084686F0" w:rsidR="00ED228F" w:rsidRPr="00ED228F" w:rsidRDefault="00ED228F" w:rsidP="00ED228F">
      <w:r w:rsidRPr="00ED228F">
        <w:t xml:space="preserve">The </w:t>
      </w:r>
      <w:r w:rsidR="00300101" w:rsidRPr="00300101">
        <w:t xml:space="preserve">Housing Australia Future Fund (HAFF) </w:t>
      </w:r>
      <w:r w:rsidRPr="00ED228F">
        <w:t xml:space="preserve">was established on 1 November 2023 and credited with $10.0 billion. The HAFF is an investment vehicle </w:t>
      </w:r>
      <w:r w:rsidR="00B90767" w:rsidRPr="00B90767">
        <w:t xml:space="preserve">dedicated </w:t>
      </w:r>
      <w:r w:rsidRPr="00ED228F">
        <w:t>to support</w:t>
      </w:r>
      <w:r w:rsidR="008B40C6" w:rsidRPr="008B40C6">
        <w:t>ing</w:t>
      </w:r>
      <w:r w:rsidRPr="00ED228F">
        <w:t xml:space="preserve"> and increas</w:t>
      </w:r>
      <w:r w:rsidR="008B40C6" w:rsidRPr="008B40C6">
        <w:t>ing</w:t>
      </w:r>
      <w:r w:rsidRPr="00ED228F">
        <w:t xml:space="preserve"> social and affordable housing, as well as </w:t>
      </w:r>
      <w:r w:rsidR="00FC599A" w:rsidRPr="00FC599A">
        <w:t xml:space="preserve">supporting </w:t>
      </w:r>
      <w:r w:rsidRPr="00ED228F">
        <w:t xml:space="preserve">other acute housing needs </w:t>
      </w:r>
      <w:r w:rsidR="009C60A2" w:rsidRPr="009C60A2">
        <w:t xml:space="preserve">such as </w:t>
      </w:r>
      <w:r w:rsidRPr="00ED228F">
        <w:t>Indigenous communities and housing services for women, children and veterans.</w:t>
      </w:r>
    </w:p>
    <w:p w14:paraId="3D50F240" w14:textId="6AB6F580" w:rsidR="00E67C97" w:rsidRPr="001E6F2A" w:rsidRDefault="00E67C97" w:rsidP="00E67C97">
      <w:r w:rsidRPr="001E6F2A">
        <w:t xml:space="preserve">The investments of the HAFF are managed by the Future Fund Board. The Investment Mandate for the HAFF provides broad direction to </w:t>
      </w:r>
      <w:r w:rsidRPr="00F723A8">
        <w:t xml:space="preserve">the </w:t>
      </w:r>
      <w:r w:rsidR="00F723A8" w:rsidRPr="00F723A8">
        <w:t xml:space="preserve">Future Fund </w:t>
      </w:r>
      <w:r w:rsidRPr="00F723A8">
        <w:t xml:space="preserve">Board </w:t>
      </w:r>
      <w:r w:rsidRPr="001E6F2A">
        <w:t>in relation to its investment strategy. The HAFF Investment Mandate sets a long</w:t>
      </w:r>
      <w:r w:rsidR="00390046">
        <w:noBreakHyphen/>
      </w:r>
      <w:r w:rsidRPr="001E6F2A">
        <w:t>term benchmark return of CPI plus 2.0</w:t>
      </w:r>
      <w:r w:rsidRPr="001E6F2A">
        <w:rPr>
          <w:rFonts w:hint="eastAsia"/>
        </w:rPr>
        <w:t> </w:t>
      </w:r>
      <w:r w:rsidRPr="001E6F2A">
        <w:t>to 3.0</w:t>
      </w:r>
      <w:r w:rsidRPr="001E6F2A">
        <w:rPr>
          <w:rFonts w:hint="eastAsia"/>
        </w:rPr>
        <w:t> </w:t>
      </w:r>
      <w:r w:rsidRPr="001E6F2A">
        <w:t>per</w:t>
      </w:r>
      <w:r w:rsidRPr="001E6F2A">
        <w:rPr>
          <w:rFonts w:hint="eastAsia"/>
        </w:rPr>
        <w:t> </w:t>
      </w:r>
      <w:r w:rsidRPr="001E6F2A">
        <w:t>cent</w:t>
      </w:r>
      <w:r w:rsidRPr="001E6F2A">
        <w:rPr>
          <w:rFonts w:hint="eastAsia"/>
        </w:rPr>
        <w:t> </w:t>
      </w:r>
      <w:r w:rsidRPr="001E6F2A">
        <w:t>per</w:t>
      </w:r>
      <w:r w:rsidRPr="001E6F2A">
        <w:rPr>
          <w:rFonts w:hint="eastAsia"/>
        </w:rPr>
        <w:t> </w:t>
      </w:r>
      <w:r w:rsidRPr="001E6F2A">
        <w:t>annum, net of costs.</w:t>
      </w:r>
    </w:p>
    <w:p w14:paraId="2862C051" w14:textId="77777777" w:rsidR="00F81C2D" w:rsidRPr="00F81C2D" w:rsidRDefault="00F81C2D" w:rsidP="00F81C2D">
      <w:r w:rsidRPr="00F81C2D">
        <w:t>Since inception to 31</w:t>
      </w:r>
      <w:r w:rsidRPr="00F81C2D">
        <w:rPr>
          <w:rFonts w:hint="eastAsia"/>
        </w:rPr>
        <w:t> </w:t>
      </w:r>
      <w:r w:rsidRPr="00F81C2D">
        <w:t>March</w:t>
      </w:r>
      <w:r w:rsidRPr="00F81C2D">
        <w:rPr>
          <w:rFonts w:hint="eastAsia"/>
        </w:rPr>
        <w:t> </w:t>
      </w:r>
      <w:r w:rsidRPr="00F81C2D">
        <w:t>2024, HAFF investments have returned 1.9</w:t>
      </w:r>
      <w:r w:rsidRPr="00F81C2D">
        <w:rPr>
          <w:rFonts w:hint="eastAsia"/>
        </w:rPr>
        <w:t> </w:t>
      </w:r>
      <w:r w:rsidRPr="00F81C2D">
        <w:t>per</w:t>
      </w:r>
      <w:r w:rsidRPr="00F81C2D">
        <w:rPr>
          <w:rFonts w:hint="eastAsia"/>
        </w:rPr>
        <w:t> </w:t>
      </w:r>
      <w:r w:rsidRPr="00F81C2D">
        <w:t>cent. The</w:t>
      </w:r>
      <w:r w:rsidRPr="00F81C2D">
        <w:rPr>
          <w:rFonts w:hint="eastAsia"/>
        </w:rPr>
        <w:t> </w:t>
      </w:r>
      <w:r w:rsidRPr="00F81C2D">
        <w:t>HAFF was valued at $10.3 billion as at 31</w:t>
      </w:r>
      <w:r w:rsidRPr="00F81C2D">
        <w:rPr>
          <w:rFonts w:hint="eastAsia"/>
        </w:rPr>
        <w:t> </w:t>
      </w:r>
      <w:r w:rsidRPr="00F81C2D">
        <w:t>March</w:t>
      </w:r>
      <w:r w:rsidRPr="00F81C2D">
        <w:rPr>
          <w:rFonts w:hint="eastAsia"/>
        </w:rPr>
        <w:t> </w:t>
      </w:r>
      <w:r w:rsidRPr="00F81C2D">
        <w:t>2024.</w:t>
      </w:r>
    </w:p>
    <w:p w14:paraId="7BE0DAFA" w14:textId="405B2486" w:rsidR="00E50CB8" w:rsidRPr="001E6F2A" w:rsidRDefault="00E50CB8" w:rsidP="00E50CB8">
      <w:pPr>
        <w:pStyle w:val="Heading4"/>
      </w:pPr>
      <w:r w:rsidRPr="001E6F2A">
        <w:lastRenderedPageBreak/>
        <w:t>Equity investments</w:t>
      </w:r>
    </w:p>
    <w:p w14:paraId="4D2AE0D1" w14:textId="7F9FE82F" w:rsidR="00615EEE" w:rsidRDefault="00615EEE" w:rsidP="00615EEE">
      <w:pPr>
        <w:spacing w:after="160"/>
      </w:pPr>
      <w:r w:rsidRPr="00EA2D4B">
        <w:t xml:space="preserve">Equity investments is comprised of </w:t>
      </w:r>
      <w:r w:rsidR="00124BB2">
        <w:t>three</w:t>
      </w:r>
      <w:r w:rsidRPr="00EA2D4B">
        <w:t xml:space="preserve"> components: </w:t>
      </w:r>
    </w:p>
    <w:p w14:paraId="0F1D307E" w14:textId="3F2C65A1" w:rsidR="007172C6" w:rsidRDefault="007172C6" w:rsidP="007172C6">
      <w:pPr>
        <w:numPr>
          <w:ilvl w:val="0"/>
          <w:numId w:val="3"/>
        </w:numPr>
        <w:spacing w:after="160"/>
        <w:ind w:left="284" w:hanging="284"/>
      </w:pPr>
      <w:r w:rsidRPr="00EA2D4B">
        <w:t xml:space="preserve">investments in those Government Business Enterprises </w:t>
      </w:r>
      <w:r w:rsidR="00080E54" w:rsidRPr="00080E54">
        <w:t xml:space="preserve">that </w:t>
      </w:r>
      <w:r w:rsidRPr="00EA2D4B">
        <w:t>are public non</w:t>
      </w:r>
      <w:r w:rsidR="00390046">
        <w:noBreakHyphen/>
      </w:r>
      <w:r w:rsidRPr="00EA2D4B">
        <w:t xml:space="preserve">financial corporations including NBN Co, Snowy Hydro Limited and the Australian Rail Track Corporation. </w:t>
      </w:r>
    </w:p>
    <w:p w14:paraId="4F7731E8" w14:textId="45520E39" w:rsidR="00411A22" w:rsidRPr="0084242D" w:rsidRDefault="00411A22" w:rsidP="00411A22">
      <w:pPr>
        <w:numPr>
          <w:ilvl w:val="0"/>
          <w:numId w:val="3"/>
        </w:numPr>
        <w:spacing w:after="160"/>
        <w:ind w:left="284" w:hanging="284"/>
      </w:pPr>
      <w:r w:rsidRPr="0084242D">
        <w:t xml:space="preserve">investments in other public sector entities outside the GGS, including certain components of specialist investment vehicles such as Export Finance Australia and Housing Australia, and investments held by </w:t>
      </w:r>
      <w:r w:rsidR="00D65AE2" w:rsidRPr="00D65AE2">
        <w:t>specialist investment vehicles</w:t>
      </w:r>
      <w:r w:rsidR="00D65AE2" w:rsidRPr="00D65AE2" w:rsidDel="00D65AE2">
        <w:t xml:space="preserve"> </w:t>
      </w:r>
      <w:r w:rsidRPr="0084242D">
        <w:t>inside the GGS, such as the Clean Energy Finance Corporation and the National Reconstruction Fund Corporation.</w:t>
      </w:r>
    </w:p>
    <w:p w14:paraId="3B786AB6" w14:textId="77777777" w:rsidR="0037067D" w:rsidRPr="00AD41F4" w:rsidRDefault="0037067D" w:rsidP="0037067D">
      <w:pPr>
        <w:numPr>
          <w:ilvl w:val="0"/>
          <w:numId w:val="3"/>
        </w:numPr>
        <w:spacing w:after="160"/>
        <w:ind w:left="284" w:hanging="284"/>
      </w:pPr>
      <w:r>
        <w:t xml:space="preserve">investments held in relation to the Australian Government Investment Funds, such as shares, which are expected to increase steadily over the forward estimates due to additional contributions from Government and expected investment returns over time. </w:t>
      </w:r>
    </w:p>
    <w:p w14:paraId="33D00DAC" w14:textId="146865E1" w:rsidR="00E50CB8" w:rsidRPr="001E6F2A" w:rsidRDefault="00E50CB8" w:rsidP="00E50CB8">
      <w:pPr>
        <w:pStyle w:val="Heading5"/>
      </w:pPr>
      <w:bookmarkStart w:id="4" w:name="_Hlk162441677"/>
      <w:r w:rsidRPr="001E6F2A">
        <w:t>Government Business Enterprises</w:t>
      </w:r>
    </w:p>
    <w:bookmarkEnd w:id="4"/>
    <w:p w14:paraId="18AC5F44" w14:textId="77F86DA8" w:rsidR="00807653" w:rsidRPr="00807653" w:rsidRDefault="00DA0231" w:rsidP="00807653">
      <w:r w:rsidRPr="00DA0231">
        <w:t xml:space="preserve">Government Business Enterprises (GBEs) </w:t>
      </w:r>
      <w:r w:rsidR="00807653" w:rsidRPr="00807653">
        <w:t xml:space="preserve">represent a significant proportion of equity investments held by the Australian Government. </w:t>
      </w:r>
    </w:p>
    <w:p w14:paraId="13DE6D99" w14:textId="0D8AFBC1" w:rsidR="00B04C38" w:rsidRPr="00B04C38" w:rsidRDefault="00B04C38" w:rsidP="00B04C38">
      <w:r w:rsidRPr="00B04C38">
        <w:t>These are commercially</w:t>
      </w:r>
      <w:r w:rsidR="00390046">
        <w:noBreakHyphen/>
      </w:r>
      <w:r w:rsidRPr="00B04C38">
        <w:t>focused government owned businesses that are established to fulfil an Australian Government purpose. They make a substantial contribution to the Australian economy by supporting productivity, job creation and Government policy objectives.</w:t>
      </w:r>
    </w:p>
    <w:p w14:paraId="0D5DD54E" w14:textId="77777777" w:rsidR="00526A8B" w:rsidRDefault="00526A8B" w:rsidP="00424C9D">
      <w:r w:rsidRPr="00AD41F4">
        <w:t xml:space="preserve">Further information on the financial performance of individual GBEs is included in the annual report for each entity, including details of equity contributed by the Australian Government. GBE valuations are updated annually in accordance with Australian </w:t>
      </w:r>
      <w:r>
        <w:t>A</w:t>
      </w:r>
      <w:r w:rsidRPr="00AD41F4">
        <w:t xml:space="preserve">ccounting Standards and reported by </w:t>
      </w:r>
      <w:r>
        <w:t xml:space="preserve">the </w:t>
      </w:r>
      <w:r w:rsidRPr="00AD41F4">
        <w:t xml:space="preserve">relevant portfolio department in </w:t>
      </w:r>
      <w:r w:rsidRPr="00C5758A">
        <w:t xml:space="preserve">its </w:t>
      </w:r>
      <w:r w:rsidRPr="00AD41F4">
        <w:t>annual report.</w:t>
      </w:r>
    </w:p>
    <w:p w14:paraId="4977B370" w14:textId="3FBEE6B3" w:rsidR="00E50CB8" w:rsidRPr="001E6F2A" w:rsidRDefault="00E50CB8" w:rsidP="00E50CB8">
      <w:pPr>
        <w:pStyle w:val="Heading5"/>
      </w:pPr>
      <w:r w:rsidRPr="001E6F2A">
        <w:t>Specialist investment vehicles</w:t>
      </w:r>
    </w:p>
    <w:p w14:paraId="4B3FD637" w14:textId="200623F8" w:rsidR="00F37E26" w:rsidRDefault="002E5D6A" w:rsidP="00F37E26">
      <w:r w:rsidRPr="002E5D6A">
        <w:t xml:space="preserve">Specialist investment vehicles </w:t>
      </w:r>
      <w:r w:rsidR="00F37E26" w:rsidRPr="00F37E26">
        <w:t>make investments in projects, businesses and joint ventures to directly address Australian Government policy objectives. These investments include for example concessional loans, debt issuances and equity investments. Specialist investment vehicles</w:t>
      </w:r>
      <w:r w:rsidR="001C366D">
        <w:t xml:space="preserve"> </w:t>
      </w:r>
      <w:r w:rsidR="00F37E26" w:rsidRPr="00F37E26">
        <w:t xml:space="preserve">include the National Reconstruction Fund Corporation, Clean Energy Finance Corporation, Regional Investment Corporation, Export Finance Australia, Housing Australia, the Australian Renewable Energy Agency, the Northern Australian Infrastructure Facility and the Australian Infrastructure Financing Facility for the Pacific supported by Export Finance Australia. </w:t>
      </w:r>
    </w:p>
    <w:p w14:paraId="7A8BB246" w14:textId="77777777" w:rsidR="00E50CB8" w:rsidRPr="001E6F2A" w:rsidRDefault="00E50CB8" w:rsidP="00E50CB8">
      <w:pPr>
        <w:pStyle w:val="Heading6"/>
      </w:pPr>
      <w:r w:rsidRPr="001E6F2A">
        <w:lastRenderedPageBreak/>
        <w:t>Clean Energy Finance Corporation</w:t>
      </w:r>
    </w:p>
    <w:p w14:paraId="27FB95BC" w14:textId="38B48181" w:rsidR="00B9047D" w:rsidRPr="00B9047D" w:rsidRDefault="00B9047D" w:rsidP="00B9047D">
      <w:r w:rsidRPr="00B9047D">
        <w:t xml:space="preserve">The </w:t>
      </w:r>
      <w:r w:rsidR="000F24E7" w:rsidRPr="000F24E7">
        <w:t xml:space="preserve">Clean Energy Finance Corporation (CEFC) </w:t>
      </w:r>
      <w:r w:rsidRPr="00B9047D">
        <w:t xml:space="preserve">was established as a Commonwealth Authority in August 2012 through the </w:t>
      </w:r>
      <w:r w:rsidRPr="00433802">
        <w:rPr>
          <w:rStyle w:val="Emphasis"/>
        </w:rPr>
        <w:t>Clean Energy Finance Corporation Act 2012</w:t>
      </w:r>
      <w:r w:rsidRPr="00B9047D">
        <w:t xml:space="preserve"> (CEFC Act). </w:t>
      </w:r>
    </w:p>
    <w:p w14:paraId="17F53C5C" w14:textId="77777777" w:rsidR="00E50CB8" w:rsidRPr="001E6F2A" w:rsidRDefault="00E50CB8" w:rsidP="00E50CB8">
      <w:r w:rsidRPr="001E6F2A">
        <w:t xml:space="preserve">Under the CEFC Act, the CEFC has been provided $10.0 billion to invest in renewable energy, low emissions technology and energy efficiency projects. </w:t>
      </w:r>
    </w:p>
    <w:p w14:paraId="6EAF48B6" w14:textId="0EC8B26B" w:rsidR="00637FB5" w:rsidRPr="009F2D5F" w:rsidRDefault="00637FB5" w:rsidP="00637FB5">
      <w:r w:rsidRPr="009F2D5F">
        <w:t xml:space="preserve">The Government has also provided CEFC with an additional $20.5 billion to support the </w:t>
      </w:r>
      <w:r w:rsidR="0095623E">
        <w:t>G</w:t>
      </w:r>
      <w:r w:rsidR="0095623E" w:rsidRPr="00EA3CD4">
        <w:t>overnment</w:t>
      </w:r>
      <w:r w:rsidR="00390046">
        <w:t>’</w:t>
      </w:r>
      <w:r w:rsidR="0095623E" w:rsidRPr="00EA3CD4">
        <w:t>s</w:t>
      </w:r>
      <w:r w:rsidR="006644DE" w:rsidRPr="00EA3CD4">
        <w:t xml:space="preserve"> </w:t>
      </w:r>
      <w:r w:rsidRPr="009F2D5F">
        <w:t>policy priorities</w:t>
      </w:r>
      <w:r w:rsidR="006644DE">
        <w:t>.</w:t>
      </w:r>
      <w:r w:rsidRPr="009F2D5F">
        <w:t xml:space="preserve"> </w:t>
      </w:r>
      <w:r w:rsidR="004E0F21">
        <w:t>This comprises</w:t>
      </w:r>
      <w:r w:rsidR="004E0F21" w:rsidRPr="009F2D5F">
        <w:t xml:space="preserve"> </w:t>
      </w:r>
      <w:r w:rsidRPr="009F2D5F">
        <w:t xml:space="preserve">$19 billion for rewiring the nation, to expand and modernise </w:t>
      </w:r>
      <w:r w:rsidR="002B3687" w:rsidRPr="009F2D5F">
        <w:t>Australia</w:t>
      </w:r>
      <w:r w:rsidR="00390046">
        <w:t>’</w:t>
      </w:r>
      <w:r w:rsidR="002B3687">
        <w:t>s</w:t>
      </w:r>
      <w:r w:rsidRPr="009F2D5F">
        <w:t xml:space="preserve"> electricity grids and $500.0</w:t>
      </w:r>
      <w:r w:rsidRPr="009F2D5F">
        <w:rPr>
          <w:rFonts w:hint="eastAsia"/>
        </w:rPr>
        <w:t> </w:t>
      </w:r>
      <w:r w:rsidRPr="009F2D5F">
        <w:t xml:space="preserve">million, </w:t>
      </w:r>
      <w:r w:rsidR="004E0F21">
        <w:t>(</w:t>
      </w:r>
      <w:r w:rsidRPr="009F2D5F">
        <w:t>to combine with $500.0</w:t>
      </w:r>
      <w:r w:rsidRPr="009F2D5F">
        <w:rPr>
          <w:rFonts w:hint="eastAsia"/>
        </w:rPr>
        <w:t> </w:t>
      </w:r>
      <w:r w:rsidRPr="009F2D5F">
        <w:t>million from the private sector</w:t>
      </w:r>
      <w:r w:rsidR="004E0F21">
        <w:t>)</w:t>
      </w:r>
      <w:r w:rsidRPr="009F2D5F">
        <w:t>, to establish a $1.0</w:t>
      </w:r>
      <w:r w:rsidRPr="009F2D5F">
        <w:rPr>
          <w:rFonts w:hint="eastAsia"/>
        </w:rPr>
        <w:t> </w:t>
      </w:r>
      <w:r w:rsidRPr="009F2D5F">
        <w:t xml:space="preserve">billion Powering Australia Technology Fund. </w:t>
      </w:r>
      <w:r w:rsidR="00392A64" w:rsidRPr="00392A64">
        <w:t xml:space="preserve">It also includes </w:t>
      </w:r>
      <w:r w:rsidRPr="009F2D5F">
        <w:t>$1.0</w:t>
      </w:r>
      <w:r w:rsidRPr="009F2D5F">
        <w:rPr>
          <w:rFonts w:hint="eastAsia"/>
        </w:rPr>
        <w:t> </w:t>
      </w:r>
      <w:r w:rsidRPr="009F2D5F">
        <w:t>billion to support household energy efficiency upgrades.</w:t>
      </w:r>
    </w:p>
    <w:p w14:paraId="63D544D2" w14:textId="0158015C" w:rsidR="00E50CB8" w:rsidRPr="001E6F2A" w:rsidRDefault="00E50CB8" w:rsidP="00E50CB8">
      <w:r w:rsidRPr="001E6F2A">
        <w:t>The CEFC continues to invest funds and manage its investments. Investment decisions are made by an independent board consistent with the CEFC Act and the CEFC</w:t>
      </w:r>
      <w:r w:rsidR="00390046">
        <w:t>’</w:t>
      </w:r>
      <w:r w:rsidRPr="001E6F2A">
        <w:t>s investment mandate.</w:t>
      </w:r>
    </w:p>
    <w:p w14:paraId="07BE181D" w14:textId="3B1DDA65" w:rsidR="00E50CB8" w:rsidRPr="00AA132A" w:rsidRDefault="00E50CB8" w:rsidP="00E50CB8">
      <w:pPr>
        <w:pStyle w:val="Heading6"/>
      </w:pPr>
      <w:r w:rsidRPr="00AA132A">
        <w:t>National Reconstruction Fund Corporation</w:t>
      </w:r>
    </w:p>
    <w:p w14:paraId="5A0D306E" w14:textId="0CC66C9F" w:rsidR="00C80521" w:rsidRPr="00C80521" w:rsidRDefault="00C80521" w:rsidP="00C80521">
      <w:pPr>
        <w:keepLines/>
        <w:autoSpaceDE w:val="0"/>
        <w:autoSpaceDN w:val="0"/>
        <w:spacing w:line="230" w:lineRule="atLeast"/>
      </w:pPr>
      <w:r w:rsidRPr="00C80521">
        <w:t xml:space="preserve">The </w:t>
      </w:r>
      <w:r w:rsidR="00F01E80" w:rsidRPr="00F01E80">
        <w:t xml:space="preserve">National Reconstruction Fund Corporation (NRFC) </w:t>
      </w:r>
      <w:r w:rsidRPr="00C80521">
        <w:t xml:space="preserve">was established as a corporate Commonwealth entity by </w:t>
      </w:r>
      <w:r w:rsidRPr="007249E7">
        <w:t>the</w:t>
      </w:r>
      <w:r w:rsidRPr="00433802">
        <w:rPr>
          <w:rStyle w:val="Emphasis"/>
        </w:rPr>
        <w:t xml:space="preserve"> National Reconstruction Fund Corporation Act 2023</w:t>
      </w:r>
      <w:r w:rsidRPr="00C80521">
        <w:t xml:space="preserve"> (NRFC Act) to support, diversify and transform Australian industry and the economy.</w:t>
      </w:r>
    </w:p>
    <w:p w14:paraId="0014971B" w14:textId="28EF3403" w:rsidR="00E50CB8" w:rsidRPr="001E6F2A" w:rsidRDefault="00E50CB8" w:rsidP="00167917">
      <w:pPr>
        <w:keepLines/>
        <w:autoSpaceDE w:val="0"/>
        <w:autoSpaceDN w:val="0"/>
        <w:spacing w:line="230" w:lineRule="atLeast"/>
        <w:rPr>
          <w:szCs w:val="19"/>
        </w:rPr>
      </w:pPr>
      <w:r w:rsidRPr="00AA132A">
        <w:t>The NRFC will make $15.0 billion of targeted co</w:t>
      </w:r>
      <w:r w:rsidR="00FF20DA">
        <w:t>-</w:t>
      </w:r>
      <w:r w:rsidRPr="00AA132A">
        <w:t xml:space="preserve">investments through independently assessed projects in priority </w:t>
      </w:r>
      <w:r w:rsidR="003C3D3D" w:rsidRPr="003C3D3D">
        <w:t>sectors</w:t>
      </w:r>
      <w:r w:rsidR="00341B3D">
        <w:t xml:space="preserve"> </w:t>
      </w:r>
      <w:r w:rsidRPr="00AA132A">
        <w:t>including resources, transport, medical science, renewables and low emission technology, defence capability, enabling capabilities and agriculture, forestry and fisheries.</w:t>
      </w:r>
      <w:r w:rsidRPr="001E6F2A">
        <w:t xml:space="preserve"> </w:t>
      </w:r>
    </w:p>
    <w:p w14:paraId="62ABC07F" w14:textId="77777777" w:rsidR="000F0098" w:rsidRPr="000F0098" w:rsidRDefault="000F0098" w:rsidP="000F0098">
      <w:pPr>
        <w:pStyle w:val="Heading6"/>
        <w:rPr>
          <w:i/>
          <w:iCs/>
        </w:rPr>
      </w:pPr>
      <w:r w:rsidRPr="000F0098">
        <w:t xml:space="preserve">Export Finance Australia </w:t>
      </w:r>
    </w:p>
    <w:p w14:paraId="089A8DF8" w14:textId="3D0164B5" w:rsidR="00E33B27" w:rsidRPr="00E33B27" w:rsidRDefault="00E33B27" w:rsidP="00E33B27">
      <w:r w:rsidRPr="00E33B27">
        <w:t xml:space="preserve">At the Australian </w:t>
      </w:r>
      <w:r w:rsidR="006017A6" w:rsidRPr="00E33B27">
        <w:t>Government</w:t>
      </w:r>
      <w:r w:rsidR="00390046">
        <w:t>’</w:t>
      </w:r>
      <w:r w:rsidR="006017A6">
        <w:t>s</w:t>
      </w:r>
      <w:r w:rsidRPr="00E33B27">
        <w:t xml:space="preserve"> direction, </w:t>
      </w:r>
      <w:r w:rsidR="006F5209" w:rsidRPr="006F5209">
        <w:t>Export Finance Australia (EFA)</w:t>
      </w:r>
      <w:r w:rsidR="00397BDD">
        <w:t xml:space="preserve"> </w:t>
      </w:r>
      <w:r w:rsidRPr="00E33B27">
        <w:t>can make export</w:t>
      </w:r>
      <w:r w:rsidR="00390046">
        <w:noBreakHyphen/>
      </w:r>
      <w:r w:rsidRPr="00E33B27">
        <w:t>focussed investments that are in the national interest.</w:t>
      </w:r>
      <w:r w:rsidR="00DC234F" w:rsidRPr="00DC234F">
        <w:t xml:space="preserve"> As part of the </w:t>
      </w:r>
      <w:r w:rsidR="00DC234F" w:rsidRPr="009F2D5F">
        <w:rPr>
          <w:i/>
          <w:iCs/>
        </w:rPr>
        <w:t>Future Made in Australia</w:t>
      </w:r>
      <w:r w:rsidR="00DC234F" w:rsidRPr="00DC234F">
        <w:t xml:space="preserve"> policy</w:t>
      </w:r>
      <w:r w:rsidRPr="00E33B27">
        <w:t>, the Government will expand EFA</w:t>
      </w:r>
      <w:r w:rsidR="00390046">
        <w:t>’</w:t>
      </w:r>
      <w:r w:rsidRPr="00E33B27">
        <w:t>s mandate on the National Interest Account to support key domestic</w:t>
      </w:r>
      <w:r w:rsidR="00390046">
        <w:noBreakHyphen/>
      </w:r>
      <w:r w:rsidRPr="00E33B27">
        <w:t xml:space="preserve">focussed projects that align with a National Interest Framework and </w:t>
      </w:r>
      <w:r w:rsidR="00920702" w:rsidRPr="00920702">
        <w:t xml:space="preserve">are </w:t>
      </w:r>
      <w:r w:rsidRPr="00E33B27">
        <w:t xml:space="preserve">in scope sectors. </w:t>
      </w:r>
    </w:p>
    <w:p w14:paraId="30F5968A" w14:textId="226042E8" w:rsidR="00E50CB8" w:rsidRPr="001E6F2A" w:rsidRDefault="00E50CB8" w:rsidP="00E50CB8">
      <w:pPr>
        <w:pStyle w:val="Heading3"/>
      </w:pPr>
      <w:r w:rsidRPr="001E6F2A">
        <w:t>Non</w:t>
      </w:r>
      <w:r w:rsidR="00E07470">
        <w:t>-</w:t>
      </w:r>
      <w:r w:rsidRPr="001E6F2A">
        <w:t>financial assets</w:t>
      </w:r>
    </w:p>
    <w:p w14:paraId="5B92B6E5" w14:textId="66624663" w:rsidR="00DD6E30" w:rsidRPr="00DD6E30" w:rsidRDefault="00DD6E30" w:rsidP="00DD6E30">
      <w:r w:rsidRPr="00A439D0">
        <w:t xml:space="preserve">The </w:t>
      </w:r>
      <w:r w:rsidR="006C0490" w:rsidRPr="00A439D0">
        <w:t>Government</w:t>
      </w:r>
      <w:r w:rsidR="00390046">
        <w:t>’</w:t>
      </w:r>
      <w:r w:rsidR="006C0490">
        <w:t>s</w:t>
      </w:r>
      <w:r w:rsidRPr="00A439D0">
        <w:t xml:space="preserve"> non</w:t>
      </w:r>
      <w:r w:rsidR="00496DEA">
        <w:t>-</w:t>
      </w:r>
      <w:r w:rsidRPr="00A439D0">
        <w:t>financial assets are estimated to be $</w:t>
      </w:r>
      <w:r w:rsidRPr="009F2D5F">
        <w:t>21</w:t>
      </w:r>
      <w:r w:rsidR="00712DCB" w:rsidRPr="009F2D5F">
        <w:t>1</w:t>
      </w:r>
      <w:r w:rsidRPr="009F2D5F">
        <w:t>.</w:t>
      </w:r>
      <w:r w:rsidR="00B04878" w:rsidRPr="00A439D0">
        <w:t>7</w:t>
      </w:r>
      <w:r w:rsidRPr="00A439D0">
        <w:rPr>
          <w:rFonts w:hint="eastAsia"/>
        </w:rPr>
        <w:t> </w:t>
      </w:r>
      <w:r w:rsidRPr="00A439D0">
        <w:t>billion at 30 June 2024, increasing to $</w:t>
      </w:r>
      <w:r w:rsidRPr="009F2D5F">
        <w:t>2</w:t>
      </w:r>
      <w:r w:rsidR="00B04878" w:rsidRPr="009F2D5F">
        <w:t>45</w:t>
      </w:r>
      <w:r w:rsidRPr="009F2D5F">
        <w:t>.</w:t>
      </w:r>
      <w:r w:rsidR="00B04878" w:rsidRPr="00A439D0">
        <w:t>7</w:t>
      </w:r>
      <w:r w:rsidRPr="00A439D0">
        <w:rPr>
          <w:rFonts w:hint="eastAsia"/>
        </w:rPr>
        <w:t> </w:t>
      </w:r>
      <w:r w:rsidRPr="00A439D0">
        <w:t>billion by 30 June 2028.</w:t>
      </w:r>
      <w:r w:rsidRPr="00DD6E30">
        <w:t xml:space="preserve"> </w:t>
      </w:r>
    </w:p>
    <w:p w14:paraId="5EE34C41" w14:textId="35D14511" w:rsidR="00496DEA" w:rsidRDefault="00645080" w:rsidP="00645080">
      <w:bookmarkStart w:id="5" w:name="_Hlk134008595"/>
      <w:r w:rsidRPr="004E4414">
        <w:t>Non</w:t>
      </w:r>
      <w:r w:rsidR="00E07470">
        <w:t>-</w:t>
      </w:r>
      <w:r w:rsidRPr="004E4414">
        <w:t>financial assets comprise assets such as land, buildings and property, plant and equipment and right</w:t>
      </w:r>
      <w:r w:rsidR="00E07470">
        <w:t>-</w:t>
      </w:r>
      <w:r w:rsidRPr="004E4414">
        <w:t>of</w:t>
      </w:r>
      <w:r w:rsidR="00390046">
        <w:noBreakHyphen/>
      </w:r>
      <w:r w:rsidRPr="004E4414">
        <w:t>use lease assets. Non</w:t>
      </w:r>
      <w:r w:rsidR="00E07470">
        <w:t>-</w:t>
      </w:r>
      <w:r w:rsidRPr="004E4414">
        <w:t>financial assets are expected to grow consistently over the forward estimates predominantly due to increased investments in Specialised Military Equipment</w:t>
      </w:r>
      <w:r>
        <w:t>.</w:t>
      </w:r>
      <w:r w:rsidR="00496DEA">
        <w:br w:type="page"/>
      </w:r>
    </w:p>
    <w:p w14:paraId="4A2FDAF2" w14:textId="77777777" w:rsidR="00E50CB8" w:rsidRPr="001E6F2A" w:rsidRDefault="00E50CB8" w:rsidP="00E50CB8">
      <w:pPr>
        <w:pStyle w:val="Heading2"/>
      </w:pPr>
      <w:r w:rsidRPr="001E6F2A">
        <w:lastRenderedPageBreak/>
        <w:t>Liabilities</w:t>
      </w:r>
    </w:p>
    <w:bookmarkEnd w:id="5"/>
    <w:p w14:paraId="7EB62942" w14:textId="2AE3E9C2" w:rsidR="00125FC7" w:rsidRPr="00125FC7" w:rsidRDefault="00125FC7" w:rsidP="00125FC7">
      <w:r w:rsidRPr="00125FC7">
        <w:t xml:space="preserve">The </w:t>
      </w:r>
      <w:r w:rsidR="006C0490" w:rsidRPr="00125FC7">
        <w:t>Government</w:t>
      </w:r>
      <w:r w:rsidR="00390046">
        <w:t>’</w:t>
      </w:r>
      <w:r w:rsidR="006C0490">
        <w:t>s</w:t>
      </w:r>
      <w:r w:rsidRPr="00125FC7">
        <w:t xml:space="preserve"> total liabilities were $1.3</w:t>
      </w:r>
      <w:r w:rsidRPr="00125FC7">
        <w:rPr>
          <w:rFonts w:hint="eastAsia"/>
        </w:rPr>
        <w:t> </w:t>
      </w:r>
      <w:r w:rsidRPr="00125FC7">
        <w:t xml:space="preserve">trillion at 30 June 2023, and are expected to increase to </w:t>
      </w:r>
      <w:r w:rsidRPr="008D3AFB">
        <w:t>around $</w:t>
      </w:r>
      <w:r w:rsidRPr="009F2D5F">
        <w:t>1.6</w:t>
      </w:r>
      <w:r w:rsidRPr="009F2D5F">
        <w:rPr>
          <w:rFonts w:hint="eastAsia"/>
        </w:rPr>
        <w:t> </w:t>
      </w:r>
      <w:r w:rsidRPr="009F2D5F">
        <w:t>trillion</w:t>
      </w:r>
      <w:r w:rsidRPr="008D3AFB">
        <w:t xml:space="preserve"> by</w:t>
      </w:r>
      <w:r w:rsidRPr="00125FC7">
        <w:t xml:space="preserve"> 30 June 2028. </w:t>
      </w:r>
    </w:p>
    <w:p w14:paraId="23BC49BF" w14:textId="77777777" w:rsidR="008F7C1B" w:rsidRPr="001E6F2A" w:rsidRDefault="008F7C1B" w:rsidP="008F7C1B">
      <w:r w:rsidRPr="001E6F2A">
        <w:t xml:space="preserve">The composition of Australian Government GGS liabilities at </w:t>
      </w:r>
      <w:r w:rsidRPr="00F616BC">
        <w:t xml:space="preserve">30 June 2024 is presented </w:t>
      </w:r>
      <w:r w:rsidRPr="001E6F2A">
        <w:t xml:space="preserve">below in </w:t>
      </w:r>
      <w:r w:rsidRPr="00986EDD">
        <w:t>Chart 1</w:t>
      </w:r>
      <w:r>
        <w:t>0</w:t>
      </w:r>
      <w:r w:rsidRPr="00986EDD">
        <w:t>B.4</w:t>
      </w:r>
      <w:r w:rsidRPr="001E6F2A">
        <w:t>.</w:t>
      </w:r>
    </w:p>
    <w:p w14:paraId="4DD62736" w14:textId="68C1DACC" w:rsidR="00E50CB8" w:rsidRPr="00D353D4" w:rsidRDefault="00E50CB8" w:rsidP="00D353D4">
      <w:pPr>
        <w:pStyle w:val="ChartMainHeading"/>
      </w:pPr>
      <w:r w:rsidRPr="00D353D4">
        <w:t>Chart 1</w:t>
      </w:r>
      <w:r w:rsidR="008F7C1B" w:rsidRPr="00D353D4">
        <w:t>0</w:t>
      </w:r>
      <w:r w:rsidRPr="00D353D4">
        <w:t>B.4: Australian government liabilities composition</w:t>
      </w:r>
    </w:p>
    <w:p w14:paraId="2BAB1E8F" w14:textId="685E30A7" w:rsidR="00E50CB8" w:rsidRPr="001E6F2A" w:rsidRDefault="004A72AE" w:rsidP="00E50CB8">
      <w:pPr>
        <w:pStyle w:val="ChartGraphic"/>
      </w:pPr>
      <w:r>
        <w:rPr>
          <w:noProof/>
        </w:rPr>
        <w:drawing>
          <wp:inline distT="0" distB="0" distL="0" distR="0" wp14:anchorId="73D074AE" wp14:editId="436B6B8A">
            <wp:extent cx="4871924" cy="3413725"/>
            <wp:effectExtent l="0" t="0" r="5080" b="0"/>
            <wp:docPr id="821944706" name="Picture 821944706" descr="This chart illustrates the Australian Government General Government Sector liabilities composition as at 30 June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44706" name="Picture 821944706" descr="This chart illustrates the Australian Government General Government Sector liabilities composition as at 30 June 20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2857" cy="3421385"/>
                    </a:xfrm>
                    <a:prstGeom prst="rect">
                      <a:avLst/>
                    </a:prstGeom>
                    <a:noFill/>
                  </pic:spPr>
                </pic:pic>
              </a:graphicData>
            </a:graphic>
          </wp:inline>
        </w:drawing>
      </w:r>
    </w:p>
    <w:p w14:paraId="5EC00E04" w14:textId="77777777" w:rsidR="00E50CB8" w:rsidRPr="001E6F2A" w:rsidRDefault="00E50CB8" w:rsidP="00B40B09">
      <w:pPr>
        <w:pStyle w:val="ChartLine"/>
      </w:pPr>
    </w:p>
    <w:p w14:paraId="240C07AD" w14:textId="75CC0AB4" w:rsidR="00644512" w:rsidRPr="00644512" w:rsidRDefault="00644512" w:rsidP="00644512">
      <w:r w:rsidRPr="00644512">
        <w:t xml:space="preserve">The </w:t>
      </w:r>
      <w:r w:rsidR="00CA6A1A" w:rsidRPr="00644512">
        <w:t>Government</w:t>
      </w:r>
      <w:r w:rsidR="00390046">
        <w:t>’</w:t>
      </w:r>
      <w:r w:rsidR="00CA6A1A">
        <w:t>s</w:t>
      </w:r>
      <w:r w:rsidRPr="00644512">
        <w:t xml:space="preserve"> major liabilities are Australian Government securities on issue (see Statement </w:t>
      </w:r>
      <w:r w:rsidRPr="00C1080E">
        <w:t xml:space="preserve">7: </w:t>
      </w:r>
      <w:r w:rsidRPr="00433802">
        <w:rPr>
          <w:rStyle w:val="Emphasis"/>
        </w:rPr>
        <w:t>Debt Statement</w:t>
      </w:r>
      <w:r w:rsidRPr="00644512">
        <w:t xml:space="preserve"> for further information) and public sector employee superannuation liabilities.</w:t>
      </w:r>
    </w:p>
    <w:p w14:paraId="485F3309" w14:textId="60EE2B88" w:rsidR="00D353D4" w:rsidRDefault="00840103" w:rsidP="00840103">
      <w:pPr>
        <w:rPr>
          <w:rStyle w:val="Emphasis"/>
        </w:rPr>
      </w:pPr>
      <w:r>
        <w:t xml:space="preserve">Further information on the </w:t>
      </w:r>
      <w:r w:rsidR="00CA6A1A">
        <w:t>Government</w:t>
      </w:r>
      <w:r w:rsidR="00390046">
        <w:t>’</w:t>
      </w:r>
      <w:r w:rsidR="00CA6A1A">
        <w:t>s</w:t>
      </w:r>
      <w:r>
        <w:t xml:space="preserve"> borrowings is provided in Statement</w:t>
      </w:r>
      <w:r w:rsidR="00AD7328">
        <w:t> </w:t>
      </w:r>
      <w:r>
        <w:t>7:</w:t>
      </w:r>
      <w:r w:rsidR="00AD7328">
        <w:t> </w:t>
      </w:r>
      <w:r w:rsidRPr="00433802">
        <w:rPr>
          <w:rStyle w:val="Emphasis"/>
        </w:rPr>
        <w:t>Debt</w:t>
      </w:r>
      <w:r w:rsidR="009A7C2E">
        <w:rPr>
          <w:rStyle w:val="Emphasis"/>
        </w:rPr>
        <w:t> </w:t>
      </w:r>
      <w:r w:rsidRPr="00433802">
        <w:rPr>
          <w:rStyle w:val="Emphasis"/>
        </w:rPr>
        <w:t>Statement.</w:t>
      </w:r>
      <w:r w:rsidR="00D353D4">
        <w:rPr>
          <w:rStyle w:val="Emphasis"/>
        </w:rPr>
        <w:br w:type="page"/>
      </w:r>
    </w:p>
    <w:p w14:paraId="61814228" w14:textId="3CDF5F5A" w:rsidR="00E50CB8" w:rsidRPr="001E6F2A" w:rsidRDefault="00E50CB8" w:rsidP="00E50CB8">
      <w:pPr>
        <w:pStyle w:val="Heading3"/>
      </w:pPr>
      <w:r w:rsidRPr="001E6F2A">
        <w:lastRenderedPageBreak/>
        <w:t>Australian Government liabilities over the forward estimates</w:t>
      </w:r>
    </w:p>
    <w:p w14:paraId="36D3E0AF" w14:textId="082F526A" w:rsidR="00E50CB8" w:rsidRPr="001E6F2A" w:rsidRDefault="00E50CB8" w:rsidP="00E50CB8">
      <w:pPr>
        <w:rPr>
          <w:szCs w:val="16"/>
        </w:rPr>
      </w:pPr>
      <w:r w:rsidRPr="001E6F2A">
        <w:rPr>
          <w:szCs w:val="16"/>
        </w:rPr>
        <w:t xml:space="preserve">The budgeted composition of liabilities on the Australian </w:t>
      </w:r>
      <w:r w:rsidR="00CA6A1A" w:rsidRPr="001E6F2A">
        <w:rPr>
          <w:szCs w:val="16"/>
        </w:rPr>
        <w:t>Government</w:t>
      </w:r>
      <w:r w:rsidR="00390046">
        <w:rPr>
          <w:szCs w:val="16"/>
        </w:rPr>
        <w:t>’</w:t>
      </w:r>
      <w:r w:rsidR="00CA6A1A">
        <w:rPr>
          <w:szCs w:val="16"/>
        </w:rPr>
        <w:t>s</w:t>
      </w:r>
      <w:r w:rsidRPr="001E6F2A">
        <w:rPr>
          <w:szCs w:val="16"/>
        </w:rPr>
        <w:t xml:space="preserve"> balance sheet is provided in </w:t>
      </w:r>
      <w:r w:rsidRPr="00ED28F2">
        <w:rPr>
          <w:szCs w:val="16"/>
        </w:rPr>
        <w:t>Chart 1</w:t>
      </w:r>
      <w:r w:rsidR="00726287">
        <w:rPr>
          <w:szCs w:val="16"/>
        </w:rPr>
        <w:t>0</w:t>
      </w:r>
      <w:r w:rsidRPr="00ED28F2">
        <w:rPr>
          <w:szCs w:val="16"/>
        </w:rPr>
        <w:t>B.5 below</w:t>
      </w:r>
      <w:r w:rsidRPr="001E6F2A">
        <w:rPr>
          <w:szCs w:val="16"/>
        </w:rPr>
        <w:t>.</w:t>
      </w:r>
    </w:p>
    <w:p w14:paraId="795F5F7B" w14:textId="30779FB9" w:rsidR="00E50CB8" w:rsidRDefault="00E50CB8" w:rsidP="00E50CB8">
      <w:pPr>
        <w:pStyle w:val="ChartMainHeading"/>
      </w:pPr>
      <w:r w:rsidRPr="00ED28F2">
        <w:t>Chart 1</w:t>
      </w:r>
      <w:r w:rsidR="00D32095">
        <w:t>0</w:t>
      </w:r>
      <w:r w:rsidRPr="00ED28F2">
        <w:t>B.5:</w:t>
      </w:r>
      <w:r w:rsidRPr="001E6F2A">
        <w:t xml:space="preserve"> Composition of Australian Government liabilities over the forward estimates</w:t>
      </w:r>
    </w:p>
    <w:p w14:paraId="6CAA239C" w14:textId="4CC3E5AB" w:rsidR="00225D6C" w:rsidRPr="00225D6C" w:rsidRDefault="00A921A2" w:rsidP="00225D6C">
      <w:pPr>
        <w:pStyle w:val="ChartGraphic"/>
      </w:pPr>
      <w:r>
        <w:rPr>
          <w:noProof/>
        </w:rPr>
        <w:drawing>
          <wp:inline distT="0" distB="0" distL="0" distR="0" wp14:anchorId="710E7FDA" wp14:editId="4BE7391F">
            <wp:extent cx="4681855" cy="2883535"/>
            <wp:effectExtent l="0" t="0" r="4445" b="0"/>
            <wp:docPr id="723955169" name="Picture 723955169" descr="This chart illustrates the Australian Government General Government Sector liabilities composition over the forward estim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55169" name="Picture 723955169" descr="This chart illustrates the Australian Government General Government Sector liabilities composition over the forward estima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1855" cy="2883535"/>
                    </a:xfrm>
                    <a:prstGeom prst="rect">
                      <a:avLst/>
                    </a:prstGeom>
                    <a:noFill/>
                  </pic:spPr>
                </pic:pic>
              </a:graphicData>
            </a:graphic>
          </wp:inline>
        </w:drawing>
      </w:r>
    </w:p>
    <w:p w14:paraId="39BAC925" w14:textId="2856E657" w:rsidR="00870C23" w:rsidRDefault="008E3C7F" w:rsidP="0047379E">
      <w:pPr>
        <w:pStyle w:val="ChartandTableFootnote"/>
      </w:pPr>
      <w:r w:rsidRPr="00D86818">
        <w:t xml:space="preserve">Note: </w:t>
      </w:r>
      <w:r w:rsidR="0047379E">
        <w:tab/>
      </w:r>
      <w:r w:rsidRPr="00D86818">
        <w:t>Other interest bearing liabilities includes deposits held, loans and lease liabilities. Other provisions and payables includes other employee liabilities, suppliers payable, personal benefits payable, subsidies payable, grants payable, other payables and provisions.</w:t>
      </w:r>
    </w:p>
    <w:p w14:paraId="09E0ABAC" w14:textId="77777777" w:rsidR="00A1267C" w:rsidRPr="0047379E" w:rsidRDefault="00A1267C" w:rsidP="00B40B09">
      <w:pPr>
        <w:pStyle w:val="ChartLine"/>
      </w:pPr>
    </w:p>
    <w:p w14:paraId="6590FA30" w14:textId="5F1E2F28" w:rsidR="008651D0" w:rsidRPr="008651D0" w:rsidRDefault="008651D0" w:rsidP="008651D0">
      <w:pPr>
        <w:pStyle w:val="Heading4"/>
        <w:rPr>
          <w:rFonts w:ascii="Book Antiqua" w:hAnsi="Book Antiqua"/>
          <w:b w:val="0"/>
          <w:sz w:val="19"/>
        </w:rPr>
      </w:pPr>
      <w:r w:rsidRPr="008651D0">
        <w:rPr>
          <w:rFonts w:ascii="Book Antiqua" w:hAnsi="Book Antiqua"/>
          <w:b w:val="0"/>
          <w:sz w:val="19"/>
        </w:rPr>
        <w:t>Total liabilities are expected to grow consistently over the forward estimates, which is predominantly due to growth in government securities on issue and</w:t>
      </w:r>
      <w:r w:rsidR="002457FD">
        <w:rPr>
          <w:rFonts w:ascii="Book Antiqua" w:hAnsi="Book Antiqua"/>
          <w:b w:val="0"/>
          <w:sz w:val="19"/>
        </w:rPr>
        <w:t xml:space="preserve"> </w:t>
      </w:r>
      <w:r w:rsidR="00063E95">
        <w:rPr>
          <w:rFonts w:ascii="Book Antiqua" w:hAnsi="Book Antiqua"/>
          <w:b w:val="0"/>
          <w:sz w:val="19"/>
        </w:rPr>
        <w:t>s</w:t>
      </w:r>
      <w:r w:rsidRPr="008651D0">
        <w:rPr>
          <w:rFonts w:ascii="Book Antiqua" w:hAnsi="Book Antiqua"/>
          <w:b w:val="0"/>
          <w:sz w:val="19"/>
        </w:rPr>
        <w:t>uperannuation</w:t>
      </w:r>
      <w:r w:rsidR="002457FD">
        <w:rPr>
          <w:rFonts w:ascii="Book Antiqua" w:hAnsi="Book Antiqua"/>
          <w:b w:val="0"/>
          <w:sz w:val="19"/>
        </w:rPr>
        <w:t xml:space="preserve"> </w:t>
      </w:r>
      <w:r w:rsidRPr="008651D0">
        <w:rPr>
          <w:rFonts w:ascii="Book Antiqua" w:hAnsi="Book Antiqua"/>
          <w:b w:val="0"/>
          <w:sz w:val="19"/>
        </w:rPr>
        <w:t xml:space="preserve">liabilities. </w:t>
      </w:r>
    </w:p>
    <w:p w14:paraId="75462119" w14:textId="00ABC848" w:rsidR="00E50CB8" w:rsidRPr="001E6F2A" w:rsidRDefault="00E50CB8" w:rsidP="00E50CB8">
      <w:pPr>
        <w:pStyle w:val="Heading4"/>
      </w:pPr>
      <w:r w:rsidRPr="001E6F2A">
        <w:t>Government securities</w:t>
      </w:r>
    </w:p>
    <w:p w14:paraId="1E70A462" w14:textId="3EAEA959" w:rsidR="00E50CB8" w:rsidRPr="001E6F2A" w:rsidRDefault="006077F4" w:rsidP="00E50CB8">
      <w:r w:rsidRPr="006D14FE">
        <w:t xml:space="preserve">Government securities on the Australian </w:t>
      </w:r>
      <w:r w:rsidR="00AD64B4" w:rsidRPr="006D14FE">
        <w:t>Government</w:t>
      </w:r>
      <w:r w:rsidR="00390046">
        <w:t>’</w:t>
      </w:r>
      <w:r w:rsidR="00AD64B4">
        <w:t>s</w:t>
      </w:r>
      <w:r w:rsidRPr="006D14FE">
        <w:t xml:space="preserve"> balance sheet reflect the market value of the Australian Government securities on issue, consistent with external reporting standards. Further detail on the face value of Australian Government securities can be found in Statement 7: </w:t>
      </w:r>
      <w:r w:rsidRPr="00433802">
        <w:rPr>
          <w:rStyle w:val="Emphasis"/>
        </w:rPr>
        <w:t>Debt Statement</w:t>
      </w:r>
      <w:r w:rsidR="00970916" w:rsidRPr="00433802">
        <w:rPr>
          <w:rStyle w:val="Emphasis"/>
        </w:rPr>
        <w:t>.</w:t>
      </w:r>
      <w:r w:rsidR="00970916">
        <w:t xml:space="preserve"> </w:t>
      </w:r>
    </w:p>
    <w:p w14:paraId="75135411" w14:textId="77777777" w:rsidR="00E50CB8" w:rsidRPr="001E6F2A" w:rsidRDefault="00E50CB8" w:rsidP="00E50CB8">
      <w:pPr>
        <w:pStyle w:val="Heading4"/>
      </w:pPr>
      <w:bookmarkStart w:id="6" w:name="_Hlk134008573"/>
      <w:r w:rsidRPr="001E6F2A">
        <w:t>Public sector employee superannuation liabilities</w:t>
      </w:r>
    </w:p>
    <w:p w14:paraId="2FD0846B" w14:textId="42C5485D" w:rsidR="00276E54" w:rsidRPr="00276E54" w:rsidRDefault="00276E54" w:rsidP="00276E54">
      <w:r w:rsidRPr="00FC54BB">
        <w:t xml:space="preserve">Public sector employee superannuation entitlements relating to past and present civilian employees and military personnel are a financial liability on the </w:t>
      </w:r>
      <w:r w:rsidR="00AD64B4" w:rsidRPr="00FC54BB">
        <w:t>Government</w:t>
      </w:r>
      <w:r w:rsidR="00390046">
        <w:t>’</w:t>
      </w:r>
      <w:r w:rsidR="00AD64B4">
        <w:t>s</w:t>
      </w:r>
      <w:r w:rsidRPr="00FC54BB">
        <w:t xml:space="preserve"> balance sheet. Total superannuation liabilities are projected to be </w:t>
      </w:r>
      <w:r w:rsidRPr="0069211F">
        <w:t>$294.</w:t>
      </w:r>
      <w:r w:rsidR="00782B92" w:rsidRPr="0069211F">
        <w:t>7</w:t>
      </w:r>
      <w:r w:rsidRPr="0069211F">
        <w:rPr>
          <w:rFonts w:hint="eastAsia"/>
        </w:rPr>
        <w:t> </w:t>
      </w:r>
      <w:r w:rsidRPr="0069211F">
        <w:t>billion</w:t>
      </w:r>
      <w:r w:rsidRPr="00FC54BB">
        <w:t xml:space="preserve"> at 30 June 2024, </w:t>
      </w:r>
      <w:r w:rsidRPr="0069211F">
        <w:t>$33</w:t>
      </w:r>
      <w:r w:rsidR="00597ACF" w:rsidRPr="0069211F">
        <w:t>2</w:t>
      </w:r>
      <w:r w:rsidRPr="0069211F">
        <w:t>.</w:t>
      </w:r>
      <w:r w:rsidR="00597ACF" w:rsidRPr="0069211F">
        <w:t>7</w:t>
      </w:r>
      <w:r w:rsidRPr="0069211F">
        <w:rPr>
          <w:rFonts w:hint="eastAsia"/>
        </w:rPr>
        <w:t> </w:t>
      </w:r>
      <w:r w:rsidRPr="0069211F">
        <w:t>billion</w:t>
      </w:r>
      <w:r w:rsidRPr="00FC54BB">
        <w:t xml:space="preserve"> at 30 June 2028 and approximately </w:t>
      </w:r>
      <w:r w:rsidRPr="0069211F">
        <w:t>$</w:t>
      </w:r>
      <w:r w:rsidR="00597ACF" w:rsidRPr="0069211F">
        <w:t>506</w:t>
      </w:r>
      <w:r w:rsidRPr="0069211F">
        <w:t>.</w:t>
      </w:r>
      <w:r w:rsidR="00312DE3" w:rsidRPr="0069211F">
        <w:t>2</w:t>
      </w:r>
      <w:r w:rsidRPr="0069211F">
        <w:rPr>
          <w:rFonts w:hint="eastAsia"/>
        </w:rPr>
        <w:t> </w:t>
      </w:r>
      <w:r w:rsidRPr="0069211F">
        <w:t>billion at 30 June 2060</w:t>
      </w:r>
      <w:r w:rsidRPr="00FC54BB">
        <w:t>.</w:t>
      </w:r>
    </w:p>
    <w:p w14:paraId="06B5E6EC" w14:textId="6B5BB64F" w:rsidR="00270BFF" w:rsidRPr="00270BFF" w:rsidRDefault="00270BFF" w:rsidP="00270BFF">
      <w:pPr>
        <w:keepLines/>
      </w:pPr>
      <w:r w:rsidRPr="00270BFF">
        <w:lastRenderedPageBreak/>
        <w:t>These liabilities represent the present value of future unfunded superannuation benefits relating to past and present employees and are based on an actuarially determined discount rate. The long</w:t>
      </w:r>
      <w:r w:rsidR="00BD0752">
        <w:t>-</w:t>
      </w:r>
      <w:r w:rsidRPr="00270BFF">
        <w:t>term nature of the unfunded superannuation liabilities requires the use of a discount rate that best matches the duration of the liabilities. The use of a long</w:t>
      </w:r>
      <w:r w:rsidR="00BD0752">
        <w:t>-</w:t>
      </w:r>
      <w:r w:rsidRPr="00270BFF">
        <w:t>term discount rate for budget purposes avoids the volatility that would occur by using current market yields on Government bonds. The value recorded on the balance sheet is highly sensitive to the discount rate used.</w:t>
      </w:r>
    </w:p>
    <w:p w14:paraId="2133614E" w14:textId="77777777" w:rsidR="00E50CB8" w:rsidRPr="001E6F2A" w:rsidRDefault="00E50CB8" w:rsidP="00E50CB8">
      <w:r w:rsidRPr="001E6F2A">
        <w:t>In preparing the latest Long Term Cost Reports for the civilian and military schemes, the scheme actuaries determined that a discount rate of 5.0 per cent should be applied.</w:t>
      </w:r>
    </w:p>
    <w:p w14:paraId="4B28BF7F" w14:textId="416EEF8B" w:rsidR="00E50CB8" w:rsidRPr="001E6F2A" w:rsidRDefault="00E50CB8" w:rsidP="00E50CB8">
      <w:r w:rsidRPr="001E6F2A">
        <w:t xml:space="preserve">The Australian Government has never fully funded its defined benefit scheme superannuation liabilities. However, the Future Fund was established in 2006 to help finance the </w:t>
      </w:r>
      <w:r w:rsidR="00541D3B" w:rsidRPr="001E6F2A">
        <w:t>Government</w:t>
      </w:r>
      <w:r w:rsidR="00390046">
        <w:t>’</w:t>
      </w:r>
      <w:r w:rsidR="00541D3B">
        <w:t>s</w:t>
      </w:r>
      <w:r w:rsidRPr="001E6F2A">
        <w:t xml:space="preserve"> unfunded superannuation liabilities.</w:t>
      </w:r>
    </w:p>
    <w:p w14:paraId="75473846" w14:textId="77777777" w:rsidR="00E50CB8" w:rsidRPr="001E6F2A" w:rsidRDefault="00E50CB8" w:rsidP="00E50CB8">
      <w:r w:rsidRPr="001E6F2A">
        <w:t>For civilian employees, the major defined benefit schemes are the Commonwealth Superannuation Scheme and the Public Sector Superannuation Scheme. These schemes were closed to new members in 1990 and 2005 respectively. The Public Sector Superannuation Accumulation Plan was introduced on 1 July 2005 and provides fully funded accumulation benefits for new civilian employees from that date.</w:t>
      </w:r>
    </w:p>
    <w:p w14:paraId="4846C260" w14:textId="77777777" w:rsidR="00E50CB8" w:rsidRPr="001E6F2A" w:rsidRDefault="00E50CB8" w:rsidP="00E50CB8">
      <w:r w:rsidRPr="001E6F2A">
        <w:t>For military personnel, the defined benefit schemes are the Defence Force Retirement and Death Benefits Scheme, the Defence Forces Retirement Benefits Scheme and the Military Superannuation and Benefits Scheme (MSBS). Following the closure of the MSBS on 30 June 2016, all defined benefit military schemes are now closed to new members. A new military superannuation accumulation scheme, Australian Defence Force (ADF) Super, commenced on 1 July 2016. ADF Super is accompanied by a statutory death and disability arrangement ADF cover.</w:t>
      </w:r>
    </w:p>
    <w:p w14:paraId="4B4BD65A" w14:textId="080D8951" w:rsidR="0040127B" w:rsidRPr="0040127B" w:rsidRDefault="0040127B" w:rsidP="0040127B">
      <w:r w:rsidRPr="0040127B">
        <w:t xml:space="preserve">While there have not been any new members to the public service and military defined benefit schemes since closure in 2005 and 2016 respectively, </w:t>
      </w:r>
      <w:r w:rsidRPr="001B3E0B">
        <w:t xml:space="preserve">the </w:t>
      </w:r>
      <w:r w:rsidR="00541D3B" w:rsidRPr="001B3E0B">
        <w:t>Government</w:t>
      </w:r>
      <w:r w:rsidR="00390046">
        <w:t>’</w:t>
      </w:r>
      <w:r w:rsidR="00541D3B">
        <w:t>s</w:t>
      </w:r>
      <w:r w:rsidRPr="001B3E0B">
        <w:t xml:space="preserve"> unfunded superannuation liabilities are expected to grow as current members continue to accrue benefits prior to retirement</w:t>
      </w:r>
      <w:r w:rsidRPr="003B3DF4">
        <w:t xml:space="preserve">. </w:t>
      </w:r>
      <w:r w:rsidR="00D72507" w:rsidRPr="00D72507">
        <w:t xml:space="preserve">Consistent with the 2020 Long-Term Cost Reports, the  unfunded liability for public service defined benefit schemes is projected to peak in the mid 2030’s, whilst the unfunded liability for military defined benefit schemes is projected to continue to increase over time to 2060. </w:t>
      </w:r>
      <w:r w:rsidRPr="0040127B" w:rsidDel="0091171E">
        <w:t>The present value of the superannuation liability is also sensitive to changes in the discount</w:t>
      </w:r>
      <w:r w:rsidR="00342AC0">
        <w:t> </w:t>
      </w:r>
      <w:r w:rsidRPr="0040127B" w:rsidDel="0091171E">
        <w:t>rate.</w:t>
      </w:r>
    </w:p>
    <w:p w14:paraId="3A5E54E9" w14:textId="6D375557" w:rsidR="00E50CB8" w:rsidRPr="001E6F2A" w:rsidRDefault="00E50CB8" w:rsidP="00E50CB8">
      <w:r w:rsidRPr="001E6F2A">
        <w:t xml:space="preserve">As the superannuation liabilities are included in the </w:t>
      </w:r>
      <w:r w:rsidR="00541D3B" w:rsidRPr="001E6F2A">
        <w:t>Government</w:t>
      </w:r>
      <w:r w:rsidR="00390046">
        <w:t>’</w:t>
      </w:r>
      <w:r w:rsidR="00541D3B">
        <w:t>s</w:t>
      </w:r>
      <w:r w:rsidRPr="001E6F2A">
        <w:t xml:space="preserve"> net worth and net financial worth aggregates, revaluations of the liabilities have an impact on these aggregates.</w:t>
      </w:r>
    </w:p>
    <w:p w14:paraId="772785AE" w14:textId="77777777" w:rsidR="0082788E" w:rsidRDefault="0082788E">
      <w:pPr>
        <w:spacing w:before="0" w:after="160" w:line="259" w:lineRule="auto"/>
      </w:pPr>
      <w:r>
        <w:br w:type="page"/>
      </w:r>
    </w:p>
    <w:p w14:paraId="4FEC476F" w14:textId="6CEA7A87" w:rsidR="00E50CB8" w:rsidRPr="00D25422" w:rsidRDefault="00E50CB8" w:rsidP="00E50CB8">
      <w:r w:rsidRPr="00D25422">
        <w:lastRenderedPageBreak/>
        <w:t>The value of superannuation liabilities by scheme is provided in Table 1</w:t>
      </w:r>
      <w:r w:rsidR="00B00568" w:rsidRPr="00D25422">
        <w:t>0</w:t>
      </w:r>
      <w:r w:rsidRPr="00D25422">
        <w:t xml:space="preserve">B.3 below. </w:t>
      </w:r>
    </w:p>
    <w:p w14:paraId="367D5088" w14:textId="237F0027" w:rsidR="00E50CB8" w:rsidRPr="001E6F2A" w:rsidRDefault="00E50CB8" w:rsidP="00E50CB8">
      <w:pPr>
        <w:pStyle w:val="TableHeading"/>
        <w:rPr>
          <w:rFonts w:asciiTheme="minorHAnsi" w:eastAsiaTheme="minorHAnsi" w:hAnsiTheme="minorHAnsi" w:cstheme="minorBidi"/>
          <w:sz w:val="22"/>
          <w:szCs w:val="22"/>
          <w:lang w:eastAsia="en-US"/>
        </w:rPr>
      </w:pPr>
      <w:r w:rsidRPr="00D25422">
        <w:t>Table 1</w:t>
      </w:r>
      <w:r w:rsidR="00DC0C1A" w:rsidRPr="00D25422">
        <w:t>0</w:t>
      </w:r>
      <w:r w:rsidRPr="00D25422">
        <w:t>B.3: Superannuation liabilities by scheme</w:t>
      </w:r>
    </w:p>
    <w:tbl>
      <w:tblPr>
        <w:tblW w:w="7711" w:type="dxa"/>
        <w:tblCellMar>
          <w:left w:w="0" w:type="dxa"/>
          <w:right w:w="28" w:type="dxa"/>
        </w:tblCellMar>
        <w:tblLook w:val="04A0" w:firstRow="1" w:lastRow="0" w:firstColumn="1" w:lastColumn="0" w:noHBand="0" w:noVBand="1"/>
      </w:tblPr>
      <w:tblGrid>
        <w:gridCol w:w="3861"/>
        <w:gridCol w:w="770"/>
        <w:gridCol w:w="770"/>
        <w:gridCol w:w="770"/>
        <w:gridCol w:w="770"/>
        <w:gridCol w:w="770"/>
      </w:tblGrid>
      <w:tr w:rsidR="001E6F2A" w:rsidRPr="001E6F2A" w14:paraId="021998C6" w14:textId="77777777" w:rsidTr="00976371">
        <w:trPr>
          <w:trHeight w:val="250"/>
        </w:trPr>
        <w:tc>
          <w:tcPr>
            <w:tcW w:w="0" w:type="auto"/>
            <w:tcBorders>
              <w:top w:val="single" w:sz="4" w:space="0" w:color="293F5B"/>
              <w:left w:val="nil"/>
              <w:bottom w:val="nil"/>
              <w:right w:val="nil"/>
            </w:tcBorders>
            <w:shd w:val="clear" w:color="000000" w:fill="FFFFFF"/>
            <w:vAlign w:val="center"/>
            <w:hideMark/>
          </w:tcPr>
          <w:p w14:paraId="008737C5" w14:textId="77777777" w:rsidR="00E50CB8" w:rsidRPr="001E6F2A" w:rsidRDefault="00E50CB8">
            <w:pPr>
              <w:spacing w:before="0" w:after="0" w:line="240" w:lineRule="auto"/>
              <w:jc w:val="right"/>
              <w:rPr>
                <w:rFonts w:ascii="Arial" w:hAnsi="Arial" w:cs="Arial"/>
                <w:sz w:val="16"/>
                <w:szCs w:val="16"/>
              </w:rPr>
            </w:pPr>
            <w:r w:rsidRPr="001E6F2A">
              <w:rPr>
                <w:rFonts w:ascii="Arial" w:hAnsi="Arial" w:cs="Arial"/>
                <w:sz w:val="16"/>
                <w:szCs w:val="16"/>
              </w:rPr>
              <w:t> </w:t>
            </w:r>
          </w:p>
        </w:tc>
        <w:tc>
          <w:tcPr>
            <w:tcW w:w="0" w:type="auto"/>
            <w:gridSpan w:val="5"/>
            <w:tcBorders>
              <w:top w:val="single" w:sz="4" w:space="0" w:color="293F5B"/>
              <w:left w:val="nil"/>
              <w:bottom w:val="single" w:sz="4" w:space="0" w:color="000000"/>
              <w:right w:val="nil"/>
            </w:tcBorders>
            <w:shd w:val="clear" w:color="000000" w:fill="FFFFFF"/>
            <w:vAlign w:val="center"/>
            <w:hideMark/>
          </w:tcPr>
          <w:p w14:paraId="5E73232F" w14:textId="77777777" w:rsidR="00E50CB8" w:rsidRPr="001E6F2A" w:rsidRDefault="00E50CB8" w:rsidP="002347AA">
            <w:pPr>
              <w:pStyle w:val="TableTextCentred"/>
            </w:pPr>
            <w:r w:rsidRPr="001E6F2A">
              <w:t>Estimates</w:t>
            </w:r>
          </w:p>
        </w:tc>
      </w:tr>
      <w:tr w:rsidR="001E6F2A" w:rsidRPr="001E6F2A" w14:paraId="0DDDECBF" w14:textId="77777777" w:rsidTr="00976371">
        <w:trPr>
          <w:trHeight w:val="250"/>
        </w:trPr>
        <w:tc>
          <w:tcPr>
            <w:tcW w:w="0" w:type="auto"/>
            <w:tcBorders>
              <w:top w:val="nil"/>
              <w:left w:val="nil"/>
              <w:bottom w:val="nil"/>
              <w:right w:val="nil"/>
            </w:tcBorders>
            <w:shd w:val="clear" w:color="000000" w:fill="FFFFFF"/>
            <w:vAlign w:val="center"/>
            <w:hideMark/>
          </w:tcPr>
          <w:p w14:paraId="2B068294" w14:textId="77777777" w:rsidR="00E50CB8" w:rsidRPr="001E6F2A" w:rsidRDefault="00E50CB8">
            <w:pPr>
              <w:spacing w:before="0" w:after="0" w:line="240" w:lineRule="auto"/>
              <w:rPr>
                <w:rFonts w:ascii="Arial" w:hAnsi="Arial" w:cs="Arial"/>
                <w:sz w:val="16"/>
                <w:szCs w:val="16"/>
              </w:rPr>
            </w:pPr>
            <w:r w:rsidRPr="001E6F2A">
              <w:rPr>
                <w:rFonts w:ascii="Arial" w:hAnsi="Arial" w:cs="Arial"/>
                <w:sz w:val="16"/>
                <w:szCs w:val="16"/>
              </w:rPr>
              <w:t>  </w:t>
            </w:r>
          </w:p>
        </w:tc>
        <w:tc>
          <w:tcPr>
            <w:tcW w:w="0" w:type="auto"/>
            <w:tcBorders>
              <w:top w:val="nil"/>
              <w:left w:val="nil"/>
              <w:bottom w:val="nil"/>
              <w:right w:val="nil"/>
            </w:tcBorders>
            <w:shd w:val="clear" w:color="000000" w:fill="FFFFFF"/>
            <w:vAlign w:val="center"/>
            <w:hideMark/>
          </w:tcPr>
          <w:p w14:paraId="33CC2669" w14:textId="69CE6BE1" w:rsidR="00E50CB8" w:rsidRPr="001E6F2A" w:rsidRDefault="000D36C8" w:rsidP="002347AA">
            <w:pPr>
              <w:pStyle w:val="TableTextRight"/>
            </w:pPr>
            <w:r w:rsidRPr="001E6F2A">
              <w:t>2023</w:t>
            </w:r>
            <w:r w:rsidR="00390046">
              <w:noBreakHyphen/>
            </w:r>
            <w:r w:rsidRPr="001E6F2A">
              <w:t>24 </w:t>
            </w:r>
          </w:p>
        </w:tc>
        <w:tc>
          <w:tcPr>
            <w:tcW w:w="0" w:type="auto"/>
            <w:tcBorders>
              <w:top w:val="nil"/>
              <w:left w:val="nil"/>
              <w:bottom w:val="nil"/>
              <w:right w:val="nil"/>
            </w:tcBorders>
            <w:shd w:val="clear" w:color="000000" w:fill="E6F2FF"/>
            <w:vAlign w:val="center"/>
            <w:hideMark/>
          </w:tcPr>
          <w:p w14:paraId="39EA4EEE" w14:textId="2F0D881B" w:rsidR="00E50CB8" w:rsidRPr="001E6F2A" w:rsidRDefault="000D36C8" w:rsidP="002347AA">
            <w:pPr>
              <w:pStyle w:val="TableTextRight"/>
            </w:pPr>
            <w:r w:rsidRPr="001E6F2A">
              <w:t>2024</w:t>
            </w:r>
            <w:r w:rsidR="00390046">
              <w:noBreakHyphen/>
            </w:r>
            <w:r w:rsidRPr="001E6F2A">
              <w:t>25 </w:t>
            </w:r>
          </w:p>
        </w:tc>
        <w:tc>
          <w:tcPr>
            <w:tcW w:w="0" w:type="auto"/>
            <w:tcBorders>
              <w:top w:val="nil"/>
              <w:left w:val="nil"/>
              <w:bottom w:val="nil"/>
              <w:right w:val="nil"/>
            </w:tcBorders>
            <w:shd w:val="clear" w:color="000000" w:fill="FFFFFF"/>
            <w:vAlign w:val="center"/>
            <w:hideMark/>
          </w:tcPr>
          <w:p w14:paraId="6CE2D08F" w14:textId="352B46D5" w:rsidR="00E50CB8" w:rsidRPr="001E6F2A" w:rsidRDefault="000D36C8" w:rsidP="002347AA">
            <w:pPr>
              <w:pStyle w:val="TableTextRight"/>
            </w:pPr>
            <w:r w:rsidRPr="001E6F2A">
              <w:t>2025</w:t>
            </w:r>
            <w:r w:rsidR="00390046">
              <w:noBreakHyphen/>
            </w:r>
            <w:r w:rsidRPr="001E6F2A">
              <w:t>26 </w:t>
            </w:r>
          </w:p>
        </w:tc>
        <w:tc>
          <w:tcPr>
            <w:tcW w:w="0" w:type="auto"/>
            <w:tcBorders>
              <w:top w:val="nil"/>
              <w:left w:val="nil"/>
              <w:bottom w:val="nil"/>
              <w:right w:val="nil"/>
            </w:tcBorders>
            <w:shd w:val="clear" w:color="000000" w:fill="FFFFFF"/>
            <w:vAlign w:val="center"/>
            <w:hideMark/>
          </w:tcPr>
          <w:p w14:paraId="5467DE75" w14:textId="584916BE" w:rsidR="00E50CB8" w:rsidRPr="001E6F2A" w:rsidRDefault="000D36C8" w:rsidP="002347AA">
            <w:pPr>
              <w:pStyle w:val="TableTextRight"/>
            </w:pPr>
            <w:r w:rsidRPr="001E6F2A">
              <w:t>2026</w:t>
            </w:r>
            <w:r w:rsidR="00390046">
              <w:noBreakHyphen/>
            </w:r>
            <w:r w:rsidRPr="001E6F2A">
              <w:t>27 </w:t>
            </w:r>
          </w:p>
        </w:tc>
        <w:tc>
          <w:tcPr>
            <w:tcW w:w="0" w:type="auto"/>
            <w:tcBorders>
              <w:top w:val="nil"/>
              <w:left w:val="nil"/>
              <w:bottom w:val="nil"/>
              <w:right w:val="nil"/>
            </w:tcBorders>
            <w:shd w:val="clear" w:color="000000" w:fill="FFFFFF"/>
            <w:vAlign w:val="center"/>
            <w:hideMark/>
          </w:tcPr>
          <w:p w14:paraId="2FCE068C" w14:textId="06FA6E2A" w:rsidR="00E50CB8" w:rsidRPr="001E6F2A" w:rsidRDefault="000D36C8" w:rsidP="002347AA">
            <w:pPr>
              <w:pStyle w:val="TableTextRight"/>
            </w:pPr>
            <w:r w:rsidRPr="001E6F2A">
              <w:t>2027</w:t>
            </w:r>
            <w:r w:rsidR="00390046">
              <w:noBreakHyphen/>
            </w:r>
            <w:r w:rsidRPr="001E6F2A">
              <w:t>28</w:t>
            </w:r>
            <w:r w:rsidR="00E50CB8" w:rsidRPr="001E6F2A">
              <w:t> </w:t>
            </w:r>
          </w:p>
        </w:tc>
      </w:tr>
      <w:tr w:rsidR="001E6F2A" w:rsidRPr="001E6F2A" w14:paraId="1ED708D3" w14:textId="77777777" w:rsidTr="00976371">
        <w:trPr>
          <w:trHeight w:val="250"/>
        </w:trPr>
        <w:tc>
          <w:tcPr>
            <w:tcW w:w="0" w:type="auto"/>
            <w:tcBorders>
              <w:top w:val="nil"/>
              <w:left w:val="nil"/>
              <w:bottom w:val="nil"/>
              <w:right w:val="nil"/>
            </w:tcBorders>
            <w:shd w:val="clear" w:color="000000" w:fill="FFFFFF"/>
            <w:vAlign w:val="center"/>
            <w:hideMark/>
          </w:tcPr>
          <w:p w14:paraId="15D02498" w14:textId="77777777" w:rsidR="00E50CB8" w:rsidRPr="001E6F2A" w:rsidRDefault="00E50CB8">
            <w:pPr>
              <w:spacing w:before="0" w:after="0" w:line="240" w:lineRule="auto"/>
              <w:rPr>
                <w:rFonts w:ascii="Arial" w:hAnsi="Arial" w:cs="Arial"/>
                <w:sz w:val="16"/>
                <w:szCs w:val="16"/>
              </w:rPr>
            </w:pPr>
            <w:r w:rsidRPr="001E6F2A">
              <w:rPr>
                <w:rFonts w:ascii="Arial" w:hAnsi="Arial" w:cs="Arial"/>
                <w:sz w:val="16"/>
                <w:szCs w:val="16"/>
              </w:rPr>
              <w:t>  </w:t>
            </w:r>
          </w:p>
        </w:tc>
        <w:tc>
          <w:tcPr>
            <w:tcW w:w="0" w:type="auto"/>
            <w:tcBorders>
              <w:top w:val="nil"/>
              <w:left w:val="nil"/>
              <w:bottom w:val="single" w:sz="4" w:space="0" w:color="000000"/>
              <w:right w:val="nil"/>
            </w:tcBorders>
            <w:shd w:val="clear" w:color="000000" w:fill="FFFFFF"/>
            <w:vAlign w:val="center"/>
            <w:hideMark/>
          </w:tcPr>
          <w:p w14:paraId="6D18A073" w14:textId="6DB0BC00" w:rsidR="00E50CB8" w:rsidRPr="001E6F2A" w:rsidRDefault="000D36C8" w:rsidP="002347AA">
            <w:pPr>
              <w:pStyle w:val="TableTextRight"/>
            </w:pPr>
            <w:r w:rsidRPr="001E6F2A">
              <w:t>$m </w:t>
            </w:r>
          </w:p>
        </w:tc>
        <w:tc>
          <w:tcPr>
            <w:tcW w:w="0" w:type="auto"/>
            <w:tcBorders>
              <w:top w:val="nil"/>
              <w:left w:val="nil"/>
              <w:bottom w:val="single" w:sz="4" w:space="0" w:color="000000"/>
              <w:right w:val="nil"/>
            </w:tcBorders>
            <w:shd w:val="clear" w:color="000000" w:fill="E6F2FF"/>
            <w:vAlign w:val="bottom"/>
            <w:hideMark/>
          </w:tcPr>
          <w:p w14:paraId="64D055AF" w14:textId="302950A0" w:rsidR="00E50CB8" w:rsidRPr="001E6F2A" w:rsidRDefault="000D36C8" w:rsidP="002347AA">
            <w:pPr>
              <w:pStyle w:val="TableTextRight"/>
            </w:pPr>
            <w:r w:rsidRPr="001E6F2A">
              <w:t>$m </w:t>
            </w:r>
          </w:p>
        </w:tc>
        <w:tc>
          <w:tcPr>
            <w:tcW w:w="0" w:type="auto"/>
            <w:tcBorders>
              <w:top w:val="nil"/>
              <w:left w:val="nil"/>
              <w:bottom w:val="single" w:sz="4" w:space="0" w:color="000000"/>
              <w:right w:val="nil"/>
            </w:tcBorders>
            <w:shd w:val="clear" w:color="000000" w:fill="FFFFFF"/>
            <w:noWrap/>
            <w:vAlign w:val="bottom"/>
            <w:hideMark/>
          </w:tcPr>
          <w:p w14:paraId="277408CC" w14:textId="3C06D115" w:rsidR="00E50CB8" w:rsidRPr="001E6F2A" w:rsidRDefault="000D36C8" w:rsidP="002347AA">
            <w:pPr>
              <w:pStyle w:val="TableTextRight"/>
            </w:pPr>
            <w:r w:rsidRPr="001E6F2A">
              <w:t>$m </w:t>
            </w:r>
          </w:p>
        </w:tc>
        <w:tc>
          <w:tcPr>
            <w:tcW w:w="0" w:type="auto"/>
            <w:tcBorders>
              <w:top w:val="nil"/>
              <w:left w:val="nil"/>
              <w:bottom w:val="single" w:sz="4" w:space="0" w:color="000000"/>
              <w:right w:val="nil"/>
            </w:tcBorders>
            <w:shd w:val="clear" w:color="000000" w:fill="FFFFFF"/>
            <w:noWrap/>
            <w:vAlign w:val="bottom"/>
            <w:hideMark/>
          </w:tcPr>
          <w:p w14:paraId="29823501" w14:textId="6C8FECFD" w:rsidR="00E50CB8" w:rsidRPr="001E6F2A" w:rsidRDefault="000D36C8" w:rsidP="002347AA">
            <w:pPr>
              <w:pStyle w:val="TableTextRight"/>
            </w:pPr>
            <w:r w:rsidRPr="001E6F2A">
              <w:t>$m </w:t>
            </w:r>
          </w:p>
        </w:tc>
        <w:tc>
          <w:tcPr>
            <w:tcW w:w="0" w:type="auto"/>
            <w:tcBorders>
              <w:top w:val="nil"/>
              <w:left w:val="nil"/>
              <w:bottom w:val="single" w:sz="4" w:space="0" w:color="000000"/>
              <w:right w:val="nil"/>
            </w:tcBorders>
            <w:shd w:val="clear" w:color="000000" w:fill="FFFFFF"/>
            <w:noWrap/>
            <w:vAlign w:val="bottom"/>
            <w:hideMark/>
          </w:tcPr>
          <w:p w14:paraId="0338385D" w14:textId="77777777" w:rsidR="00E50CB8" w:rsidRPr="001E6F2A" w:rsidRDefault="00E50CB8" w:rsidP="002347AA">
            <w:pPr>
              <w:pStyle w:val="TableTextRight"/>
            </w:pPr>
            <w:r w:rsidRPr="001E6F2A">
              <w:t>$m </w:t>
            </w:r>
          </w:p>
        </w:tc>
      </w:tr>
      <w:tr w:rsidR="001E6F2A" w:rsidRPr="00D036D9" w14:paraId="38C4F2B2" w14:textId="77777777" w:rsidTr="00976371">
        <w:trPr>
          <w:trHeight w:val="250"/>
        </w:trPr>
        <w:tc>
          <w:tcPr>
            <w:tcW w:w="0" w:type="auto"/>
            <w:tcBorders>
              <w:top w:val="nil"/>
              <w:left w:val="nil"/>
              <w:bottom w:val="nil"/>
              <w:right w:val="nil"/>
            </w:tcBorders>
            <w:shd w:val="clear" w:color="000000" w:fill="FFFFFF"/>
            <w:vAlign w:val="center"/>
            <w:hideMark/>
          </w:tcPr>
          <w:p w14:paraId="3A7A539B" w14:textId="078B4D59" w:rsidR="00E50CB8" w:rsidRPr="00D036D9" w:rsidRDefault="00E50CB8" w:rsidP="009E69C8">
            <w:pPr>
              <w:pStyle w:val="TableTextLeft"/>
              <w:rPr>
                <w:rFonts w:cs="Arial"/>
                <w:i/>
                <w:iCs/>
                <w:szCs w:val="16"/>
              </w:rPr>
            </w:pPr>
            <w:r w:rsidRPr="00D036D9">
              <w:t>Civilian superannuation sche</w:t>
            </w:r>
            <w:r w:rsidRPr="00D569B5">
              <w:rPr>
                <w:rFonts w:cs="Arial"/>
                <w:szCs w:val="16"/>
              </w:rPr>
              <w:t>mes</w:t>
            </w:r>
            <w:r w:rsidRPr="00D036D9">
              <w:rPr>
                <w:rFonts w:cs="Arial"/>
                <w:i/>
                <w:iCs/>
                <w:szCs w:val="16"/>
              </w:rPr>
              <w:t> </w:t>
            </w:r>
          </w:p>
        </w:tc>
        <w:tc>
          <w:tcPr>
            <w:tcW w:w="0" w:type="auto"/>
            <w:tcBorders>
              <w:top w:val="nil"/>
              <w:left w:val="nil"/>
              <w:bottom w:val="nil"/>
              <w:right w:val="nil"/>
            </w:tcBorders>
            <w:shd w:val="clear" w:color="000000" w:fill="FFFFFF"/>
            <w:vAlign w:val="center"/>
            <w:hideMark/>
          </w:tcPr>
          <w:p w14:paraId="01E640B2" w14:textId="77777777" w:rsidR="00E50CB8" w:rsidRPr="00D036D9" w:rsidRDefault="00E50CB8" w:rsidP="002347AA">
            <w:pPr>
              <w:pStyle w:val="TableTextRight"/>
            </w:pPr>
            <w:r w:rsidRPr="00D036D9">
              <w:t> </w:t>
            </w:r>
          </w:p>
        </w:tc>
        <w:tc>
          <w:tcPr>
            <w:tcW w:w="0" w:type="auto"/>
            <w:tcBorders>
              <w:top w:val="nil"/>
              <w:left w:val="nil"/>
              <w:bottom w:val="nil"/>
              <w:right w:val="nil"/>
            </w:tcBorders>
            <w:shd w:val="clear" w:color="000000" w:fill="E6F2FF"/>
            <w:vAlign w:val="center"/>
            <w:hideMark/>
          </w:tcPr>
          <w:p w14:paraId="794CA8E7" w14:textId="77777777" w:rsidR="00E50CB8" w:rsidRPr="00D036D9" w:rsidRDefault="00E50CB8" w:rsidP="002347AA">
            <w:pPr>
              <w:pStyle w:val="TableTextRight"/>
            </w:pPr>
            <w:r w:rsidRPr="00D036D9">
              <w:t> </w:t>
            </w:r>
          </w:p>
        </w:tc>
        <w:tc>
          <w:tcPr>
            <w:tcW w:w="0" w:type="auto"/>
            <w:tcBorders>
              <w:top w:val="nil"/>
              <w:left w:val="nil"/>
              <w:bottom w:val="nil"/>
              <w:right w:val="nil"/>
            </w:tcBorders>
            <w:shd w:val="clear" w:color="000000" w:fill="FFFFFF"/>
            <w:vAlign w:val="center"/>
            <w:hideMark/>
          </w:tcPr>
          <w:p w14:paraId="0CF8A7A0" w14:textId="77777777" w:rsidR="00E50CB8" w:rsidRPr="00D036D9" w:rsidRDefault="00E50CB8" w:rsidP="002347AA">
            <w:pPr>
              <w:pStyle w:val="TableTextRight"/>
            </w:pPr>
            <w:r w:rsidRPr="00D036D9">
              <w:t> </w:t>
            </w:r>
          </w:p>
        </w:tc>
        <w:tc>
          <w:tcPr>
            <w:tcW w:w="0" w:type="auto"/>
            <w:tcBorders>
              <w:top w:val="nil"/>
              <w:left w:val="nil"/>
              <w:bottom w:val="nil"/>
              <w:right w:val="nil"/>
            </w:tcBorders>
            <w:shd w:val="clear" w:color="000000" w:fill="FFFFFF"/>
            <w:vAlign w:val="center"/>
            <w:hideMark/>
          </w:tcPr>
          <w:p w14:paraId="3A43595A" w14:textId="77777777" w:rsidR="00E50CB8" w:rsidRPr="00D036D9" w:rsidRDefault="00E50CB8" w:rsidP="002347AA">
            <w:pPr>
              <w:pStyle w:val="TableTextRight"/>
            </w:pPr>
            <w:r w:rsidRPr="00D036D9">
              <w:t> </w:t>
            </w:r>
          </w:p>
        </w:tc>
        <w:tc>
          <w:tcPr>
            <w:tcW w:w="0" w:type="auto"/>
            <w:tcBorders>
              <w:top w:val="nil"/>
              <w:left w:val="nil"/>
              <w:bottom w:val="nil"/>
              <w:right w:val="nil"/>
            </w:tcBorders>
            <w:shd w:val="clear" w:color="000000" w:fill="FFFFFF"/>
            <w:vAlign w:val="center"/>
            <w:hideMark/>
          </w:tcPr>
          <w:p w14:paraId="44C79C53" w14:textId="77777777" w:rsidR="00E50CB8" w:rsidRPr="00D036D9" w:rsidRDefault="00E50CB8" w:rsidP="002347AA">
            <w:pPr>
              <w:pStyle w:val="TableTextRight"/>
            </w:pPr>
            <w:r w:rsidRPr="00D036D9">
              <w:t> </w:t>
            </w:r>
          </w:p>
        </w:tc>
      </w:tr>
      <w:tr w:rsidR="00014082" w:rsidRPr="00D036D9" w14:paraId="16F0DBFF" w14:textId="77777777" w:rsidTr="00976371">
        <w:trPr>
          <w:trHeight w:val="250"/>
        </w:trPr>
        <w:tc>
          <w:tcPr>
            <w:tcW w:w="0" w:type="auto"/>
            <w:tcBorders>
              <w:top w:val="nil"/>
              <w:left w:val="nil"/>
              <w:bottom w:val="nil"/>
              <w:right w:val="nil"/>
            </w:tcBorders>
            <w:shd w:val="clear" w:color="000000" w:fill="FFFFFF"/>
            <w:vAlign w:val="bottom"/>
            <w:hideMark/>
          </w:tcPr>
          <w:p w14:paraId="769F68A2" w14:textId="77777777" w:rsidR="00014082" w:rsidRPr="00D036D9" w:rsidRDefault="00014082" w:rsidP="009E69C8">
            <w:pPr>
              <w:pStyle w:val="TableTextLeft"/>
            </w:pPr>
            <w:r w:rsidRPr="00D036D9">
              <w:t>Commonwealth Superannuation Scheme</w:t>
            </w:r>
          </w:p>
        </w:tc>
        <w:tc>
          <w:tcPr>
            <w:tcW w:w="0" w:type="auto"/>
            <w:tcBorders>
              <w:top w:val="nil"/>
              <w:left w:val="nil"/>
              <w:bottom w:val="nil"/>
              <w:right w:val="nil"/>
            </w:tcBorders>
            <w:shd w:val="clear" w:color="000000" w:fill="FFFFFF"/>
            <w:vAlign w:val="bottom"/>
            <w:hideMark/>
          </w:tcPr>
          <w:p w14:paraId="5C7E041D" w14:textId="5362F97F" w:rsidR="00014082" w:rsidRPr="0069211F" w:rsidRDefault="00014082" w:rsidP="002347AA">
            <w:pPr>
              <w:pStyle w:val="TableTextRight"/>
            </w:pPr>
            <w:r w:rsidRPr="0069211F">
              <w:t>62,612</w:t>
            </w:r>
          </w:p>
        </w:tc>
        <w:tc>
          <w:tcPr>
            <w:tcW w:w="0" w:type="auto"/>
            <w:tcBorders>
              <w:top w:val="nil"/>
              <w:left w:val="nil"/>
              <w:bottom w:val="nil"/>
              <w:right w:val="nil"/>
            </w:tcBorders>
            <w:shd w:val="clear" w:color="000000" w:fill="E6F2FF"/>
            <w:vAlign w:val="bottom"/>
            <w:hideMark/>
          </w:tcPr>
          <w:p w14:paraId="6970B0B6" w14:textId="0195338F" w:rsidR="00014082" w:rsidRPr="0069211F" w:rsidRDefault="00014082" w:rsidP="002347AA">
            <w:pPr>
              <w:pStyle w:val="TableTextRight"/>
            </w:pPr>
            <w:r w:rsidRPr="0069211F">
              <w:t>61,099</w:t>
            </w:r>
          </w:p>
        </w:tc>
        <w:tc>
          <w:tcPr>
            <w:tcW w:w="0" w:type="auto"/>
            <w:tcBorders>
              <w:top w:val="nil"/>
              <w:left w:val="nil"/>
              <w:bottom w:val="nil"/>
              <w:right w:val="nil"/>
            </w:tcBorders>
            <w:shd w:val="clear" w:color="000000" w:fill="FFFFFF"/>
            <w:vAlign w:val="bottom"/>
            <w:hideMark/>
          </w:tcPr>
          <w:p w14:paraId="233830B4" w14:textId="78469A00" w:rsidR="00014082" w:rsidRPr="0069211F" w:rsidRDefault="00014082" w:rsidP="002347AA">
            <w:pPr>
              <w:pStyle w:val="TableTextRight"/>
            </w:pPr>
            <w:r w:rsidRPr="0069211F">
              <w:t>59,489</w:t>
            </w:r>
          </w:p>
        </w:tc>
        <w:tc>
          <w:tcPr>
            <w:tcW w:w="0" w:type="auto"/>
            <w:tcBorders>
              <w:top w:val="nil"/>
              <w:left w:val="nil"/>
              <w:bottom w:val="nil"/>
              <w:right w:val="nil"/>
            </w:tcBorders>
            <w:shd w:val="clear" w:color="000000" w:fill="FFFFFF"/>
            <w:vAlign w:val="bottom"/>
            <w:hideMark/>
          </w:tcPr>
          <w:p w14:paraId="3DB12329" w14:textId="53197930" w:rsidR="00014082" w:rsidRPr="0069211F" w:rsidRDefault="00014082" w:rsidP="002347AA">
            <w:pPr>
              <w:pStyle w:val="TableTextRight"/>
            </w:pPr>
            <w:r w:rsidRPr="0069211F">
              <w:t>57,787</w:t>
            </w:r>
          </w:p>
        </w:tc>
        <w:tc>
          <w:tcPr>
            <w:tcW w:w="0" w:type="auto"/>
            <w:tcBorders>
              <w:top w:val="nil"/>
              <w:left w:val="nil"/>
              <w:bottom w:val="nil"/>
              <w:right w:val="nil"/>
            </w:tcBorders>
            <w:shd w:val="clear" w:color="000000" w:fill="FFFFFF"/>
            <w:vAlign w:val="bottom"/>
            <w:hideMark/>
          </w:tcPr>
          <w:p w14:paraId="4F9EB775" w14:textId="3F539598" w:rsidR="00014082" w:rsidRPr="0069211F" w:rsidRDefault="00014082" w:rsidP="002347AA">
            <w:pPr>
              <w:pStyle w:val="TableTextRight"/>
            </w:pPr>
            <w:r w:rsidRPr="0069211F">
              <w:t>55,999</w:t>
            </w:r>
          </w:p>
        </w:tc>
      </w:tr>
      <w:tr w:rsidR="009437A1" w:rsidRPr="00D036D9" w14:paraId="0CE65503" w14:textId="77777777" w:rsidTr="00976371">
        <w:trPr>
          <w:trHeight w:val="250"/>
        </w:trPr>
        <w:tc>
          <w:tcPr>
            <w:tcW w:w="0" w:type="auto"/>
            <w:tcBorders>
              <w:top w:val="nil"/>
              <w:left w:val="nil"/>
              <w:bottom w:val="nil"/>
              <w:right w:val="nil"/>
            </w:tcBorders>
            <w:shd w:val="clear" w:color="000000" w:fill="FFFFFF"/>
            <w:vAlign w:val="bottom"/>
            <w:hideMark/>
          </w:tcPr>
          <w:p w14:paraId="31348CF8" w14:textId="77777777" w:rsidR="009437A1" w:rsidRPr="00D036D9" w:rsidRDefault="009437A1" w:rsidP="009E69C8">
            <w:pPr>
              <w:pStyle w:val="TableTextLeft"/>
            </w:pPr>
            <w:r w:rsidRPr="00D036D9">
              <w:t>Public Sector Superannuation Scheme</w:t>
            </w:r>
          </w:p>
        </w:tc>
        <w:tc>
          <w:tcPr>
            <w:tcW w:w="0" w:type="auto"/>
            <w:tcBorders>
              <w:top w:val="nil"/>
              <w:left w:val="nil"/>
              <w:bottom w:val="nil"/>
              <w:right w:val="nil"/>
            </w:tcBorders>
            <w:shd w:val="clear" w:color="000000" w:fill="FFFFFF"/>
            <w:vAlign w:val="bottom"/>
            <w:hideMark/>
          </w:tcPr>
          <w:p w14:paraId="4810DCEF" w14:textId="793373C9" w:rsidR="009437A1" w:rsidRPr="0069211F" w:rsidRDefault="009437A1" w:rsidP="002347AA">
            <w:pPr>
              <w:pStyle w:val="TableTextRight"/>
            </w:pPr>
            <w:r w:rsidRPr="0069211F">
              <w:t>96,691</w:t>
            </w:r>
          </w:p>
        </w:tc>
        <w:tc>
          <w:tcPr>
            <w:tcW w:w="0" w:type="auto"/>
            <w:tcBorders>
              <w:top w:val="nil"/>
              <w:left w:val="nil"/>
              <w:bottom w:val="nil"/>
              <w:right w:val="nil"/>
            </w:tcBorders>
            <w:shd w:val="clear" w:color="000000" w:fill="E6F2FF"/>
            <w:vAlign w:val="bottom"/>
            <w:hideMark/>
          </w:tcPr>
          <w:p w14:paraId="49F8AAAB" w14:textId="519D765A" w:rsidR="009437A1" w:rsidRPr="0069211F" w:rsidRDefault="009437A1" w:rsidP="002347AA">
            <w:pPr>
              <w:pStyle w:val="TableTextRight"/>
            </w:pPr>
            <w:r w:rsidRPr="0069211F">
              <w:t>102,271</w:t>
            </w:r>
          </w:p>
        </w:tc>
        <w:tc>
          <w:tcPr>
            <w:tcW w:w="0" w:type="auto"/>
            <w:tcBorders>
              <w:top w:val="nil"/>
              <w:left w:val="nil"/>
              <w:bottom w:val="nil"/>
              <w:right w:val="nil"/>
            </w:tcBorders>
            <w:shd w:val="clear" w:color="000000" w:fill="FFFFFF"/>
            <w:vAlign w:val="bottom"/>
            <w:hideMark/>
          </w:tcPr>
          <w:p w14:paraId="63B846E6" w14:textId="386FFC8C" w:rsidR="009437A1" w:rsidRPr="0069211F" w:rsidRDefault="009437A1" w:rsidP="002347AA">
            <w:pPr>
              <w:pStyle w:val="TableTextRight"/>
            </w:pPr>
            <w:r w:rsidRPr="0069211F">
              <w:t>10</w:t>
            </w:r>
            <w:r w:rsidR="00A8374E" w:rsidRPr="0069211F">
              <w:t>8</w:t>
            </w:r>
            <w:r w:rsidRPr="0069211F">
              <w:t>,5</w:t>
            </w:r>
            <w:r w:rsidR="00A8374E" w:rsidRPr="0069211F">
              <w:t>3</w:t>
            </w:r>
            <w:r w:rsidRPr="0069211F">
              <w:t>7</w:t>
            </w:r>
          </w:p>
        </w:tc>
        <w:tc>
          <w:tcPr>
            <w:tcW w:w="0" w:type="auto"/>
            <w:tcBorders>
              <w:top w:val="nil"/>
              <w:left w:val="nil"/>
              <w:bottom w:val="nil"/>
              <w:right w:val="nil"/>
            </w:tcBorders>
            <w:shd w:val="clear" w:color="000000" w:fill="FFFFFF"/>
            <w:vAlign w:val="bottom"/>
            <w:hideMark/>
          </w:tcPr>
          <w:p w14:paraId="2F84CB29" w14:textId="7D7ADDD7" w:rsidR="009437A1" w:rsidRPr="0069211F" w:rsidRDefault="009437A1" w:rsidP="002347AA">
            <w:pPr>
              <w:pStyle w:val="TableTextRight"/>
            </w:pPr>
            <w:r w:rsidRPr="0069211F">
              <w:t>11</w:t>
            </w:r>
            <w:r w:rsidR="00A8374E" w:rsidRPr="0069211F">
              <w:t>3</w:t>
            </w:r>
            <w:r w:rsidRPr="0069211F">
              <w:t>,</w:t>
            </w:r>
            <w:r w:rsidR="00A8374E" w:rsidRPr="0069211F">
              <w:t>238</w:t>
            </w:r>
          </w:p>
        </w:tc>
        <w:tc>
          <w:tcPr>
            <w:tcW w:w="0" w:type="auto"/>
            <w:tcBorders>
              <w:top w:val="nil"/>
              <w:left w:val="nil"/>
              <w:bottom w:val="nil"/>
              <w:right w:val="nil"/>
            </w:tcBorders>
            <w:shd w:val="clear" w:color="000000" w:fill="FFFFFF"/>
            <w:vAlign w:val="bottom"/>
            <w:hideMark/>
          </w:tcPr>
          <w:p w14:paraId="1472A310" w14:textId="3F724250" w:rsidR="009437A1" w:rsidRPr="0069211F" w:rsidRDefault="009437A1" w:rsidP="002347AA">
            <w:pPr>
              <w:pStyle w:val="TableTextRight"/>
            </w:pPr>
            <w:r w:rsidRPr="0069211F">
              <w:t>117,994</w:t>
            </w:r>
          </w:p>
        </w:tc>
      </w:tr>
      <w:tr w:rsidR="001E6F2A" w:rsidRPr="00D036D9" w14:paraId="6509E1B9" w14:textId="77777777" w:rsidTr="00976371">
        <w:trPr>
          <w:trHeight w:val="250"/>
        </w:trPr>
        <w:tc>
          <w:tcPr>
            <w:tcW w:w="0" w:type="auto"/>
            <w:tcBorders>
              <w:top w:val="nil"/>
              <w:left w:val="nil"/>
              <w:bottom w:val="nil"/>
              <w:right w:val="nil"/>
            </w:tcBorders>
            <w:shd w:val="clear" w:color="000000" w:fill="FFFFFF"/>
            <w:vAlign w:val="bottom"/>
            <w:hideMark/>
          </w:tcPr>
          <w:p w14:paraId="7B581067" w14:textId="77777777" w:rsidR="00E50CB8" w:rsidRPr="00D036D9" w:rsidRDefault="00E50CB8" w:rsidP="009E69C8">
            <w:pPr>
              <w:pStyle w:val="TableTextLeft"/>
            </w:pPr>
            <w:r w:rsidRPr="00D036D9">
              <w:t>Parliamentary Contributory Superannuation</w:t>
            </w:r>
          </w:p>
        </w:tc>
        <w:tc>
          <w:tcPr>
            <w:tcW w:w="0" w:type="auto"/>
            <w:tcBorders>
              <w:top w:val="nil"/>
              <w:left w:val="nil"/>
              <w:bottom w:val="nil"/>
              <w:right w:val="nil"/>
            </w:tcBorders>
            <w:shd w:val="clear" w:color="000000" w:fill="FFFFFF"/>
            <w:vAlign w:val="bottom"/>
            <w:hideMark/>
          </w:tcPr>
          <w:p w14:paraId="7C7A4815" w14:textId="77777777" w:rsidR="00E50CB8" w:rsidRPr="0069211F" w:rsidRDefault="00E50CB8" w:rsidP="002347AA">
            <w:pPr>
              <w:pStyle w:val="TableTextRight"/>
            </w:pPr>
            <w:r w:rsidRPr="00D036D9">
              <w:t> </w:t>
            </w:r>
          </w:p>
        </w:tc>
        <w:tc>
          <w:tcPr>
            <w:tcW w:w="0" w:type="auto"/>
            <w:tcBorders>
              <w:top w:val="nil"/>
              <w:left w:val="nil"/>
              <w:bottom w:val="nil"/>
              <w:right w:val="nil"/>
            </w:tcBorders>
            <w:shd w:val="clear" w:color="000000" w:fill="E6F2FF"/>
            <w:vAlign w:val="bottom"/>
            <w:hideMark/>
          </w:tcPr>
          <w:p w14:paraId="7A2C59D1" w14:textId="77777777" w:rsidR="00E50CB8" w:rsidRPr="00D036D9" w:rsidRDefault="00E50CB8" w:rsidP="002347AA">
            <w:pPr>
              <w:pStyle w:val="TableTextRight"/>
            </w:pPr>
            <w:r w:rsidRPr="00D036D9">
              <w:t> </w:t>
            </w:r>
          </w:p>
        </w:tc>
        <w:tc>
          <w:tcPr>
            <w:tcW w:w="0" w:type="auto"/>
            <w:tcBorders>
              <w:top w:val="nil"/>
              <w:left w:val="nil"/>
              <w:bottom w:val="nil"/>
              <w:right w:val="nil"/>
            </w:tcBorders>
            <w:shd w:val="clear" w:color="000000" w:fill="FFFFFF"/>
            <w:vAlign w:val="bottom"/>
            <w:hideMark/>
          </w:tcPr>
          <w:p w14:paraId="127EA170" w14:textId="77777777" w:rsidR="00E50CB8" w:rsidRPr="00D036D9" w:rsidRDefault="00E50CB8" w:rsidP="002347AA">
            <w:pPr>
              <w:pStyle w:val="TableTextRight"/>
            </w:pPr>
            <w:r w:rsidRPr="00D036D9">
              <w:t> </w:t>
            </w:r>
          </w:p>
        </w:tc>
        <w:tc>
          <w:tcPr>
            <w:tcW w:w="0" w:type="auto"/>
            <w:tcBorders>
              <w:top w:val="nil"/>
              <w:left w:val="nil"/>
              <w:bottom w:val="nil"/>
              <w:right w:val="nil"/>
            </w:tcBorders>
            <w:shd w:val="clear" w:color="000000" w:fill="FFFFFF"/>
            <w:vAlign w:val="bottom"/>
            <w:hideMark/>
          </w:tcPr>
          <w:p w14:paraId="1F03F891" w14:textId="77777777" w:rsidR="00E50CB8" w:rsidRPr="00D036D9" w:rsidRDefault="00E50CB8" w:rsidP="002347AA">
            <w:pPr>
              <w:pStyle w:val="TableTextRight"/>
            </w:pPr>
            <w:r w:rsidRPr="00D036D9">
              <w:t> </w:t>
            </w:r>
          </w:p>
        </w:tc>
        <w:tc>
          <w:tcPr>
            <w:tcW w:w="0" w:type="auto"/>
            <w:tcBorders>
              <w:top w:val="nil"/>
              <w:left w:val="nil"/>
              <w:bottom w:val="nil"/>
              <w:right w:val="nil"/>
            </w:tcBorders>
            <w:shd w:val="clear" w:color="000000" w:fill="FFFFFF"/>
            <w:vAlign w:val="bottom"/>
            <w:hideMark/>
          </w:tcPr>
          <w:p w14:paraId="766392F6" w14:textId="77777777" w:rsidR="00E50CB8" w:rsidRPr="00D036D9" w:rsidRDefault="00E50CB8" w:rsidP="002347AA">
            <w:pPr>
              <w:pStyle w:val="TableTextRight"/>
            </w:pPr>
            <w:r w:rsidRPr="00D036D9">
              <w:t> </w:t>
            </w:r>
          </w:p>
        </w:tc>
      </w:tr>
      <w:tr w:rsidR="00C77A92" w:rsidRPr="00D036D9" w14:paraId="18BCDFC2" w14:textId="77777777" w:rsidTr="00976371">
        <w:trPr>
          <w:trHeight w:val="250"/>
        </w:trPr>
        <w:tc>
          <w:tcPr>
            <w:tcW w:w="0" w:type="auto"/>
            <w:tcBorders>
              <w:top w:val="nil"/>
              <w:left w:val="nil"/>
              <w:bottom w:val="nil"/>
              <w:right w:val="nil"/>
            </w:tcBorders>
            <w:shd w:val="clear" w:color="000000" w:fill="FFFFFF"/>
            <w:vAlign w:val="bottom"/>
            <w:hideMark/>
          </w:tcPr>
          <w:p w14:paraId="472567E0" w14:textId="77777777" w:rsidR="00C77A92" w:rsidRPr="00D036D9" w:rsidRDefault="00C77A92" w:rsidP="009E69C8">
            <w:pPr>
              <w:pStyle w:val="TableTextLeft"/>
            </w:pPr>
            <w:r w:rsidRPr="00D036D9">
              <w:t xml:space="preserve">   Scheme</w:t>
            </w:r>
          </w:p>
        </w:tc>
        <w:tc>
          <w:tcPr>
            <w:tcW w:w="0" w:type="auto"/>
            <w:tcBorders>
              <w:top w:val="nil"/>
              <w:left w:val="nil"/>
              <w:bottom w:val="nil"/>
              <w:right w:val="nil"/>
            </w:tcBorders>
            <w:shd w:val="clear" w:color="000000" w:fill="FFFFFF"/>
            <w:vAlign w:val="bottom"/>
            <w:hideMark/>
          </w:tcPr>
          <w:p w14:paraId="010EC4E9" w14:textId="48A3EF98" w:rsidR="00C77A92" w:rsidRPr="0069211F" w:rsidRDefault="00C77A92" w:rsidP="002347AA">
            <w:pPr>
              <w:pStyle w:val="TableTextRight"/>
            </w:pPr>
            <w:r w:rsidRPr="0069211F">
              <w:t>819</w:t>
            </w:r>
          </w:p>
        </w:tc>
        <w:tc>
          <w:tcPr>
            <w:tcW w:w="0" w:type="auto"/>
            <w:tcBorders>
              <w:top w:val="nil"/>
              <w:left w:val="nil"/>
              <w:bottom w:val="nil"/>
              <w:right w:val="nil"/>
            </w:tcBorders>
            <w:shd w:val="clear" w:color="000000" w:fill="E6F2FF"/>
            <w:vAlign w:val="bottom"/>
            <w:hideMark/>
          </w:tcPr>
          <w:p w14:paraId="2EA4CB87" w14:textId="23F8DF23" w:rsidR="00C77A92" w:rsidRPr="0069211F" w:rsidRDefault="00C77A92" w:rsidP="002347AA">
            <w:pPr>
              <w:pStyle w:val="TableTextRight"/>
            </w:pPr>
            <w:r w:rsidRPr="0069211F">
              <w:t>812 </w:t>
            </w:r>
          </w:p>
        </w:tc>
        <w:tc>
          <w:tcPr>
            <w:tcW w:w="0" w:type="auto"/>
            <w:tcBorders>
              <w:top w:val="nil"/>
              <w:left w:val="nil"/>
              <w:bottom w:val="nil"/>
              <w:right w:val="nil"/>
            </w:tcBorders>
            <w:shd w:val="clear" w:color="000000" w:fill="FFFFFF"/>
            <w:vAlign w:val="bottom"/>
            <w:hideMark/>
          </w:tcPr>
          <w:p w14:paraId="0320CC52" w14:textId="7ABC7A5C" w:rsidR="00C77A92" w:rsidRPr="0069211F" w:rsidRDefault="00C77A92" w:rsidP="002347AA">
            <w:pPr>
              <w:pStyle w:val="TableTextRight"/>
            </w:pPr>
            <w:r w:rsidRPr="0069211F">
              <w:t>801 </w:t>
            </w:r>
          </w:p>
        </w:tc>
        <w:tc>
          <w:tcPr>
            <w:tcW w:w="0" w:type="auto"/>
            <w:tcBorders>
              <w:top w:val="nil"/>
              <w:left w:val="nil"/>
              <w:bottom w:val="nil"/>
              <w:right w:val="nil"/>
            </w:tcBorders>
            <w:shd w:val="clear" w:color="000000" w:fill="FFFFFF"/>
            <w:vAlign w:val="bottom"/>
            <w:hideMark/>
          </w:tcPr>
          <w:p w14:paraId="1C4B0F57" w14:textId="77EBD90F" w:rsidR="00C77A92" w:rsidRPr="0069211F" w:rsidRDefault="00C77A92" w:rsidP="002347AA">
            <w:pPr>
              <w:pStyle w:val="TableTextRight"/>
            </w:pPr>
            <w:r w:rsidRPr="0069211F">
              <w:t>790 </w:t>
            </w:r>
          </w:p>
        </w:tc>
        <w:tc>
          <w:tcPr>
            <w:tcW w:w="0" w:type="auto"/>
            <w:tcBorders>
              <w:top w:val="nil"/>
              <w:left w:val="nil"/>
              <w:bottom w:val="nil"/>
              <w:right w:val="nil"/>
            </w:tcBorders>
            <w:shd w:val="clear" w:color="000000" w:fill="FFFFFF"/>
            <w:vAlign w:val="bottom"/>
            <w:hideMark/>
          </w:tcPr>
          <w:p w14:paraId="06983884" w14:textId="5F809274" w:rsidR="00C77A92" w:rsidRPr="0069211F" w:rsidRDefault="00C77A92" w:rsidP="002347AA">
            <w:pPr>
              <w:pStyle w:val="TableTextRight"/>
            </w:pPr>
            <w:r w:rsidRPr="0069211F">
              <w:t>777 </w:t>
            </w:r>
          </w:p>
        </w:tc>
      </w:tr>
      <w:tr w:rsidR="000E6571" w:rsidRPr="00D036D9" w14:paraId="3C31A496" w14:textId="77777777" w:rsidTr="00976371">
        <w:trPr>
          <w:trHeight w:val="230"/>
        </w:trPr>
        <w:tc>
          <w:tcPr>
            <w:tcW w:w="0" w:type="auto"/>
            <w:tcBorders>
              <w:top w:val="nil"/>
              <w:left w:val="nil"/>
              <w:bottom w:val="nil"/>
              <w:right w:val="nil"/>
            </w:tcBorders>
            <w:shd w:val="clear" w:color="000000" w:fill="FFFFFF"/>
            <w:vAlign w:val="bottom"/>
            <w:hideMark/>
          </w:tcPr>
          <w:p w14:paraId="20E0CF5C" w14:textId="6B1B6D04" w:rsidR="000E6571" w:rsidRPr="00D036D9" w:rsidRDefault="000E6571" w:rsidP="009E69C8">
            <w:pPr>
              <w:pStyle w:val="TableTextLeft"/>
            </w:pPr>
            <w:r w:rsidRPr="00D036D9">
              <w:t>Governors</w:t>
            </w:r>
            <w:r w:rsidR="00390046">
              <w:noBreakHyphen/>
            </w:r>
            <w:r w:rsidR="00390046">
              <w:noBreakHyphen/>
            </w:r>
            <w:r w:rsidRPr="00D036D9">
              <w:t>General Scheme   </w:t>
            </w:r>
          </w:p>
        </w:tc>
        <w:tc>
          <w:tcPr>
            <w:tcW w:w="0" w:type="auto"/>
            <w:tcBorders>
              <w:top w:val="nil"/>
              <w:left w:val="nil"/>
              <w:bottom w:val="nil"/>
              <w:right w:val="nil"/>
            </w:tcBorders>
            <w:shd w:val="clear" w:color="000000" w:fill="FFFFFF"/>
            <w:vAlign w:val="bottom"/>
            <w:hideMark/>
          </w:tcPr>
          <w:p w14:paraId="6B7FCF41" w14:textId="16186C6B" w:rsidR="000E6571" w:rsidRPr="0069211F" w:rsidRDefault="000E6571" w:rsidP="002347AA">
            <w:pPr>
              <w:pStyle w:val="TableTextRight"/>
            </w:pPr>
            <w:r w:rsidRPr="0069211F">
              <w:t>14</w:t>
            </w:r>
          </w:p>
        </w:tc>
        <w:tc>
          <w:tcPr>
            <w:tcW w:w="0" w:type="auto"/>
            <w:tcBorders>
              <w:top w:val="nil"/>
              <w:left w:val="nil"/>
              <w:bottom w:val="nil"/>
              <w:right w:val="nil"/>
            </w:tcBorders>
            <w:shd w:val="clear" w:color="000000" w:fill="E6F2FF"/>
            <w:vAlign w:val="bottom"/>
            <w:hideMark/>
          </w:tcPr>
          <w:p w14:paraId="213ED61B" w14:textId="2E04D860" w:rsidR="000E6571" w:rsidRPr="0069211F" w:rsidRDefault="000E6571" w:rsidP="002347AA">
            <w:pPr>
              <w:pStyle w:val="TableTextRight"/>
            </w:pPr>
            <w:r w:rsidRPr="0069211F">
              <w:t>23</w:t>
            </w:r>
          </w:p>
        </w:tc>
        <w:tc>
          <w:tcPr>
            <w:tcW w:w="0" w:type="auto"/>
            <w:tcBorders>
              <w:top w:val="nil"/>
              <w:left w:val="nil"/>
              <w:bottom w:val="nil"/>
              <w:right w:val="nil"/>
            </w:tcBorders>
            <w:shd w:val="clear" w:color="000000" w:fill="FFFFFF"/>
            <w:vAlign w:val="bottom"/>
            <w:hideMark/>
          </w:tcPr>
          <w:p w14:paraId="02A891D2" w14:textId="5A38194D" w:rsidR="000E6571" w:rsidRPr="0069211F" w:rsidRDefault="000E6571" w:rsidP="002347AA">
            <w:pPr>
              <w:pStyle w:val="TableTextRight"/>
            </w:pPr>
            <w:r w:rsidRPr="0069211F">
              <w:t>23</w:t>
            </w:r>
          </w:p>
        </w:tc>
        <w:tc>
          <w:tcPr>
            <w:tcW w:w="0" w:type="auto"/>
            <w:tcBorders>
              <w:top w:val="nil"/>
              <w:left w:val="nil"/>
              <w:bottom w:val="nil"/>
              <w:right w:val="nil"/>
            </w:tcBorders>
            <w:shd w:val="clear" w:color="000000" w:fill="FFFFFF"/>
            <w:vAlign w:val="bottom"/>
            <w:hideMark/>
          </w:tcPr>
          <w:p w14:paraId="17EEC7C2" w14:textId="7A79A6E0" w:rsidR="000E6571" w:rsidRPr="0069211F" w:rsidRDefault="000E6571" w:rsidP="002347AA">
            <w:pPr>
              <w:pStyle w:val="TableTextRight"/>
            </w:pPr>
            <w:r w:rsidRPr="0069211F">
              <w:t>22</w:t>
            </w:r>
          </w:p>
        </w:tc>
        <w:tc>
          <w:tcPr>
            <w:tcW w:w="0" w:type="auto"/>
            <w:tcBorders>
              <w:top w:val="nil"/>
              <w:left w:val="nil"/>
              <w:bottom w:val="nil"/>
              <w:right w:val="nil"/>
            </w:tcBorders>
            <w:shd w:val="clear" w:color="000000" w:fill="FFFFFF"/>
            <w:vAlign w:val="bottom"/>
            <w:hideMark/>
          </w:tcPr>
          <w:p w14:paraId="3E72263C" w14:textId="3803DE2C" w:rsidR="000E6571" w:rsidRPr="0069211F" w:rsidRDefault="000E6571" w:rsidP="002347AA">
            <w:pPr>
              <w:pStyle w:val="TableTextRight"/>
            </w:pPr>
            <w:r w:rsidRPr="0069211F">
              <w:t>22</w:t>
            </w:r>
          </w:p>
        </w:tc>
      </w:tr>
      <w:tr w:rsidR="001E6F2A" w:rsidRPr="00D036D9" w14:paraId="745D3C42" w14:textId="77777777" w:rsidTr="00976371">
        <w:trPr>
          <w:trHeight w:val="230"/>
        </w:trPr>
        <w:tc>
          <w:tcPr>
            <w:tcW w:w="0" w:type="auto"/>
            <w:tcBorders>
              <w:top w:val="nil"/>
              <w:left w:val="nil"/>
              <w:bottom w:val="nil"/>
              <w:right w:val="nil"/>
            </w:tcBorders>
            <w:shd w:val="clear" w:color="000000" w:fill="FFFFFF"/>
            <w:vAlign w:val="bottom"/>
            <w:hideMark/>
          </w:tcPr>
          <w:p w14:paraId="5783F1B2" w14:textId="7F2DC915" w:rsidR="00E50CB8" w:rsidRPr="00D036D9" w:rsidRDefault="00E50CB8" w:rsidP="009E69C8">
            <w:pPr>
              <w:pStyle w:val="TableTextLeft"/>
            </w:pPr>
            <w:r w:rsidRPr="00D036D9">
              <w:t>Judges</w:t>
            </w:r>
            <w:r w:rsidR="00390046">
              <w:t>’</w:t>
            </w:r>
            <w:r w:rsidRPr="00D036D9">
              <w:t xml:space="preserve"> Pensions Scheme </w:t>
            </w:r>
          </w:p>
        </w:tc>
        <w:tc>
          <w:tcPr>
            <w:tcW w:w="0" w:type="auto"/>
            <w:tcBorders>
              <w:top w:val="nil"/>
              <w:left w:val="nil"/>
              <w:bottom w:val="nil"/>
              <w:right w:val="nil"/>
            </w:tcBorders>
            <w:shd w:val="clear" w:color="000000" w:fill="FFFFFF"/>
            <w:vAlign w:val="bottom"/>
            <w:hideMark/>
          </w:tcPr>
          <w:p w14:paraId="7BDC2662" w14:textId="32A51D87" w:rsidR="00E50CB8" w:rsidRPr="0069211F" w:rsidRDefault="00E50CB8" w:rsidP="002347AA">
            <w:pPr>
              <w:pStyle w:val="TableTextRight"/>
            </w:pPr>
            <w:r w:rsidRPr="0069211F">
              <w:t>1,24</w:t>
            </w:r>
            <w:r w:rsidR="007366C0" w:rsidRPr="0069211F">
              <w:t>4</w:t>
            </w:r>
          </w:p>
        </w:tc>
        <w:tc>
          <w:tcPr>
            <w:tcW w:w="0" w:type="auto"/>
            <w:tcBorders>
              <w:top w:val="nil"/>
              <w:left w:val="nil"/>
              <w:bottom w:val="nil"/>
              <w:right w:val="nil"/>
            </w:tcBorders>
            <w:shd w:val="clear" w:color="000000" w:fill="E6F2FF"/>
            <w:vAlign w:val="bottom"/>
            <w:hideMark/>
          </w:tcPr>
          <w:p w14:paraId="47B96CF2" w14:textId="036A933F" w:rsidR="00E50CB8" w:rsidRPr="0069211F" w:rsidRDefault="00E50CB8" w:rsidP="002347AA">
            <w:pPr>
              <w:pStyle w:val="TableTextRight"/>
            </w:pPr>
            <w:r w:rsidRPr="0069211F">
              <w:t>1,28</w:t>
            </w:r>
            <w:r w:rsidR="0069441B" w:rsidRPr="0069211F">
              <w:t>6</w:t>
            </w:r>
          </w:p>
        </w:tc>
        <w:tc>
          <w:tcPr>
            <w:tcW w:w="0" w:type="auto"/>
            <w:tcBorders>
              <w:top w:val="nil"/>
              <w:left w:val="nil"/>
              <w:bottom w:val="nil"/>
              <w:right w:val="nil"/>
            </w:tcBorders>
            <w:shd w:val="clear" w:color="000000" w:fill="FFFFFF"/>
            <w:vAlign w:val="bottom"/>
            <w:hideMark/>
          </w:tcPr>
          <w:p w14:paraId="2F9556C2" w14:textId="2A9F8B24" w:rsidR="00E50CB8" w:rsidRPr="0069211F" w:rsidRDefault="00E50CB8" w:rsidP="002347AA">
            <w:pPr>
              <w:pStyle w:val="TableTextRight"/>
            </w:pPr>
            <w:r w:rsidRPr="0069211F">
              <w:t>1,3</w:t>
            </w:r>
            <w:r w:rsidR="0069441B" w:rsidRPr="0069211F">
              <w:t>29</w:t>
            </w:r>
          </w:p>
        </w:tc>
        <w:tc>
          <w:tcPr>
            <w:tcW w:w="0" w:type="auto"/>
            <w:tcBorders>
              <w:top w:val="nil"/>
              <w:left w:val="nil"/>
              <w:bottom w:val="nil"/>
              <w:right w:val="nil"/>
            </w:tcBorders>
            <w:shd w:val="clear" w:color="000000" w:fill="FFFFFF"/>
            <w:vAlign w:val="bottom"/>
            <w:hideMark/>
          </w:tcPr>
          <w:p w14:paraId="0F2E17F6" w14:textId="45A9A0D8" w:rsidR="00E50CB8" w:rsidRPr="0069211F" w:rsidRDefault="00E50CB8" w:rsidP="002347AA">
            <w:pPr>
              <w:pStyle w:val="TableTextRight"/>
            </w:pPr>
            <w:r w:rsidRPr="0069211F">
              <w:t>1,3</w:t>
            </w:r>
            <w:r w:rsidR="0069441B" w:rsidRPr="0069211F">
              <w:t>74</w:t>
            </w:r>
          </w:p>
        </w:tc>
        <w:tc>
          <w:tcPr>
            <w:tcW w:w="0" w:type="auto"/>
            <w:tcBorders>
              <w:top w:val="nil"/>
              <w:left w:val="nil"/>
              <w:bottom w:val="nil"/>
              <w:right w:val="nil"/>
            </w:tcBorders>
            <w:shd w:val="clear" w:color="000000" w:fill="FFFFFF"/>
            <w:vAlign w:val="bottom"/>
            <w:hideMark/>
          </w:tcPr>
          <w:p w14:paraId="7659F6C8" w14:textId="178C6439" w:rsidR="00E50CB8" w:rsidRPr="0069211F" w:rsidRDefault="00E50CB8" w:rsidP="002347AA">
            <w:pPr>
              <w:pStyle w:val="TableTextRight"/>
            </w:pPr>
            <w:r w:rsidRPr="0069211F">
              <w:t>1,4</w:t>
            </w:r>
            <w:r w:rsidR="0069441B" w:rsidRPr="0069211F">
              <w:t>21</w:t>
            </w:r>
          </w:p>
        </w:tc>
      </w:tr>
      <w:tr w:rsidR="00C56537" w:rsidRPr="00D036D9" w14:paraId="0F0FA8A9" w14:textId="77777777" w:rsidTr="00976371">
        <w:trPr>
          <w:trHeight w:val="610"/>
        </w:trPr>
        <w:tc>
          <w:tcPr>
            <w:tcW w:w="0" w:type="auto"/>
            <w:tcBorders>
              <w:top w:val="nil"/>
              <w:left w:val="nil"/>
              <w:bottom w:val="nil"/>
              <w:right w:val="nil"/>
            </w:tcBorders>
            <w:shd w:val="clear" w:color="000000" w:fill="FFFFFF"/>
            <w:vAlign w:val="bottom"/>
            <w:hideMark/>
          </w:tcPr>
          <w:p w14:paraId="37DD9581" w14:textId="763CCFD9" w:rsidR="00C56537" w:rsidRPr="00D036D9" w:rsidRDefault="00C56537" w:rsidP="009E69C8">
            <w:pPr>
              <w:pStyle w:val="TableTextLeft"/>
            </w:pPr>
            <w:r w:rsidRPr="00D036D9">
              <w:t xml:space="preserve">Division 2 Judges of the Federal Circuit </w:t>
            </w:r>
            <w:r w:rsidRPr="00D036D9">
              <w:br/>
              <w:t xml:space="preserve">   and Family Court of Australia Death </w:t>
            </w:r>
            <w:r w:rsidRPr="00D036D9">
              <w:br/>
              <w:t xml:space="preserve">   and Disability Scheme</w:t>
            </w:r>
          </w:p>
        </w:tc>
        <w:tc>
          <w:tcPr>
            <w:tcW w:w="0" w:type="auto"/>
            <w:tcBorders>
              <w:top w:val="nil"/>
              <w:left w:val="nil"/>
              <w:bottom w:val="nil"/>
              <w:right w:val="nil"/>
            </w:tcBorders>
            <w:shd w:val="clear" w:color="000000" w:fill="FFFFFF"/>
            <w:vAlign w:val="bottom"/>
            <w:hideMark/>
          </w:tcPr>
          <w:p w14:paraId="4ABD547F" w14:textId="5BDABA6E" w:rsidR="00C56537" w:rsidRPr="0069211F" w:rsidRDefault="00C56537" w:rsidP="002347AA">
            <w:pPr>
              <w:pStyle w:val="TableTextRight"/>
            </w:pPr>
            <w:r w:rsidRPr="0069211F">
              <w:t>1</w:t>
            </w:r>
          </w:p>
        </w:tc>
        <w:tc>
          <w:tcPr>
            <w:tcW w:w="0" w:type="auto"/>
            <w:tcBorders>
              <w:top w:val="nil"/>
              <w:left w:val="nil"/>
              <w:bottom w:val="nil"/>
              <w:right w:val="nil"/>
            </w:tcBorders>
            <w:shd w:val="clear" w:color="000000" w:fill="E6F2FF"/>
            <w:vAlign w:val="bottom"/>
            <w:hideMark/>
          </w:tcPr>
          <w:p w14:paraId="5C5F75C9" w14:textId="327C12BF" w:rsidR="00C56537" w:rsidRPr="0069211F" w:rsidRDefault="00C56537" w:rsidP="002347AA">
            <w:pPr>
              <w:pStyle w:val="TableTextRight"/>
            </w:pPr>
            <w:r w:rsidRPr="0069211F">
              <w:t>2</w:t>
            </w:r>
          </w:p>
        </w:tc>
        <w:tc>
          <w:tcPr>
            <w:tcW w:w="0" w:type="auto"/>
            <w:tcBorders>
              <w:top w:val="nil"/>
              <w:left w:val="nil"/>
              <w:bottom w:val="nil"/>
              <w:right w:val="nil"/>
            </w:tcBorders>
            <w:shd w:val="clear" w:color="000000" w:fill="FFFFFF"/>
            <w:vAlign w:val="bottom"/>
            <w:hideMark/>
          </w:tcPr>
          <w:p w14:paraId="55367E34" w14:textId="4872408A" w:rsidR="00C56537" w:rsidRPr="0069211F" w:rsidRDefault="00C56537" w:rsidP="002347AA">
            <w:pPr>
              <w:pStyle w:val="TableTextRight"/>
            </w:pPr>
            <w:r w:rsidRPr="0069211F">
              <w:t>2</w:t>
            </w:r>
          </w:p>
        </w:tc>
        <w:tc>
          <w:tcPr>
            <w:tcW w:w="0" w:type="auto"/>
            <w:tcBorders>
              <w:top w:val="nil"/>
              <w:left w:val="nil"/>
              <w:bottom w:val="nil"/>
              <w:right w:val="nil"/>
            </w:tcBorders>
            <w:shd w:val="clear" w:color="000000" w:fill="FFFFFF"/>
            <w:vAlign w:val="bottom"/>
            <w:hideMark/>
          </w:tcPr>
          <w:p w14:paraId="26947718" w14:textId="6C9A9EE7" w:rsidR="00C56537" w:rsidRPr="0069211F" w:rsidRDefault="00C56537" w:rsidP="002347AA">
            <w:pPr>
              <w:pStyle w:val="TableTextRight"/>
            </w:pPr>
            <w:r w:rsidRPr="0069211F">
              <w:t>3</w:t>
            </w:r>
          </w:p>
        </w:tc>
        <w:tc>
          <w:tcPr>
            <w:tcW w:w="0" w:type="auto"/>
            <w:tcBorders>
              <w:top w:val="nil"/>
              <w:left w:val="nil"/>
              <w:bottom w:val="nil"/>
              <w:right w:val="nil"/>
            </w:tcBorders>
            <w:shd w:val="clear" w:color="000000" w:fill="FFFFFF"/>
            <w:vAlign w:val="bottom"/>
            <w:hideMark/>
          </w:tcPr>
          <w:p w14:paraId="28A9A445" w14:textId="561B21D7" w:rsidR="00C56537" w:rsidRPr="0069211F" w:rsidRDefault="00C56537" w:rsidP="002347AA">
            <w:pPr>
              <w:pStyle w:val="TableTextRight"/>
            </w:pPr>
            <w:r w:rsidRPr="0069211F">
              <w:t>4</w:t>
            </w:r>
          </w:p>
        </w:tc>
      </w:tr>
      <w:tr w:rsidR="00EB3927" w:rsidRPr="00D036D9" w14:paraId="05E9446F" w14:textId="77777777" w:rsidTr="00976371">
        <w:trPr>
          <w:trHeight w:val="230"/>
        </w:trPr>
        <w:tc>
          <w:tcPr>
            <w:tcW w:w="0" w:type="auto"/>
            <w:tcBorders>
              <w:top w:val="nil"/>
              <w:left w:val="nil"/>
              <w:bottom w:val="nil"/>
              <w:right w:val="nil"/>
            </w:tcBorders>
            <w:shd w:val="clear" w:color="000000" w:fill="FFFFFF"/>
            <w:vAlign w:val="bottom"/>
            <w:hideMark/>
          </w:tcPr>
          <w:p w14:paraId="66C61AB5" w14:textId="77777777" w:rsidR="00EB3927" w:rsidRPr="00D036D9" w:rsidRDefault="00EB3927" w:rsidP="009E69C8">
            <w:pPr>
              <w:pStyle w:val="TableTextLeft"/>
              <w:rPr>
                <w:rFonts w:cs="Arial"/>
                <w:i/>
                <w:iCs/>
                <w:szCs w:val="16"/>
              </w:rPr>
            </w:pPr>
            <w:r w:rsidRPr="00D036D9">
              <w:t>Total civilian schemes</w:t>
            </w:r>
          </w:p>
        </w:tc>
        <w:tc>
          <w:tcPr>
            <w:tcW w:w="0" w:type="auto"/>
            <w:tcBorders>
              <w:top w:val="single" w:sz="4" w:space="0" w:color="000000"/>
              <w:left w:val="nil"/>
              <w:bottom w:val="nil"/>
              <w:right w:val="nil"/>
            </w:tcBorders>
            <w:shd w:val="clear" w:color="000000" w:fill="FFFFFF"/>
            <w:vAlign w:val="bottom"/>
            <w:hideMark/>
          </w:tcPr>
          <w:p w14:paraId="58FB7E40" w14:textId="6D9D8C9F" w:rsidR="00EB3927" w:rsidRPr="0069211F" w:rsidRDefault="00EB3927" w:rsidP="002347AA">
            <w:pPr>
              <w:pStyle w:val="TableTextRight"/>
            </w:pPr>
            <w:r w:rsidRPr="0069211F">
              <w:t>161,38</w:t>
            </w:r>
            <w:r w:rsidR="006D0D68" w:rsidRPr="0069211F">
              <w:t>0</w:t>
            </w:r>
          </w:p>
        </w:tc>
        <w:tc>
          <w:tcPr>
            <w:tcW w:w="0" w:type="auto"/>
            <w:tcBorders>
              <w:top w:val="single" w:sz="4" w:space="0" w:color="000000"/>
              <w:left w:val="nil"/>
              <w:bottom w:val="nil"/>
              <w:right w:val="nil"/>
            </w:tcBorders>
            <w:shd w:val="clear" w:color="000000" w:fill="E6F2FF"/>
            <w:vAlign w:val="bottom"/>
            <w:hideMark/>
          </w:tcPr>
          <w:p w14:paraId="432737B0" w14:textId="419FCD97" w:rsidR="00EB3927" w:rsidRPr="0069211F" w:rsidRDefault="00EB3927" w:rsidP="002347AA">
            <w:pPr>
              <w:pStyle w:val="TableTextRight"/>
            </w:pPr>
            <w:r w:rsidRPr="0069211F">
              <w:t>165,492</w:t>
            </w:r>
          </w:p>
        </w:tc>
        <w:tc>
          <w:tcPr>
            <w:tcW w:w="0" w:type="auto"/>
            <w:tcBorders>
              <w:top w:val="single" w:sz="4" w:space="0" w:color="000000"/>
              <w:left w:val="nil"/>
              <w:bottom w:val="nil"/>
              <w:right w:val="nil"/>
            </w:tcBorders>
            <w:shd w:val="clear" w:color="000000" w:fill="FFFFFF"/>
            <w:vAlign w:val="bottom"/>
            <w:hideMark/>
          </w:tcPr>
          <w:p w14:paraId="52903DFE" w14:textId="3F759C35" w:rsidR="00EB3927" w:rsidRPr="0069211F" w:rsidRDefault="00EB3927" w:rsidP="002347AA">
            <w:pPr>
              <w:pStyle w:val="TableTextRight"/>
            </w:pPr>
            <w:r w:rsidRPr="0069211F">
              <w:t>1</w:t>
            </w:r>
            <w:r w:rsidR="00780B49" w:rsidRPr="0069211F">
              <w:t>70</w:t>
            </w:r>
            <w:r w:rsidRPr="0069211F">
              <w:t>,1</w:t>
            </w:r>
            <w:r w:rsidR="00780B49" w:rsidRPr="0069211F">
              <w:t>81</w:t>
            </w:r>
          </w:p>
        </w:tc>
        <w:tc>
          <w:tcPr>
            <w:tcW w:w="0" w:type="auto"/>
            <w:tcBorders>
              <w:top w:val="single" w:sz="4" w:space="0" w:color="000000"/>
              <w:left w:val="nil"/>
              <w:bottom w:val="nil"/>
              <w:right w:val="nil"/>
            </w:tcBorders>
            <w:shd w:val="clear" w:color="000000" w:fill="FFFFFF"/>
            <w:vAlign w:val="bottom"/>
            <w:hideMark/>
          </w:tcPr>
          <w:p w14:paraId="02A71810" w14:textId="140FBC36" w:rsidR="00EB3927" w:rsidRPr="0069211F" w:rsidRDefault="00EB3927" w:rsidP="002347AA">
            <w:pPr>
              <w:pStyle w:val="TableTextRight"/>
            </w:pPr>
            <w:r w:rsidRPr="0069211F">
              <w:t>17</w:t>
            </w:r>
            <w:r w:rsidR="005D4943" w:rsidRPr="0069211F">
              <w:t>3</w:t>
            </w:r>
            <w:r w:rsidRPr="0069211F">
              <w:t>,</w:t>
            </w:r>
            <w:r w:rsidR="005D4943" w:rsidRPr="0069211F">
              <w:t>214</w:t>
            </w:r>
          </w:p>
        </w:tc>
        <w:tc>
          <w:tcPr>
            <w:tcW w:w="0" w:type="auto"/>
            <w:tcBorders>
              <w:top w:val="single" w:sz="4" w:space="0" w:color="000000"/>
              <w:left w:val="nil"/>
              <w:bottom w:val="nil"/>
              <w:right w:val="nil"/>
            </w:tcBorders>
            <w:shd w:val="clear" w:color="000000" w:fill="FFFFFF"/>
            <w:vAlign w:val="bottom"/>
            <w:hideMark/>
          </w:tcPr>
          <w:p w14:paraId="5F52C8AB" w14:textId="19570340" w:rsidR="00EB3927" w:rsidRPr="0069211F" w:rsidRDefault="00EB3927" w:rsidP="002347AA">
            <w:pPr>
              <w:pStyle w:val="TableTextRight"/>
            </w:pPr>
            <w:r w:rsidRPr="0069211F">
              <w:t>176,218</w:t>
            </w:r>
          </w:p>
        </w:tc>
      </w:tr>
      <w:tr w:rsidR="001E6F2A" w:rsidRPr="00D036D9" w14:paraId="229808A2" w14:textId="77777777" w:rsidTr="00976371">
        <w:trPr>
          <w:trHeight w:val="230"/>
        </w:trPr>
        <w:tc>
          <w:tcPr>
            <w:tcW w:w="0" w:type="auto"/>
            <w:tcBorders>
              <w:top w:val="nil"/>
              <w:left w:val="nil"/>
              <w:bottom w:val="nil"/>
              <w:right w:val="nil"/>
            </w:tcBorders>
            <w:shd w:val="clear" w:color="000000" w:fill="FFFFFF"/>
            <w:vAlign w:val="bottom"/>
            <w:hideMark/>
          </w:tcPr>
          <w:p w14:paraId="60F3078D" w14:textId="77777777" w:rsidR="00E50CB8" w:rsidRPr="00D036D9" w:rsidRDefault="00E50CB8" w:rsidP="009E69C8">
            <w:pPr>
              <w:pStyle w:val="TableTextLeft"/>
              <w:rPr>
                <w:rFonts w:cs="Arial"/>
                <w:i/>
                <w:iCs/>
                <w:szCs w:val="16"/>
              </w:rPr>
            </w:pPr>
            <w:r w:rsidRPr="00D036D9">
              <w:t>Military superannuation schemes</w:t>
            </w:r>
          </w:p>
        </w:tc>
        <w:tc>
          <w:tcPr>
            <w:tcW w:w="0" w:type="auto"/>
            <w:tcBorders>
              <w:top w:val="nil"/>
              <w:left w:val="nil"/>
              <w:bottom w:val="nil"/>
              <w:right w:val="nil"/>
            </w:tcBorders>
            <w:shd w:val="clear" w:color="000000" w:fill="FFFFFF"/>
            <w:vAlign w:val="bottom"/>
            <w:hideMark/>
          </w:tcPr>
          <w:p w14:paraId="66759306" w14:textId="77777777" w:rsidR="00E50CB8" w:rsidRPr="00D036D9" w:rsidRDefault="00E50CB8" w:rsidP="002347AA">
            <w:pPr>
              <w:pStyle w:val="TableTextRight"/>
            </w:pPr>
            <w:r w:rsidRPr="00D036D9">
              <w:t> </w:t>
            </w:r>
          </w:p>
        </w:tc>
        <w:tc>
          <w:tcPr>
            <w:tcW w:w="0" w:type="auto"/>
            <w:tcBorders>
              <w:top w:val="nil"/>
              <w:left w:val="nil"/>
              <w:bottom w:val="nil"/>
              <w:right w:val="nil"/>
            </w:tcBorders>
            <w:shd w:val="clear" w:color="000000" w:fill="E6F2FF"/>
            <w:vAlign w:val="bottom"/>
            <w:hideMark/>
          </w:tcPr>
          <w:p w14:paraId="47962F1C" w14:textId="77777777" w:rsidR="00E50CB8" w:rsidRPr="00D036D9" w:rsidRDefault="00E50CB8" w:rsidP="002347AA">
            <w:pPr>
              <w:pStyle w:val="TableTextRight"/>
            </w:pPr>
            <w:r w:rsidRPr="00D036D9">
              <w:t> </w:t>
            </w:r>
          </w:p>
        </w:tc>
        <w:tc>
          <w:tcPr>
            <w:tcW w:w="0" w:type="auto"/>
            <w:tcBorders>
              <w:top w:val="nil"/>
              <w:left w:val="nil"/>
              <w:bottom w:val="nil"/>
              <w:right w:val="nil"/>
            </w:tcBorders>
            <w:shd w:val="clear" w:color="000000" w:fill="FFFFFF"/>
            <w:vAlign w:val="bottom"/>
            <w:hideMark/>
          </w:tcPr>
          <w:p w14:paraId="679A2E85" w14:textId="77777777" w:rsidR="00E50CB8" w:rsidRPr="00D036D9" w:rsidRDefault="00E50CB8" w:rsidP="002347AA">
            <w:pPr>
              <w:pStyle w:val="TableTextRight"/>
            </w:pPr>
            <w:r w:rsidRPr="00D036D9">
              <w:t> </w:t>
            </w:r>
          </w:p>
        </w:tc>
        <w:tc>
          <w:tcPr>
            <w:tcW w:w="0" w:type="auto"/>
            <w:tcBorders>
              <w:top w:val="nil"/>
              <w:left w:val="nil"/>
              <w:bottom w:val="nil"/>
              <w:right w:val="nil"/>
            </w:tcBorders>
            <w:shd w:val="clear" w:color="000000" w:fill="FFFFFF"/>
            <w:vAlign w:val="bottom"/>
            <w:hideMark/>
          </w:tcPr>
          <w:p w14:paraId="20F78CFE" w14:textId="77777777" w:rsidR="00E50CB8" w:rsidRPr="00D036D9" w:rsidRDefault="00E50CB8" w:rsidP="002347AA">
            <w:pPr>
              <w:pStyle w:val="TableTextRight"/>
            </w:pPr>
            <w:r w:rsidRPr="00D036D9">
              <w:t> </w:t>
            </w:r>
          </w:p>
        </w:tc>
        <w:tc>
          <w:tcPr>
            <w:tcW w:w="0" w:type="auto"/>
            <w:tcBorders>
              <w:top w:val="nil"/>
              <w:left w:val="nil"/>
              <w:bottom w:val="nil"/>
              <w:right w:val="nil"/>
            </w:tcBorders>
            <w:shd w:val="clear" w:color="000000" w:fill="FFFFFF"/>
            <w:vAlign w:val="bottom"/>
            <w:hideMark/>
          </w:tcPr>
          <w:p w14:paraId="53E8BC98" w14:textId="77777777" w:rsidR="00E50CB8" w:rsidRPr="00D036D9" w:rsidRDefault="00E50CB8" w:rsidP="002347AA">
            <w:pPr>
              <w:pStyle w:val="TableTextRight"/>
            </w:pPr>
            <w:r w:rsidRPr="00D036D9">
              <w:t> </w:t>
            </w:r>
          </w:p>
        </w:tc>
      </w:tr>
      <w:tr w:rsidR="0066335A" w:rsidRPr="00D036D9" w14:paraId="6796D469" w14:textId="77777777" w:rsidTr="00976371">
        <w:trPr>
          <w:trHeight w:val="250"/>
        </w:trPr>
        <w:tc>
          <w:tcPr>
            <w:tcW w:w="0" w:type="auto"/>
            <w:tcBorders>
              <w:top w:val="nil"/>
              <w:left w:val="nil"/>
              <w:bottom w:val="nil"/>
              <w:right w:val="nil"/>
            </w:tcBorders>
            <w:shd w:val="clear" w:color="000000" w:fill="FFFFFF"/>
            <w:vAlign w:val="bottom"/>
            <w:hideMark/>
          </w:tcPr>
          <w:p w14:paraId="3D8FFA88" w14:textId="77777777" w:rsidR="0066335A" w:rsidRPr="00D036D9" w:rsidRDefault="0066335A" w:rsidP="009E69C8">
            <w:pPr>
              <w:pStyle w:val="TableTextLeft"/>
            </w:pPr>
            <w:r w:rsidRPr="00D036D9">
              <w:t>Military Superannuation and Benefits Scheme</w:t>
            </w:r>
          </w:p>
        </w:tc>
        <w:tc>
          <w:tcPr>
            <w:tcW w:w="0" w:type="auto"/>
            <w:tcBorders>
              <w:top w:val="nil"/>
              <w:left w:val="nil"/>
              <w:bottom w:val="nil"/>
              <w:right w:val="nil"/>
            </w:tcBorders>
            <w:shd w:val="clear" w:color="000000" w:fill="FFFFFF"/>
            <w:vAlign w:val="bottom"/>
            <w:hideMark/>
          </w:tcPr>
          <w:p w14:paraId="578AF86A" w14:textId="7F5E9373" w:rsidR="0066335A" w:rsidRPr="0069211F" w:rsidRDefault="0066335A" w:rsidP="002347AA">
            <w:pPr>
              <w:pStyle w:val="TableTextRight"/>
            </w:pPr>
            <w:r w:rsidRPr="0069211F">
              <w:t>96,437</w:t>
            </w:r>
          </w:p>
        </w:tc>
        <w:tc>
          <w:tcPr>
            <w:tcW w:w="0" w:type="auto"/>
            <w:tcBorders>
              <w:top w:val="nil"/>
              <w:left w:val="nil"/>
              <w:bottom w:val="nil"/>
              <w:right w:val="nil"/>
            </w:tcBorders>
            <w:shd w:val="clear" w:color="000000" w:fill="E6F2FF"/>
            <w:vAlign w:val="bottom"/>
            <w:hideMark/>
          </w:tcPr>
          <w:p w14:paraId="0968DF84" w14:textId="738CFF5C" w:rsidR="0066335A" w:rsidRPr="0069211F" w:rsidRDefault="0066335A" w:rsidP="002347AA">
            <w:pPr>
              <w:pStyle w:val="TableTextRight"/>
            </w:pPr>
            <w:r w:rsidRPr="0069211F">
              <w:t>100,934</w:t>
            </w:r>
          </w:p>
        </w:tc>
        <w:tc>
          <w:tcPr>
            <w:tcW w:w="0" w:type="auto"/>
            <w:tcBorders>
              <w:top w:val="nil"/>
              <w:left w:val="nil"/>
              <w:bottom w:val="nil"/>
              <w:right w:val="nil"/>
            </w:tcBorders>
            <w:shd w:val="clear" w:color="000000" w:fill="FFFFFF"/>
            <w:vAlign w:val="bottom"/>
            <w:hideMark/>
          </w:tcPr>
          <w:p w14:paraId="175378BD" w14:textId="7C321B65" w:rsidR="0066335A" w:rsidRPr="0069211F" w:rsidRDefault="0066335A" w:rsidP="002347AA">
            <w:pPr>
              <w:pStyle w:val="TableTextRight"/>
            </w:pPr>
            <w:r w:rsidRPr="0069211F">
              <w:t>105,251</w:t>
            </w:r>
          </w:p>
        </w:tc>
        <w:tc>
          <w:tcPr>
            <w:tcW w:w="0" w:type="auto"/>
            <w:tcBorders>
              <w:top w:val="nil"/>
              <w:left w:val="nil"/>
              <w:bottom w:val="nil"/>
              <w:right w:val="nil"/>
            </w:tcBorders>
            <w:shd w:val="clear" w:color="000000" w:fill="FFFFFF"/>
            <w:vAlign w:val="bottom"/>
            <w:hideMark/>
          </w:tcPr>
          <w:p w14:paraId="784B9D75" w14:textId="46DC70E6" w:rsidR="0066335A" w:rsidRPr="0069211F" w:rsidRDefault="0066335A" w:rsidP="002347AA">
            <w:pPr>
              <w:pStyle w:val="TableTextRight"/>
            </w:pPr>
            <w:r w:rsidRPr="0069211F">
              <w:t>109,403</w:t>
            </w:r>
          </w:p>
        </w:tc>
        <w:tc>
          <w:tcPr>
            <w:tcW w:w="0" w:type="auto"/>
            <w:tcBorders>
              <w:top w:val="nil"/>
              <w:left w:val="nil"/>
              <w:bottom w:val="nil"/>
              <w:right w:val="nil"/>
            </w:tcBorders>
            <w:shd w:val="clear" w:color="000000" w:fill="FFFFFF"/>
            <w:vAlign w:val="bottom"/>
            <w:hideMark/>
          </w:tcPr>
          <w:p w14:paraId="07E4978E" w14:textId="744423C8" w:rsidR="0066335A" w:rsidRPr="0069211F" w:rsidRDefault="0066335A" w:rsidP="002347AA">
            <w:pPr>
              <w:pStyle w:val="TableTextRight"/>
            </w:pPr>
            <w:r w:rsidRPr="0069211F">
              <w:t>113,379</w:t>
            </w:r>
          </w:p>
        </w:tc>
      </w:tr>
      <w:tr w:rsidR="00676743" w:rsidRPr="00D036D9" w14:paraId="0A05D06A" w14:textId="77777777" w:rsidTr="00976371">
        <w:trPr>
          <w:trHeight w:val="230"/>
        </w:trPr>
        <w:tc>
          <w:tcPr>
            <w:tcW w:w="0" w:type="auto"/>
            <w:tcBorders>
              <w:top w:val="nil"/>
              <w:left w:val="nil"/>
              <w:bottom w:val="nil"/>
              <w:right w:val="nil"/>
            </w:tcBorders>
            <w:shd w:val="clear" w:color="000000" w:fill="FFFFFF"/>
            <w:vAlign w:val="bottom"/>
            <w:hideMark/>
          </w:tcPr>
          <w:p w14:paraId="205FB855" w14:textId="77777777" w:rsidR="00676743" w:rsidRPr="00D036D9" w:rsidRDefault="00676743" w:rsidP="009E69C8">
            <w:pPr>
              <w:pStyle w:val="TableTextLeft"/>
            </w:pPr>
            <w:r w:rsidRPr="00D036D9">
              <w:t>Defence Force Retirement and Death Benefits</w:t>
            </w:r>
          </w:p>
        </w:tc>
        <w:tc>
          <w:tcPr>
            <w:tcW w:w="0" w:type="auto"/>
            <w:tcBorders>
              <w:top w:val="nil"/>
              <w:left w:val="nil"/>
              <w:bottom w:val="nil"/>
              <w:right w:val="nil"/>
            </w:tcBorders>
            <w:shd w:val="clear" w:color="auto" w:fill="auto"/>
            <w:vAlign w:val="bottom"/>
            <w:hideMark/>
          </w:tcPr>
          <w:p w14:paraId="132F55D8" w14:textId="77777777" w:rsidR="00676743" w:rsidRPr="0069211F" w:rsidRDefault="00676743" w:rsidP="002347AA">
            <w:pPr>
              <w:pStyle w:val="TableTextRight"/>
            </w:pPr>
            <w:r w:rsidRPr="00D036D9">
              <w:t> </w:t>
            </w:r>
          </w:p>
        </w:tc>
        <w:tc>
          <w:tcPr>
            <w:tcW w:w="0" w:type="auto"/>
            <w:tcBorders>
              <w:top w:val="nil"/>
              <w:left w:val="nil"/>
              <w:bottom w:val="nil"/>
              <w:right w:val="nil"/>
            </w:tcBorders>
            <w:shd w:val="clear" w:color="000000" w:fill="E6F2FF"/>
            <w:vAlign w:val="bottom"/>
            <w:hideMark/>
          </w:tcPr>
          <w:p w14:paraId="19FD0574" w14:textId="1F0D7A74" w:rsidR="00676743" w:rsidRPr="00D036D9" w:rsidRDefault="00676743" w:rsidP="002347AA">
            <w:pPr>
              <w:pStyle w:val="TableTextRight"/>
            </w:pPr>
            <w:r w:rsidRPr="00D036D9">
              <w:t> </w:t>
            </w:r>
          </w:p>
        </w:tc>
        <w:tc>
          <w:tcPr>
            <w:tcW w:w="0" w:type="auto"/>
            <w:tcBorders>
              <w:top w:val="nil"/>
              <w:left w:val="nil"/>
              <w:bottom w:val="nil"/>
              <w:right w:val="nil"/>
            </w:tcBorders>
            <w:shd w:val="clear" w:color="auto" w:fill="auto"/>
            <w:vAlign w:val="bottom"/>
            <w:hideMark/>
          </w:tcPr>
          <w:p w14:paraId="1AC6FFA5" w14:textId="77777777" w:rsidR="00676743" w:rsidRPr="00D036D9" w:rsidRDefault="00676743" w:rsidP="002347AA">
            <w:pPr>
              <w:pStyle w:val="TableTextRight"/>
            </w:pPr>
            <w:r w:rsidRPr="00D036D9">
              <w:t> </w:t>
            </w:r>
          </w:p>
        </w:tc>
        <w:tc>
          <w:tcPr>
            <w:tcW w:w="0" w:type="auto"/>
            <w:tcBorders>
              <w:top w:val="nil"/>
              <w:left w:val="nil"/>
              <w:bottom w:val="nil"/>
              <w:right w:val="nil"/>
            </w:tcBorders>
            <w:shd w:val="clear" w:color="auto" w:fill="auto"/>
            <w:vAlign w:val="bottom"/>
            <w:hideMark/>
          </w:tcPr>
          <w:p w14:paraId="5F4A21E0" w14:textId="77777777" w:rsidR="00676743" w:rsidRPr="00D036D9" w:rsidRDefault="00676743" w:rsidP="002347AA">
            <w:pPr>
              <w:pStyle w:val="TableTextRight"/>
            </w:pPr>
            <w:r w:rsidRPr="00D036D9">
              <w:t> </w:t>
            </w:r>
          </w:p>
        </w:tc>
        <w:tc>
          <w:tcPr>
            <w:tcW w:w="0" w:type="auto"/>
            <w:tcBorders>
              <w:top w:val="nil"/>
              <w:left w:val="nil"/>
              <w:bottom w:val="nil"/>
              <w:right w:val="nil"/>
            </w:tcBorders>
            <w:shd w:val="clear" w:color="auto" w:fill="auto"/>
            <w:vAlign w:val="bottom"/>
            <w:hideMark/>
          </w:tcPr>
          <w:p w14:paraId="3A026C69" w14:textId="77777777" w:rsidR="00676743" w:rsidRPr="00D036D9" w:rsidRDefault="00676743" w:rsidP="002347AA">
            <w:pPr>
              <w:pStyle w:val="TableTextRight"/>
            </w:pPr>
            <w:r w:rsidRPr="00D036D9">
              <w:t> </w:t>
            </w:r>
          </w:p>
        </w:tc>
      </w:tr>
      <w:tr w:rsidR="00EE3438" w:rsidRPr="00D036D9" w14:paraId="29F0DB91" w14:textId="77777777" w:rsidTr="00976371">
        <w:trPr>
          <w:trHeight w:val="230"/>
        </w:trPr>
        <w:tc>
          <w:tcPr>
            <w:tcW w:w="0" w:type="auto"/>
            <w:tcBorders>
              <w:top w:val="nil"/>
              <w:left w:val="nil"/>
              <w:bottom w:val="nil"/>
              <w:right w:val="nil"/>
            </w:tcBorders>
            <w:shd w:val="clear" w:color="000000" w:fill="FFFFFF"/>
            <w:vAlign w:val="bottom"/>
            <w:hideMark/>
          </w:tcPr>
          <w:p w14:paraId="1C1924F0" w14:textId="77777777" w:rsidR="00EE3438" w:rsidRPr="00D036D9" w:rsidRDefault="00EE3438" w:rsidP="009E69C8">
            <w:pPr>
              <w:pStyle w:val="TableTextLeft"/>
            </w:pPr>
            <w:r w:rsidRPr="00D036D9">
              <w:t xml:space="preserve">   Scheme</w:t>
            </w:r>
          </w:p>
        </w:tc>
        <w:tc>
          <w:tcPr>
            <w:tcW w:w="0" w:type="auto"/>
            <w:tcBorders>
              <w:top w:val="nil"/>
              <w:left w:val="nil"/>
              <w:bottom w:val="nil"/>
              <w:right w:val="nil"/>
            </w:tcBorders>
            <w:shd w:val="clear" w:color="000000" w:fill="FFFFFF"/>
            <w:vAlign w:val="bottom"/>
            <w:hideMark/>
          </w:tcPr>
          <w:p w14:paraId="0BAAC808" w14:textId="418454CF" w:rsidR="00EE3438" w:rsidRPr="0069211F" w:rsidRDefault="00EE3438" w:rsidP="002347AA">
            <w:pPr>
              <w:pStyle w:val="TableTextRight"/>
            </w:pPr>
            <w:r w:rsidRPr="0069211F">
              <w:t>31,392 </w:t>
            </w:r>
          </w:p>
        </w:tc>
        <w:tc>
          <w:tcPr>
            <w:tcW w:w="0" w:type="auto"/>
            <w:tcBorders>
              <w:top w:val="nil"/>
              <w:left w:val="nil"/>
              <w:bottom w:val="nil"/>
              <w:right w:val="nil"/>
            </w:tcBorders>
            <w:shd w:val="clear" w:color="000000" w:fill="E6F2FF"/>
            <w:vAlign w:val="bottom"/>
            <w:hideMark/>
          </w:tcPr>
          <w:p w14:paraId="31C8A144" w14:textId="4D66B845" w:rsidR="00EE3438" w:rsidRPr="0069211F" w:rsidRDefault="00EE3438" w:rsidP="002347AA">
            <w:pPr>
              <w:pStyle w:val="TableTextRight"/>
            </w:pPr>
            <w:r w:rsidRPr="0069211F">
              <w:t>31,021 </w:t>
            </w:r>
          </w:p>
        </w:tc>
        <w:tc>
          <w:tcPr>
            <w:tcW w:w="0" w:type="auto"/>
            <w:tcBorders>
              <w:top w:val="nil"/>
              <w:left w:val="nil"/>
              <w:bottom w:val="nil"/>
              <w:right w:val="nil"/>
            </w:tcBorders>
            <w:shd w:val="clear" w:color="000000" w:fill="FFFFFF"/>
            <w:vAlign w:val="bottom"/>
            <w:hideMark/>
          </w:tcPr>
          <w:p w14:paraId="78DF76AE" w14:textId="4551D3F0" w:rsidR="00EE3438" w:rsidRPr="0069211F" w:rsidRDefault="00EE3438" w:rsidP="002347AA">
            <w:pPr>
              <w:pStyle w:val="TableTextRight"/>
            </w:pPr>
            <w:r w:rsidRPr="0069211F">
              <w:t>30,593 </w:t>
            </w:r>
          </w:p>
        </w:tc>
        <w:tc>
          <w:tcPr>
            <w:tcW w:w="0" w:type="auto"/>
            <w:tcBorders>
              <w:top w:val="nil"/>
              <w:left w:val="nil"/>
              <w:bottom w:val="nil"/>
              <w:right w:val="nil"/>
            </w:tcBorders>
            <w:shd w:val="clear" w:color="000000" w:fill="FFFFFF"/>
            <w:vAlign w:val="bottom"/>
            <w:hideMark/>
          </w:tcPr>
          <w:p w14:paraId="2FD8EE44" w14:textId="7F4565A8" w:rsidR="00EE3438" w:rsidRPr="0069211F" w:rsidRDefault="00EE3438" w:rsidP="002347AA">
            <w:pPr>
              <w:pStyle w:val="TableTextRight"/>
            </w:pPr>
            <w:r w:rsidRPr="0069211F">
              <w:t>30,112</w:t>
            </w:r>
          </w:p>
        </w:tc>
        <w:tc>
          <w:tcPr>
            <w:tcW w:w="0" w:type="auto"/>
            <w:tcBorders>
              <w:top w:val="nil"/>
              <w:left w:val="nil"/>
              <w:bottom w:val="nil"/>
              <w:right w:val="nil"/>
            </w:tcBorders>
            <w:shd w:val="clear" w:color="000000" w:fill="FFFFFF"/>
            <w:vAlign w:val="bottom"/>
            <w:hideMark/>
          </w:tcPr>
          <w:p w14:paraId="303986B0" w14:textId="2813E582" w:rsidR="00EE3438" w:rsidRPr="0069211F" w:rsidRDefault="00EE3438" w:rsidP="002347AA">
            <w:pPr>
              <w:pStyle w:val="TableTextRight"/>
            </w:pPr>
            <w:r w:rsidRPr="0069211F">
              <w:t>29,591 </w:t>
            </w:r>
          </w:p>
        </w:tc>
      </w:tr>
      <w:tr w:rsidR="00946132" w:rsidRPr="00D036D9" w14:paraId="19BE7F44" w14:textId="77777777" w:rsidTr="00976371">
        <w:trPr>
          <w:trHeight w:val="230"/>
        </w:trPr>
        <w:tc>
          <w:tcPr>
            <w:tcW w:w="0" w:type="auto"/>
            <w:tcBorders>
              <w:top w:val="nil"/>
              <w:left w:val="nil"/>
              <w:bottom w:val="nil"/>
              <w:right w:val="nil"/>
            </w:tcBorders>
            <w:shd w:val="clear" w:color="000000" w:fill="FFFFFF"/>
            <w:vAlign w:val="bottom"/>
            <w:hideMark/>
          </w:tcPr>
          <w:p w14:paraId="1824040C" w14:textId="77777777" w:rsidR="00946132" w:rsidRPr="00D036D9" w:rsidRDefault="00946132" w:rsidP="009E69C8">
            <w:pPr>
              <w:pStyle w:val="TableTextLeft"/>
            </w:pPr>
            <w:r w:rsidRPr="00D036D9">
              <w:t>Defence Forces Retirement Benefits Scheme</w:t>
            </w:r>
          </w:p>
        </w:tc>
        <w:tc>
          <w:tcPr>
            <w:tcW w:w="0" w:type="auto"/>
            <w:tcBorders>
              <w:top w:val="nil"/>
              <w:left w:val="nil"/>
              <w:bottom w:val="nil"/>
              <w:right w:val="nil"/>
            </w:tcBorders>
            <w:shd w:val="clear" w:color="000000" w:fill="FFFFFF"/>
            <w:vAlign w:val="bottom"/>
            <w:hideMark/>
          </w:tcPr>
          <w:p w14:paraId="38BC06F1" w14:textId="378824CF" w:rsidR="00946132" w:rsidRPr="0069211F" w:rsidRDefault="00946132" w:rsidP="002347AA">
            <w:pPr>
              <w:pStyle w:val="TableTextRight"/>
            </w:pPr>
            <w:r w:rsidRPr="0069211F">
              <w:t>229</w:t>
            </w:r>
          </w:p>
        </w:tc>
        <w:tc>
          <w:tcPr>
            <w:tcW w:w="0" w:type="auto"/>
            <w:tcBorders>
              <w:top w:val="nil"/>
              <w:left w:val="nil"/>
              <w:bottom w:val="nil"/>
              <w:right w:val="nil"/>
            </w:tcBorders>
            <w:shd w:val="clear" w:color="000000" w:fill="E6F2FF"/>
            <w:vAlign w:val="bottom"/>
            <w:hideMark/>
          </w:tcPr>
          <w:p w14:paraId="20632970" w14:textId="75D59533" w:rsidR="00946132" w:rsidRPr="0069211F" w:rsidRDefault="00946132" w:rsidP="002347AA">
            <w:pPr>
              <w:pStyle w:val="TableTextRight"/>
            </w:pPr>
            <w:r w:rsidRPr="0069211F">
              <w:t>212</w:t>
            </w:r>
          </w:p>
        </w:tc>
        <w:tc>
          <w:tcPr>
            <w:tcW w:w="0" w:type="auto"/>
            <w:tcBorders>
              <w:top w:val="nil"/>
              <w:left w:val="nil"/>
              <w:bottom w:val="nil"/>
              <w:right w:val="nil"/>
            </w:tcBorders>
            <w:shd w:val="clear" w:color="000000" w:fill="FFFFFF"/>
            <w:vAlign w:val="bottom"/>
            <w:hideMark/>
          </w:tcPr>
          <w:p w14:paraId="17397805" w14:textId="5D550F7A" w:rsidR="00946132" w:rsidRPr="0069211F" w:rsidRDefault="00946132" w:rsidP="002347AA">
            <w:pPr>
              <w:pStyle w:val="TableTextRight"/>
            </w:pPr>
            <w:r w:rsidRPr="0069211F">
              <w:t>196</w:t>
            </w:r>
          </w:p>
        </w:tc>
        <w:tc>
          <w:tcPr>
            <w:tcW w:w="0" w:type="auto"/>
            <w:tcBorders>
              <w:top w:val="nil"/>
              <w:left w:val="nil"/>
              <w:bottom w:val="nil"/>
              <w:right w:val="nil"/>
            </w:tcBorders>
            <w:shd w:val="clear" w:color="000000" w:fill="FFFFFF"/>
            <w:vAlign w:val="bottom"/>
            <w:hideMark/>
          </w:tcPr>
          <w:p w14:paraId="12BE127D" w14:textId="5B919D50" w:rsidR="00946132" w:rsidRPr="0069211F" w:rsidRDefault="00946132" w:rsidP="002347AA">
            <w:pPr>
              <w:pStyle w:val="TableTextRight"/>
            </w:pPr>
            <w:r w:rsidRPr="0069211F">
              <w:t>181</w:t>
            </w:r>
          </w:p>
        </w:tc>
        <w:tc>
          <w:tcPr>
            <w:tcW w:w="0" w:type="auto"/>
            <w:tcBorders>
              <w:top w:val="nil"/>
              <w:left w:val="nil"/>
              <w:bottom w:val="nil"/>
              <w:right w:val="nil"/>
            </w:tcBorders>
            <w:shd w:val="clear" w:color="000000" w:fill="FFFFFF"/>
            <w:vAlign w:val="bottom"/>
            <w:hideMark/>
          </w:tcPr>
          <w:p w14:paraId="20D80181" w14:textId="2D41C690" w:rsidR="00946132" w:rsidRPr="0069211F" w:rsidRDefault="00946132" w:rsidP="002347AA">
            <w:pPr>
              <w:pStyle w:val="TableTextRight"/>
            </w:pPr>
            <w:r w:rsidRPr="0069211F">
              <w:t>167</w:t>
            </w:r>
          </w:p>
        </w:tc>
      </w:tr>
      <w:tr w:rsidR="00016D50" w:rsidRPr="00D036D9" w14:paraId="4C1CAE57" w14:textId="77777777" w:rsidTr="00976371">
        <w:trPr>
          <w:trHeight w:val="250"/>
        </w:trPr>
        <w:tc>
          <w:tcPr>
            <w:tcW w:w="0" w:type="auto"/>
            <w:tcBorders>
              <w:top w:val="nil"/>
              <w:left w:val="nil"/>
              <w:bottom w:val="nil"/>
              <w:right w:val="nil"/>
            </w:tcBorders>
            <w:shd w:val="clear" w:color="000000" w:fill="FFFFFF"/>
            <w:vAlign w:val="bottom"/>
            <w:hideMark/>
          </w:tcPr>
          <w:p w14:paraId="3C251F88" w14:textId="77777777" w:rsidR="00016D50" w:rsidRPr="00D036D9" w:rsidRDefault="00016D50" w:rsidP="009E69C8">
            <w:pPr>
              <w:pStyle w:val="TableTextLeft"/>
            </w:pPr>
            <w:r w:rsidRPr="00D036D9">
              <w:t>Australian Defence Force Cover</w:t>
            </w:r>
          </w:p>
        </w:tc>
        <w:tc>
          <w:tcPr>
            <w:tcW w:w="0" w:type="auto"/>
            <w:tcBorders>
              <w:top w:val="nil"/>
              <w:left w:val="nil"/>
              <w:bottom w:val="single" w:sz="4" w:space="0" w:color="000000"/>
              <w:right w:val="nil"/>
            </w:tcBorders>
            <w:shd w:val="clear" w:color="000000" w:fill="FFFFFF"/>
            <w:vAlign w:val="bottom"/>
            <w:hideMark/>
          </w:tcPr>
          <w:p w14:paraId="77377759" w14:textId="3AB424F5" w:rsidR="00016D50" w:rsidRPr="0069211F" w:rsidRDefault="00016D50" w:rsidP="002347AA">
            <w:pPr>
              <w:pStyle w:val="TableTextRight"/>
            </w:pPr>
            <w:r w:rsidRPr="0069211F">
              <w:t>4,</w:t>
            </w:r>
            <w:r w:rsidR="00476ED4" w:rsidRPr="0069211F">
              <w:t>982</w:t>
            </w:r>
          </w:p>
        </w:tc>
        <w:tc>
          <w:tcPr>
            <w:tcW w:w="0" w:type="auto"/>
            <w:tcBorders>
              <w:top w:val="nil"/>
              <w:left w:val="nil"/>
              <w:bottom w:val="single" w:sz="4" w:space="0" w:color="000000"/>
              <w:right w:val="nil"/>
            </w:tcBorders>
            <w:shd w:val="clear" w:color="000000" w:fill="E6F2FF"/>
            <w:vAlign w:val="bottom"/>
            <w:hideMark/>
          </w:tcPr>
          <w:p w14:paraId="25EA9475" w14:textId="2BFA8D78" w:rsidR="00016D50" w:rsidRPr="0069211F" w:rsidRDefault="00016D50" w:rsidP="002347AA">
            <w:pPr>
              <w:pStyle w:val="TableTextRight"/>
            </w:pPr>
            <w:r w:rsidRPr="0069211F">
              <w:t>6,</w:t>
            </w:r>
            <w:r w:rsidR="00476ED4" w:rsidRPr="0069211F">
              <w:t>483</w:t>
            </w:r>
          </w:p>
        </w:tc>
        <w:tc>
          <w:tcPr>
            <w:tcW w:w="0" w:type="auto"/>
            <w:tcBorders>
              <w:top w:val="nil"/>
              <w:left w:val="nil"/>
              <w:bottom w:val="single" w:sz="4" w:space="0" w:color="000000"/>
              <w:right w:val="nil"/>
            </w:tcBorders>
            <w:shd w:val="clear" w:color="000000" w:fill="FFFFFF"/>
            <w:vAlign w:val="bottom"/>
            <w:hideMark/>
          </w:tcPr>
          <w:p w14:paraId="334E218C" w14:textId="4611EC7D" w:rsidR="00016D50" w:rsidRPr="0069211F" w:rsidRDefault="00EC6C5C" w:rsidP="002347AA">
            <w:pPr>
              <w:pStyle w:val="TableTextRight"/>
            </w:pPr>
            <w:r w:rsidRPr="0069211F">
              <w:t>8,340</w:t>
            </w:r>
          </w:p>
        </w:tc>
        <w:tc>
          <w:tcPr>
            <w:tcW w:w="0" w:type="auto"/>
            <w:tcBorders>
              <w:top w:val="nil"/>
              <w:left w:val="nil"/>
              <w:bottom w:val="single" w:sz="4" w:space="0" w:color="000000"/>
              <w:right w:val="nil"/>
            </w:tcBorders>
            <w:shd w:val="clear" w:color="000000" w:fill="FFFFFF"/>
            <w:vAlign w:val="bottom"/>
            <w:hideMark/>
          </w:tcPr>
          <w:p w14:paraId="5769D7EB" w14:textId="38AA6495" w:rsidR="00016D50" w:rsidRPr="0069211F" w:rsidRDefault="00EC6C5C" w:rsidP="002347AA">
            <w:pPr>
              <w:pStyle w:val="TableTextRight"/>
            </w:pPr>
            <w:r w:rsidRPr="0069211F">
              <w:t>10,576</w:t>
            </w:r>
          </w:p>
        </w:tc>
        <w:tc>
          <w:tcPr>
            <w:tcW w:w="0" w:type="auto"/>
            <w:tcBorders>
              <w:top w:val="nil"/>
              <w:left w:val="nil"/>
              <w:bottom w:val="single" w:sz="4" w:space="0" w:color="000000"/>
              <w:right w:val="nil"/>
            </w:tcBorders>
            <w:shd w:val="clear" w:color="000000" w:fill="FFFFFF"/>
            <w:vAlign w:val="bottom"/>
            <w:hideMark/>
          </w:tcPr>
          <w:p w14:paraId="128D26F8" w14:textId="7BE1748D" w:rsidR="00016D50" w:rsidRPr="0069211F" w:rsidRDefault="00EC6C5C" w:rsidP="002347AA">
            <w:pPr>
              <w:pStyle w:val="TableTextRight"/>
            </w:pPr>
            <w:r w:rsidRPr="0069211F">
              <w:t>13,194</w:t>
            </w:r>
          </w:p>
        </w:tc>
      </w:tr>
      <w:tr w:rsidR="007D39F5" w:rsidRPr="00D036D9" w14:paraId="75804C89" w14:textId="77777777" w:rsidTr="00976371">
        <w:trPr>
          <w:trHeight w:val="230"/>
        </w:trPr>
        <w:tc>
          <w:tcPr>
            <w:tcW w:w="0" w:type="auto"/>
            <w:tcBorders>
              <w:top w:val="nil"/>
              <w:left w:val="nil"/>
              <w:bottom w:val="nil"/>
              <w:right w:val="nil"/>
            </w:tcBorders>
            <w:shd w:val="clear" w:color="000000" w:fill="FFFFFF"/>
            <w:vAlign w:val="bottom"/>
            <w:hideMark/>
          </w:tcPr>
          <w:p w14:paraId="03592CEE" w14:textId="77777777" w:rsidR="007D39F5" w:rsidRPr="00D036D9" w:rsidRDefault="007D39F5" w:rsidP="009E69C8">
            <w:pPr>
              <w:pStyle w:val="TableTextLeft"/>
              <w:rPr>
                <w:rFonts w:cs="Arial"/>
                <w:i/>
                <w:iCs/>
                <w:szCs w:val="16"/>
              </w:rPr>
            </w:pPr>
            <w:r w:rsidRPr="00D036D9">
              <w:t>Total military schemes</w:t>
            </w:r>
          </w:p>
        </w:tc>
        <w:tc>
          <w:tcPr>
            <w:tcW w:w="0" w:type="auto"/>
            <w:tcBorders>
              <w:top w:val="nil"/>
              <w:left w:val="nil"/>
              <w:bottom w:val="nil"/>
              <w:right w:val="nil"/>
            </w:tcBorders>
            <w:shd w:val="clear" w:color="000000" w:fill="FFFFFF"/>
            <w:vAlign w:val="bottom"/>
            <w:hideMark/>
          </w:tcPr>
          <w:p w14:paraId="0F1D5A77" w14:textId="4BA3A63D" w:rsidR="007D39F5" w:rsidRPr="0069211F" w:rsidRDefault="007D39F5" w:rsidP="002347AA">
            <w:pPr>
              <w:pStyle w:val="TableTextRight"/>
            </w:pPr>
            <w:r w:rsidRPr="0069211F">
              <w:t>13</w:t>
            </w:r>
            <w:r w:rsidR="00EC6C5C" w:rsidRPr="0069211F">
              <w:t>3</w:t>
            </w:r>
            <w:r w:rsidRPr="0069211F">
              <w:t>,</w:t>
            </w:r>
            <w:r w:rsidR="00D014C1" w:rsidRPr="0069211F">
              <w:t>040</w:t>
            </w:r>
          </w:p>
        </w:tc>
        <w:tc>
          <w:tcPr>
            <w:tcW w:w="0" w:type="auto"/>
            <w:tcBorders>
              <w:top w:val="nil"/>
              <w:left w:val="nil"/>
              <w:bottom w:val="nil"/>
              <w:right w:val="nil"/>
            </w:tcBorders>
            <w:shd w:val="clear" w:color="000000" w:fill="E6F2FF"/>
            <w:vAlign w:val="bottom"/>
            <w:hideMark/>
          </w:tcPr>
          <w:p w14:paraId="74243CF4" w14:textId="602D5105" w:rsidR="007D39F5" w:rsidRPr="0069211F" w:rsidRDefault="007D39F5" w:rsidP="002347AA">
            <w:pPr>
              <w:pStyle w:val="TableTextRight"/>
            </w:pPr>
            <w:r w:rsidRPr="0069211F">
              <w:t>138,</w:t>
            </w:r>
            <w:r w:rsidR="00D014C1" w:rsidRPr="0069211F">
              <w:t>650</w:t>
            </w:r>
          </w:p>
        </w:tc>
        <w:tc>
          <w:tcPr>
            <w:tcW w:w="0" w:type="auto"/>
            <w:tcBorders>
              <w:top w:val="nil"/>
              <w:left w:val="nil"/>
              <w:bottom w:val="nil"/>
              <w:right w:val="nil"/>
            </w:tcBorders>
            <w:shd w:val="clear" w:color="000000" w:fill="FFFFFF"/>
            <w:vAlign w:val="bottom"/>
            <w:hideMark/>
          </w:tcPr>
          <w:p w14:paraId="2D433F8C" w14:textId="458A0502" w:rsidR="007D39F5" w:rsidRPr="0069211F" w:rsidRDefault="00D014C1" w:rsidP="002347AA">
            <w:pPr>
              <w:pStyle w:val="TableTextRight"/>
            </w:pPr>
            <w:r w:rsidRPr="0069211F">
              <w:t>144,380</w:t>
            </w:r>
          </w:p>
        </w:tc>
        <w:tc>
          <w:tcPr>
            <w:tcW w:w="0" w:type="auto"/>
            <w:tcBorders>
              <w:top w:val="nil"/>
              <w:left w:val="nil"/>
              <w:bottom w:val="nil"/>
              <w:right w:val="nil"/>
            </w:tcBorders>
            <w:shd w:val="clear" w:color="000000" w:fill="FFFFFF"/>
            <w:vAlign w:val="bottom"/>
            <w:hideMark/>
          </w:tcPr>
          <w:p w14:paraId="07E9AEB6" w14:textId="5AEEEF8C" w:rsidR="007D39F5" w:rsidRPr="0069211F" w:rsidRDefault="004516F8" w:rsidP="002347AA">
            <w:pPr>
              <w:pStyle w:val="TableTextRight"/>
            </w:pPr>
            <w:r w:rsidRPr="0069211F">
              <w:t>150,272</w:t>
            </w:r>
          </w:p>
        </w:tc>
        <w:tc>
          <w:tcPr>
            <w:tcW w:w="0" w:type="auto"/>
            <w:tcBorders>
              <w:top w:val="nil"/>
              <w:left w:val="nil"/>
              <w:bottom w:val="nil"/>
              <w:right w:val="nil"/>
            </w:tcBorders>
            <w:shd w:val="clear" w:color="000000" w:fill="FFFFFF"/>
            <w:vAlign w:val="bottom"/>
            <w:hideMark/>
          </w:tcPr>
          <w:p w14:paraId="2AE02F38" w14:textId="1B68B530" w:rsidR="007D39F5" w:rsidRPr="0069211F" w:rsidRDefault="004516F8" w:rsidP="002347AA">
            <w:pPr>
              <w:pStyle w:val="TableTextRight"/>
            </w:pPr>
            <w:r w:rsidRPr="0069211F">
              <w:t>156,330</w:t>
            </w:r>
          </w:p>
        </w:tc>
      </w:tr>
      <w:tr w:rsidR="002D5D18" w:rsidRPr="00D036D9" w14:paraId="0738761C" w14:textId="77777777" w:rsidTr="00976371">
        <w:trPr>
          <w:trHeight w:val="230"/>
        </w:trPr>
        <w:tc>
          <w:tcPr>
            <w:tcW w:w="0" w:type="auto"/>
            <w:tcBorders>
              <w:top w:val="nil"/>
              <w:left w:val="nil"/>
              <w:bottom w:val="nil"/>
              <w:right w:val="nil"/>
            </w:tcBorders>
            <w:shd w:val="clear" w:color="000000" w:fill="FFFFFF"/>
            <w:vAlign w:val="bottom"/>
            <w:hideMark/>
          </w:tcPr>
          <w:p w14:paraId="560511C3" w14:textId="77777777" w:rsidR="002D5D18" w:rsidRPr="00D036D9" w:rsidRDefault="002D5D18" w:rsidP="009E69C8">
            <w:pPr>
              <w:pStyle w:val="TableTextLeft"/>
            </w:pPr>
            <w:r w:rsidRPr="00D036D9">
              <w:t>Other schemes</w:t>
            </w:r>
          </w:p>
        </w:tc>
        <w:tc>
          <w:tcPr>
            <w:tcW w:w="0" w:type="auto"/>
            <w:tcBorders>
              <w:top w:val="nil"/>
              <w:left w:val="nil"/>
              <w:bottom w:val="nil"/>
              <w:right w:val="nil"/>
            </w:tcBorders>
            <w:shd w:val="clear" w:color="000000" w:fill="FFFFFF"/>
            <w:vAlign w:val="bottom"/>
            <w:hideMark/>
          </w:tcPr>
          <w:p w14:paraId="1B87588F" w14:textId="1AFBB86C" w:rsidR="002D5D18" w:rsidRPr="0069211F" w:rsidRDefault="004516F8" w:rsidP="002347AA">
            <w:pPr>
              <w:pStyle w:val="TableTextRight"/>
            </w:pPr>
            <w:r w:rsidRPr="0069211F">
              <w:t>234</w:t>
            </w:r>
          </w:p>
        </w:tc>
        <w:tc>
          <w:tcPr>
            <w:tcW w:w="0" w:type="auto"/>
            <w:tcBorders>
              <w:top w:val="nil"/>
              <w:left w:val="nil"/>
              <w:bottom w:val="nil"/>
              <w:right w:val="nil"/>
            </w:tcBorders>
            <w:shd w:val="clear" w:color="000000" w:fill="E6F2FF"/>
            <w:vAlign w:val="bottom"/>
            <w:hideMark/>
          </w:tcPr>
          <w:p w14:paraId="325D1CF3" w14:textId="45DED3BC" w:rsidR="002D5D18" w:rsidRPr="0069211F" w:rsidRDefault="004516F8" w:rsidP="002347AA">
            <w:pPr>
              <w:pStyle w:val="TableTextRight"/>
            </w:pPr>
            <w:r w:rsidRPr="0069211F">
              <w:t>242</w:t>
            </w:r>
          </w:p>
        </w:tc>
        <w:tc>
          <w:tcPr>
            <w:tcW w:w="0" w:type="auto"/>
            <w:tcBorders>
              <w:top w:val="nil"/>
              <w:left w:val="nil"/>
              <w:bottom w:val="nil"/>
              <w:right w:val="nil"/>
            </w:tcBorders>
            <w:shd w:val="clear" w:color="000000" w:fill="FFFFFF"/>
            <w:vAlign w:val="bottom"/>
            <w:hideMark/>
          </w:tcPr>
          <w:p w14:paraId="392C5631" w14:textId="106DBE99" w:rsidR="002D5D18" w:rsidRPr="0069211F" w:rsidRDefault="004516F8" w:rsidP="002347AA">
            <w:pPr>
              <w:pStyle w:val="TableTextRight"/>
            </w:pPr>
            <w:r w:rsidRPr="0069211F">
              <w:t>253</w:t>
            </w:r>
          </w:p>
        </w:tc>
        <w:tc>
          <w:tcPr>
            <w:tcW w:w="0" w:type="auto"/>
            <w:tcBorders>
              <w:top w:val="nil"/>
              <w:left w:val="nil"/>
              <w:bottom w:val="nil"/>
              <w:right w:val="nil"/>
            </w:tcBorders>
            <w:shd w:val="clear" w:color="000000" w:fill="FFFFFF"/>
            <w:vAlign w:val="bottom"/>
            <w:hideMark/>
          </w:tcPr>
          <w:p w14:paraId="74F36D50" w14:textId="5D35AB41" w:rsidR="002D5D18" w:rsidRPr="0069211F" w:rsidRDefault="004516F8" w:rsidP="002347AA">
            <w:pPr>
              <w:pStyle w:val="TableTextRight"/>
            </w:pPr>
            <w:r w:rsidRPr="0069211F">
              <w:t>255</w:t>
            </w:r>
          </w:p>
        </w:tc>
        <w:tc>
          <w:tcPr>
            <w:tcW w:w="0" w:type="auto"/>
            <w:tcBorders>
              <w:top w:val="nil"/>
              <w:left w:val="nil"/>
              <w:bottom w:val="nil"/>
              <w:right w:val="nil"/>
            </w:tcBorders>
            <w:shd w:val="clear" w:color="000000" w:fill="FFFFFF"/>
            <w:vAlign w:val="bottom"/>
            <w:hideMark/>
          </w:tcPr>
          <w:p w14:paraId="39B59C43" w14:textId="6EF7B4E0" w:rsidR="002D5D18" w:rsidRPr="0069211F" w:rsidRDefault="004516F8" w:rsidP="002347AA">
            <w:pPr>
              <w:pStyle w:val="TableTextRight"/>
            </w:pPr>
            <w:r w:rsidRPr="0069211F">
              <w:t>191</w:t>
            </w:r>
          </w:p>
        </w:tc>
      </w:tr>
      <w:tr w:rsidR="00602CA9" w:rsidRPr="001E6F2A" w14:paraId="51C321F0" w14:textId="77777777" w:rsidTr="00976371">
        <w:trPr>
          <w:trHeight w:val="230"/>
        </w:trPr>
        <w:tc>
          <w:tcPr>
            <w:tcW w:w="0" w:type="auto"/>
            <w:tcBorders>
              <w:top w:val="single" w:sz="4" w:space="0" w:color="293F5B"/>
              <w:left w:val="nil"/>
              <w:bottom w:val="single" w:sz="4" w:space="0" w:color="293F5B"/>
              <w:right w:val="nil"/>
            </w:tcBorders>
            <w:shd w:val="clear" w:color="000000" w:fill="FFFFFF"/>
            <w:vAlign w:val="bottom"/>
            <w:hideMark/>
          </w:tcPr>
          <w:p w14:paraId="1C17B364" w14:textId="77777777" w:rsidR="00602CA9" w:rsidRPr="00E84434" w:rsidRDefault="00602CA9" w:rsidP="00602CA9">
            <w:pPr>
              <w:spacing w:before="0" w:after="0" w:line="240" w:lineRule="auto"/>
              <w:rPr>
                <w:rFonts w:ascii="Arial" w:hAnsi="Arial" w:cs="Arial"/>
                <w:b/>
                <w:bCs/>
                <w:sz w:val="16"/>
                <w:szCs w:val="16"/>
              </w:rPr>
            </w:pPr>
            <w:r w:rsidRPr="00E84434">
              <w:rPr>
                <w:rFonts w:ascii="Arial" w:hAnsi="Arial" w:cs="Arial"/>
                <w:b/>
                <w:bCs/>
                <w:sz w:val="16"/>
                <w:szCs w:val="16"/>
              </w:rPr>
              <w:t>Total</w:t>
            </w:r>
          </w:p>
        </w:tc>
        <w:tc>
          <w:tcPr>
            <w:tcW w:w="0" w:type="auto"/>
            <w:tcBorders>
              <w:top w:val="single" w:sz="4" w:space="0" w:color="293F5B"/>
              <w:left w:val="nil"/>
              <w:bottom w:val="single" w:sz="4" w:space="0" w:color="293F5B"/>
              <w:right w:val="nil"/>
            </w:tcBorders>
            <w:shd w:val="clear" w:color="000000" w:fill="FFFFFF"/>
            <w:vAlign w:val="bottom"/>
            <w:hideMark/>
          </w:tcPr>
          <w:p w14:paraId="5449C50A" w14:textId="2FE2F488" w:rsidR="00602CA9" w:rsidRPr="0069211F" w:rsidRDefault="00602CA9" w:rsidP="002347AA">
            <w:pPr>
              <w:pStyle w:val="TableTextRight"/>
              <w:rPr>
                <w:b/>
              </w:rPr>
            </w:pPr>
            <w:r w:rsidRPr="0069211F">
              <w:rPr>
                <w:b/>
              </w:rPr>
              <w:t>294,</w:t>
            </w:r>
            <w:r w:rsidR="002D2A43" w:rsidRPr="0069211F">
              <w:rPr>
                <w:b/>
              </w:rPr>
              <w:t>654</w:t>
            </w:r>
          </w:p>
        </w:tc>
        <w:tc>
          <w:tcPr>
            <w:tcW w:w="0" w:type="auto"/>
            <w:tcBorders>
              <w:top w:val="single" w:sz="4" w:space="0" w:color="293F5B"/>
              <w:left w:val="nil"/>
              <w:bottom w:val="single" w:sz="4" w:space="0" w:color="293F5B"/>
              <w:right w:val="nil"/>
            </w:tcBorders>
            <w:shd w:val="clear" w:color="000000" w:fill="E6F2FF"/>
            <w:vAlign w:val="bottom"/>
            <w:hideMark/>
          </w:tcPr>
          <w:p w14:paraId="2D18F5F0" w14:textId="30CBC253" w:rsidR="00602CA9" w:rsidRPr="0069211F" w:rsidRDefault="002D2A43" w:rsidP="002347AA">
            <w:pPr>
              <w:pStyle w:val="TableTextRight"/>
              <w:rPr>
                <w:b/>
              </w:rPr>
            </w:pPr>
            <w:r w:rsidRPr="0069211F">
              <w:rPr>
                <w:b/>
              </w:rPr>
              <w:t>304,384</w:t>
            </w:r>
          </w:p>
        </w:tc>
        <w:tc>
          <w:tcPr>
            <w:tcW w:w="0" w:type="auto"/>
            <w:tcBorders>
              <w:top w:val="single" w:sz="4" w:space="0" w:color="293F5B"/>
              <w:left w:val="nil"/>
              <w:bottom w:val="single" w:sz="4" w:space="0" w:color="293F5B"/>
              <w:right w:val="nil"/>
            </w:tcBorders>
            <w:shd w:val="clear" w:color="000000" w:fill="FFFFFF"/>
            <w:vAlign w:val="bottom"/>
            <w:hideMark/>
          </w:tcPr>
          <w:p w14:paraId="319FC1D8" w14:textId="13EAB77B" w:rsidR="00602CA9" w:rsidRPr="0069211F" w:rsidRDefault="002D2A43" w:rsidP="002347AA">
            <w:pPr>
              <w:pStyle w:val="TableTextRight"/>
              <w:rPr>
                <w:b/>
              </w:rPr>
            </w:pPr>
            <w:r w:rsidRPr="0069211F">
              <w:rPr>
                <w:b/>
              </w:rPr>
              <w:t>314,814</w:t>
            </w:r>
          </w:p>
        </w:tc>
        <w:tc>
          <w:tcPr>
            <w:tcW w:w="0" w:type="auto"/>
            <w:tcBorders>
              <w:top w:val="single" w:sz="4" w:space="0" w:color="293F5B"/>
              <w:left w:val="nil"/>
              <w:bottom w:val="single" w:sz="4" w:space="0" w:color="293F5B"/>
              <w:right w:val="nil"/>
            </w:tcBorders>
            <w:shd w:val="clear" w:color="000000" w:fill="FFFFFF"/>
            <w:vAlign w:val="bottom"/>
            <w:hideMark/>
          </w:tcPr>
          <w:p w14:paraId="58DC4426" w14:textId="2E8DAE8B" w:rsidR="00602CA9" w:rsidRPr="0069211F" w:rsidRDefault="002D2A43" w:rsidP="002347AA">
            <w:pPr>
              <w:pStyle w:val="TableTextRight"/>
              <w:rPr>
                <w:b/>
              </w:rPr>
            </w:pPr>
            <w:r w:rsidRPr="0069211F">
              <w:rPr>
                <w:b/>
              </w:rPr>
              <w:t>323,741</w:t>
            </w:r>
          </w:p>
        </w:tc>
        <w:tc>
          <w:tcPr>
            <w:tcW w:w="0" w:type="auto"/>
            <w:tcBorders>
              <w:top w:val="single" w:sz="4" w:space="0" w:color="293F5B"/>
              <w:left w:val="nil"/>
              <w:bottom w:val="single" w:sz="4" w:space="0" w:color="293F5B"/>
              <w:right w:val="nil"/>
            </w:tcBorders>
            <w:shd w:val="clear" w:color="000000" w:fill="FFFFFF"/>
            <w:vAlign w:val="bottom"/>
            <w:hideMark/>
          </w:tcPr>
          <w:p w14:paraId="152F46FD" w14:textId="0C6DE191" w:rsidR="00602CA9" w:rsidRPr="0069211F" w:rsidRDefault="002D2A43" w:rsidP="002347AA">
            <w:pPr>
              <w:pStyle w:val="TableTextRight"/>
              <w:rPr>
                <w:b/>
              </w:rPr>
            </w:pPr>
            <w:r w:rsidRPr="0069211F">
              <w:rPr>
                <w:b/>
              </w:rPr>
              <w:t>332,739</w:t>
            </w:r>
          </w:p>
        </w:tc>
      </w:tr>
    </w:tbl>
    <w:p w14:paraId="45F9DFB6" w14:textId="77777777" w:rsidR="00E50CB8" w:rsidRPr="001E6F2A" w:rsidRDefault="00E50CB8" w:rsidP="00E50CB8">
      <w:pPr>
        <w:pStyle w:val="SingleParagraph"/>
      </w:pPr>
    </w:p>
    <w:bookmarkEnd w:id="6"/>
    <w:p w14:paraId="1E0815B2" w14:textId="77777777" w:rsidR="00E50CB8" w:rsidRPr="001E6F2A" w:rsidRDefault="00E50CB8" w:rsidP="00E50CB8">
      <w:pPr>
        <w:pStyle w:val="Heading4"/>
      </w:pPr>
      <w:r w:rsidRPr="001E6F2A">
        <w:t>Other provisions and payables</w:t>
      </w:r>
    </w:p>
    <w:p w14:paraId="1F302B4E" w14:textId="42802E8F" w:rsidR="006F4778" w:rsidRPr="001E6F2A" w:rsidRDefault="000F49B9" w:rsidP="000F49B9">
      <w:r w:rsidRPr="000F49B9">
        <w:t>Other provisions and payables includes all other Government liabilities including lease liabilities, provisions for other employee entitlements such as leave, unpaid grants, subsidies, personal benefits, and payments to suppliers</w:t>
      </w:r>
      <w:r w:rsidR="0000182E">
        <w:t>.</w:t>
      </w:r>
    </w:p>
    <w:sectPr w:rsidR="006F4778" w:rsidRPr="001E6F2A" w:rsidSect="00753069">
      <w:headerReference w:type="even" r:id="rId16"/>
      <w:headerReference w:type="default" r:id="rId17"/>
      <w:footerReference w:type="even" r:id="rId18"/>
      <w:footerReference w:type="default" r:id="rId19"/>
      <w:headerReference w:type="first" r:id="rId20"/>
      <w:footerReference w:type="first" r:id="rId21"/>
      <w:pgSz w:w="11906" w:h="16838" w:code="9"/>
      <w:pgMar w:top="2835" w:right="2098" w:bottom="2466" w:left="2098" w:header="1814" w:footer="1814" w:gutter="0"/>
      <w:pgNumType w:start="39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AE89F" w14:textId="77777777" w:rsidR="002D32EC" w:rsidRDefault="002D32EC" w:rsidP="00E40261">
      <w:pPr>
        <w:spacing w:after="0" w:line="240" w:lineRule="auto"/>
      </w:pPr>
      <w:r>
        <w:separator/>
      </w:r>
    </w:p>
  </w:endnote>
  <w:endnote w:type="continuationSeparator" w:id="0">
    <w:p w14:paraId="1F81DF44" w14:textId="77777777" w:rsidR="002D32EC" w:rsidRDefault="002D32EC" w:rsidP="00E40261">
      <w:pPr>
        <w:spacing w:after="0" w:line="240" w:lineRule="auto"/>
      </w:pPr>
      <w:r>
        <w:continuationSeparator/>
      </w:r>
    </w:p>
  </w:endnote>
  <w:endnote w:type="continuationNotice" w:id="1">
    <w:p w14:paraId="58111ECC" w14:textId="77777777" w:rsidR="002D32EC" w:rsidRDefault="002D32E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Bold">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3FFA4" w14:textId="43E9B968" w:rsidR="00FB5DDD" w:rsidRDefault="0085289A" w:rsidP="00360947">
    <w:pPr>
      <w:pStyle w:val="FooterEven"/>
    </w:pPr>
    <w:r w:rsidRPr="00B3705D">
      <w:rPr>
        <w:b/>
      </w:rPr>
      <w:t xml:space="preserve">Page </w:t>
    </w:r>
    <w:r w:rsidRPr="00B3705D">
      <w:rPr>
        <w:b/>
        <w:bCs/>
      </w:rPr>
      <w:fldChar w:fldCharType="begin"/>
    </w:r>
    <w:r w:rsidRPr="00B3705D">
      <w:rPr>
        <w:b/>
      </w:rPr>
      <w:instrText xml:space="preserve"> PAGE  \* Arabic  \* MERGEFORMAT </w:instrText>
    </w:r>
    <w:r w:rsidRPr="00B3705D">
      <w:rPr>
        <w:b/>
        <w:bCs/>
      </w:rPr>
      <w:fldChar w:fldCharType="separate"/>
    </w:r>
    <w:r>
      <w:rPr>
        <w:b/>
        <w:bCs/>
      </w:rPr>
      <w:t>6</w:t>
    </w:r>
    <w:r w:rsidRPr="00B3705D">
      <w:rPr>
        <w:b/>
        <w:bCs/>
      </w:rPr>
      <w:fldChar w:fldCharType="end"/>
    </w:r>
    <w:r w:rsidRPr="00B3705D">
      <w:t xml:space="preserve">  |  </w:t>
    </w:r>
    <w:r w:rsidR="00C804BE">
      <w:fldChar w:fldCharType="begin"/>
    </w:r>
    <w:r w:rsidR="00C804BE">
      <w:instrText xml:space="preserve"> SUBJECT   \* MERGEFORMAT </w:instrText>
    </w:r>
    <w:r w:rsidR="00C804BE">
      <w:fldChar w:fldCharType="separate"/>
    </w:r>
    <w:r w:rsidR="003C1195">
      <w:t>Statement 10: Australian Government Budget Financial Statements</w:t>
    </w:r>
    <w:r w:rsidR="00C804B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6DB39" w14:textId="11D1130B" w:rsidR="00FB5DDD" w:rsidRDefault="00C804BE" w:rsidP="0085289A">
    <w:pPr>
      <w:pStyle w:val="FooterOdd"/>
    </w:pPr>
    <w:r>
      <w:fldChar w:fldCharType="begin"/>
    </w:r>
    <w:r>
      <w:instrText xml:space="preserve"> SUBJECT   \* MERGEFORMAT </w:instrText>
    </w:r>
    <w:r>
      <w:fldChar w:fldCharType="separate"/>
    </w:r>
    <w:r w:rsidR="003C1195">
      <w:t>Statement 10: Australian Government Budget Financial Statements</w:t>
    </w:r>
    <w:r>
      <w:fldChar w:fldCharType="end"/>
    </w:r>
    <w:r w:rsidR="0085289A" w:rsidRPr="00B3705D">
      <w:t xml:space="preserve">  |  </w:t>
    </w:r>
    <w:r w:rsidR="0085289A" w:rsidRPr="00B3705D">
      <w:rPr>
        <w:b/>
        <w:bCs/>
      </w:rPr>
      <w:t xml:space="preserve">Page </w:t>
    </w:r>
    <w:r w:rsidR="0085289A" w:rsidRPr="00B3705D">
      <w:rPr>
        <w:b/>
        <w:bCs/>
      </w:rPr>
      <w:fldChar w:fldCharType="begin"/>
    </w:r>
    <w:r w:rsidR="0085289A" w:rsidRPr="00B3705D">
      <w:rPr>
        <w:b/>
        <w:bCs/>
      </w:rPr>
      <w:instrText xml:space="preserve"> PAGE  \* Arabic  \* MERGEFORMAT </w:instrText>
    </w:r>
    <w:r w:rsidR="0085289A" w:rsidRPr="00B3705D">
      <w:rPr>
        <w:b/>
        <w:bCs/>
      </w:rPr>
      <w:fldChar w:fldCharType="separate"/>
    </w:r>
    <w:r w:rsidR="0085289A">
      <w:rPr>
        <w:b/>
        <w:bCs/>
      </w:rPr>
      <w:t>1</w:t>
    </w:r>
    <w:r w:rsidR="0085289A" w:rsidRPr="00B3705D">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3D798" w14:textId="1735A290" w:rsidR="00FB5DDD" w:rsidRDefault="00C804BE" w:rsidP="0085289A">
    <w:pPr>
      <w:pStyle w:val="FooterOdd"/>
    </w:pPr>
    <w:r>
      <w:fldChar w:fldCharType="begin"/>
    </w:r>
    <w:r>
      <w:instrText xml:space="preserve"> SUBJECT   \* MERGEFORMAT </w:instrText>
    </w:r>
    <w:r>
      <w:fldChar w:fldCharType="separate"/>
    </w:r>
    <w:r w:rsidR="003C1195">
      <w:t>Statement 10: Australian Government Budget Financial Statements</w:t>
    </w:r>
    <w:r>
      <w:fldChar w:fldCharType="end"/>
    </w:r>
    <w:r w:rsidR="0085289A" w:rsidRPr="00B3705D">
      <w:t xml:space="preserve">  |  </w:t>
    </w:r>
    <w:r w:rsidR="0085289A" w:rsidRPr="00B3705D">
      <w:rPr>
        <w:b/>
        <w:bCs/>
      </w:rPr>
      <w:t xml:space="preserve">Page </w:t>
    </w:r>
    <w:r w:rsidR="0085289A" w:rsidRPr="00B3705D">
      <w:rPr>
        <w:b/>
        <w:bCs/>
      </w:rPr>
      <w:fldChar w:fldCharType="begin"/>
    </w:r>
    <w:r w:rsidR="0085289A" w:rsidRPr="00B3705D">
      <w:rPr>
        <w:b/>
        <w:bCs/>
      </w:rPr>
      <w:instrText xml:space="preserve"> PAGE  \* Arabic  \* MERGEFORMAT </w:instrText>
    </w:r>
    <w:r w:rsidR="0085289A" w:rsidRPr="00B3705D">
      <w:rPr>
        <w:b/>
        <w:bCs/>
      </w:rPr>
      <w:fldChar w:fldCharType="separate"/>
    </w:r>
    <w:r w:rsidR="0085289A">
      <w:rPr>
        <w:b/>
        <w:bCs/>
      </w:rPr>
      <w:t>1</w:t>
    </w:r>
    <w:r w:rsidR="0085289A" w:rsidRPr="00B3705D">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1EED4" w14:textId="77777777" w:rsidR="002D32EC" w:rsidRPr="003C1CA4" w:rsidRDefault="002D32EC" w:rsidP="00EB6597">
      <w:pPr>
        <w:spacing w:after="0" w:line="240" w:lineRule="auto"/>
        <w:ind w:right="8277"/>
        <w:rPr>
          <w:rFonts w:asciiTheme="majorHAnsi" w:hAnsiTheme="majorHAnsi"/>
          <w:color w:val="E1E3E6" w:themeColor="background2" w:themeTint="33"/>
        </w:rPr>
      </w:pPr>
      <w:r w:rsidRPr="003C1CA4">
        <w:rPr>
          <w:rFonts w:asciiTheme="majorHAnsi" w:hAnsiTheme="majorHAnsi"/>
          <w:color w:val="E1E3E6" w:themeColor="background2" w:themeTint="33"/>
        </w:rPr>
        <w:t>—</w:t>
      </w:r>
    </w:p>
  </w:footnote>
  <w:footnote w:type="continuationSeparator" w:id="0">
    <w:p w14:paraId="6EB08BF5" w14:textId="77777777" w:rsidR="002D32EC" w:rsidRDefault="002D32EC" w:rsidP="00E40261">
      <w:pPr>
        <w:spacing w:after="0" w:line="240" w:lineRule="auto"/>
      </w:pPr>
      <w:r>
        <w:continuationSeparator/>
      </w:r>
    </w:p>
  </w:footnote>
  <w:footnote w:type="continuationNotice" w:id="1">
    <w:p w14:paraId="4EAA821C" w14:textId="77777777" w:rsidR="002D32EC" w:rsidRDefault="002D32E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6AC98" w14:textId="15FF43F0" w:rsidR="00FB5DDD" w:rsidRPr="00AA5439" w:rsidRDefault="00C10513" w:rsidP="00AA5439">
    <w:pPr>
      <w:pStyle w:val="HeaderEven"/>
      <w:rPr>
        <w:sz w:val="2"/>
        <w:szCs w:val="2"/>
      </w:rPr>
    </w:pPr>
    <w:r>
      <w:rPr>
        <w:noProof/>
        <w:sz w:val="2"/>
        <w:szCs w:val="2"/>
      </w:rPr>
      <w:drawing>
        <wp:anchor distT="0" distB="0" distL="114300" distR="114300" simplePos="0" relativeHeight="251658241" behindDoc="1" locked="0" layoutInCell="1" allowOverlap="1" wp14:anchorId="7CDE1657" wp14:editId="4EE9A9BD">
          <wp:simplePos x="1335819" y="1152939"/>
          <wp:positionH relativeFrom="page">
            <wp:align>center</wp:align>
          </wp:positionH>
          <wp:positionV relativeFrom="page">
            <wp:align>center</wp:align>
          </wp:positionV>
          <wp:extent cx="7520400" cy="10638000"/>
          <wp:effectExtent l="0" t="0" r="444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flipH="1">
                    <a:off x="0" y="0"/>
                    <a:ext cx="7520400" cy="106380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7"/>
    </w:tblGrid>
    <w:tr w:rsidR="00FB5DDD" w14:paraId="383CEA16" w14:textId="77777777">
      <w:trPr>
        <w:trHeight w:hRule="exact" w:val="340"/>
      </w:trPr>
      <w:tc>
        <w:tcPr>
          <w:tcW w:w="7797" w:type="dxa"/>
        </w:tcPr>
        <w:p w14:paraId="4CC838EE" w14:textId="794AA97D" w:rsidR="00FB5DDD" w:rsidRPr="008C56E1" w:rsidRDefault="00FB5DDD" w:rsidP="00F60EA1">
          <w:pPr>
            <w:pStyle w:val="HeaderEven"/>
          </w:pPr>
          <w:r w:rsidRPr="008C56E1">
            <w:rPr>
              <w:noProof/>
              <w:position w:val="-8"/>
            </w:rPr>
            <w:drawing>
              <wp:inline distT="0" distB="0" distL="0" distR="0" wp14:anchorId="6BA09EF4" wp14:editId="0999B581">
                <wp:extent cx="874979" cy="198000"/>
                <wp:effectExtent l="0" t="0" r="1905" b="0"/>
                <wp:docPr id="75" name="Picture 7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a:extLst>
                            <a:ext uri="{C183D7F6-B498-43B3-948B-1728B52AA6E4}">
                              <adec:decorative xmlns:adec="http://schemas.microsoft.com/office/drawing/2017/decorative" val="1"/>
                            </a:ext>
                          </a:extLst>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874979" cy="198000"/>
                        </a:xfrm>
                        <a:prstGeom prst="rect">
                          <a:avLst/>
                        </a:prstGeom>
                      </pic:spPr>
                    </pic:pic>
                  </a:graphicData>
                </a:graphic>
              </wp:inline>
            </w:drawing>
          </w:r>
          <w:r w:rsidRPr="008C56E1">
            <w:t xml:space="preserve">  |  </w:t>
          </w:r>
          <w:r w:rsidR="00C804BE">
            <w:fldChar w:fldCharType="begin"/>
          </w:r>
          <w:r w:rsidR="00C804BE">
            <w:instrText xml:space="preserve"> TITLE   \* MERGEFORMAT </w:instrText>
          </w:r>
          <w:r w:rsidR="00C804BE">
            <w:fldChar w:fldCharType="separate"/>
          </w:r>
          <w:r w:rsidR="003C1195">
            <w:t>Budget Paper No. 1</w:t>
          </w:r>
          <w:r w:rsidR="00C804BE">
            <w:fldChar w:fldCharType="end"/>
          </w:r>
        </w:p>
      </w:tc>
    </w:tr>
  </w:tbl>
  <w:p w14:paraId="13ED2FDA" w14:textId="77777777" w:rsidR="00FB5DDD" w:rsidRPr="00AA5439" w:rsidRDefault="00FB5DDD" w:rsidP="00AA5439">
    <w:pPr>
      <w:pStyle w:val="HeaderEven"/>
      <w:rPr>
        <w:sz w:val="2"/>
        <w:szCs w:val="4"/>
      </w:rPr>
    </w:pPr>
  </w:p>
  <w:p w14:paraId="0D517A37" w14:textId="77777777" w:rsidR="00FB5DDD" w:rsidRPr="007703C7" w:rsidRDefault="00FB5DDD" w:rsidP="007703C7">
    <w:pPr>
      <w:pStyle w:val="Heade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7"/>
    </w:tblGrid>
    <w:tr w:rsidR="00F14762" w14:paraId="47211B6C" w14:textId="77777777">
      <w:trPr>
        <w:trHeight w:hRule="exact" w:val="340"/>
      </w:trPr>
      <w:tc>
        <w:tcPr>
          <w:tcW w:w="7797" w:type="dxa"/>
          <w:tcMar>
            <w:left w:w="108" w:type="dxa"/>
            <w:right w:w="108" w:type="dxa"/>
          </w:tcMar>
        </w:tcPr>
        <w:p w14:paraId="387DA49E" w14:textId="19C31BF6" w:rsidR="00F14762" w:rsidRPr="00D13BF9" w:rsidRDefault="00C804BE" w:rsidP="00D13BF9">
          <w:pPr>
            <w:pStyle w:val="HeaderOdd"/>
          </w:pPr>
          <w:r>
            <w:fldChar w:fldCharType="begin"/>
          </w:r>
          <w:r>
            <w:instrText xml:space="preserve"> TITLE   \* MERGEFORMAT </w:instrText>
          </w:r>
          <w:r>
            <w:fldChar w:fldCharType="separate"/>
          </w:r>
          <w:r w:rsidR="003C1195">
            <w:t>Budget Paper No. 1</w:t>
          </w:r>
          <w:r>
            <w:fldChar w:fldCharType="end"/>
          </w:r>
          <w:r w:rsidR="00F14762" w:rsidRPr="00D13BF9">
            <w:t xml:space="preserve">  |  </w:t>
          </w:r>
          <w:r w:rsidR="00F14762" w:rsidRPr="00C9389A">
            <w:rPr>
              <w:noProof/>
              <w:position w:val="-8"/>
            </w:rPr>
            <w:drawing>
              <wp:inline distT="0" distB="0" distL="0" distR="0" wp14:anchorId="5C25C68A" wp14:editId="68D4C644">
                <wp:extent cx="878400" cy="198000"/>
                <wp:effectExtent l="0" t="0" r="0" b="0"/>
                <wp:docPr id="71" name="Picture 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8400" cy="198000"/>
                        </a:xfrm>
                        <a:prstGeom prst="rect">
                          <a:avLst/>
                        </a:prstGeom>
                      </pic:spPr>
                    </pic:pic>
                  </a:graphicData>
                </a:graphic>
              </wp:inline>
            </w:drawing>
          </w:r>
        </w:p>
      </w:tc>
    </w:tr>
  </w:tbl>
  <w:p w14:paraId="3261F075" w14:textId="1887384B" w:rsidR="00FB5DDD" w:rsidRPr="000635BE" w:rsidRDefault="00CE4578" w:rsidP="000635BE">
    <w:pPr>
      <w:pStyle w:val="HeaderOdd"/>
      <w:rPr>
        <w:sz w:val="2"/>
        <w:szCs w:val="4"/>
      </w:rPr>
    </w:pPr>
    <w:r>
      <w:rPr>
        <w:noProof/>
      </w:rPr>
      <w:drawing>
        <wp:anchor distT="0" distB="0" distL="114300" distR="114300" simplePos="0" relativeHeight="251658242" behindDoc="1" locked="0" layoutInCell="1" allowOverlap="1" wp14:anchorId="7C650AA0" wp14:editId="0E73F1A9">
          <wp:simplePos x="0" y="0"/>
          <wp:positionH relativeFrom="page">
            <wp:align>center</wp:align>
          </wp:positionH>
          <wp:positionV relativeFrom="page">
            <wp:align>center</wp:align>
          </wp:positionV>
          <wp:extent cx="7520400" cy="10638000"/>
          <wp:effectExtent l="0" t="0" r="4445"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2">
                    <a:extLst>
                      <a:ext uri="{28A0092B-C50C-407E-A947-70E740481C1C}">
                        <a14:useLocalDpi xmlns:a14="http://schemas.microsoft.com/office/drawing/2010/main" val="0"/>
                      </a:ext>
                    </a:extLst>
                  </a:blip>
                  <a:stretch>
                    <a:fillRect/>
                  </a:stretch>
                </pic:blipFill>
                <pic:spPr>
                  <a:xfrm>
                    <a:off x="0" y="0"/>
                    <a:ext cx="7520400" cy="10638000"/>
                  </a:xfrm>
                  <a:prstGeom prst="rect">
                    <a:avLst/>
                  </a:prstGeom>
                </pic:spPr>
              </pic:pic>
            </a:graphicData>
          </a:graphic>
          <wp14:sizeRelH relativeFrom="margin">
            <wp14:pctWidth>0</wp14:pctWidth>
          </wp14:sizeRelH>
          <wp14:sizeRelV relativeFrom="margin">
            <wp14:pctHeight>0</wp14:pctHeight>
          </wp14:sizeRelV>
        </wp:anchor>
      </w:drawing>
    </w:r>
  </w:p>
  <w:p w14:paraId="2DAE4CA6" w14:textId="77777777" w:rsidR="00FB5DDD" w:rsidRPr="00AA5439" w:rsidRDefault="00FB5DDD" w:rsidP="00AA5439">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BB88" w14:textId="7D4D1586" w:rsidR="00FB5DDD" w:rsidRDefault="001C76CB">
    <w:pPr>
      <w:pStyle w:val="Header"/>
      <w:rPr>
        <w:sz w:val="2"/>
        <w:szCs w:val="2"/>
      </w:rPr>
    </w:pPr>
    <w:r>
      <w:rPr>
        <w:noProof/>
        <w:sz w:val="2"/>
        <w:szCs w:val="2"/>
      </w:rPr>
      <w:drawing>
        <wp:anchor distT="0" distB="0" distL="114300" distR="114300" simplePos="0" relativeHeight="251658240" behindDoc="1" locked="0" layoutInCell="1" allowOverlap="1" wp14:anchorId="113FAE05" wp14:editId="20BB5CF3">
          <wp:simplePos x="0" y="0"/>
          <wp:positionH relativeFrom="page">
            <wp:posOffset>15903</wp:posOffset>
          </wp:positionH>
          <wp:positionV relativeFrom="page">
            <wp:posOffset>15903</wp:posOffset>
          </wp:positionV>
          <wp:extent cx="7538400" cy="10663200"/>
          <wp:effectExtent l="0" t="0" r="5715" b="508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38400" cy="10663200"/>
                  </a:xfrm>
                  <a:prstGeom prst="rect">
                    <a:avLst/>
                  </a:prstGeom>
                </pic:spPr>
              </pic:pic>
            </a:graphicData>
          </a:graphic>
          <wp14:sizeRelH relativeFrom="page">
            <wp14:pctWidth>0</wp14:pctWidth>
          </wp14:sizeRelH>
          <wp14:sizeRelV relativeFrom="page">
            <wp14:pctHeight>0</wp14:pctHeight>
          </wp14:sizeRelV>
        </wp:anchor>
      </w:drawing>
    </w:r>
  </w:p>
  <w:p w14:paraId="5FE33C74" w14:textId="77777777" w:rsidR="00FB5DDD" w:rsidRDefault="00FB5DDD">
    <w:pPr>
      <w:pStyle w:val="Header"/>
      <w:rPr>
        <w:sz w:val="2"/>
        <w:szCs w:val="2"/>
      </w:rPr>
    </w:pPr>
  </w:p>
  <w:p w14:paraId="15FB681B" w14:textId="0AC26EEF" w:rsidR="00FB5DDD" w:rsidRPr="005B2F30" w:rsidRDefault="00FB5DDD">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BA4A87E"/>
    <w:lvl w:ilvl="0">
      <w:start w:val="1"/>
      <w:numFmt w:val="decimal"/>
      <w:lvlText w:val="%1."/>
      <w:lvlJc w:val="left"/>
      <w:pPr>
        <w:tabs>
          <w:tab w:val="num" w:pos="1918"/>
        </w:tabs>
        <w:ind w:left="1918" w:hanging="360"/>
      </w:pPr>
    </w:lvl>
  </w:abstractNum>
  <w:abstractNum w:abstractNumId="1" w15:restartNumberingAfterBreak="0">
    <w:nsid w:val="FFFFFF7D"/>
    <w:multiLevelType w:val="singleLevel"/>
    <w:tmpl w:val="9E4E7D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BC0E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74B4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821A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60DD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4F2C7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4A2E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16B0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7C75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C456C"/>
    <w:multiLevelType w:val="multilevel"/>
    <w:tmpl w:val="98A42FC4"/>
    <w:name w:val="StandardNumberedList"/>
    <w:lvl w:ilvl="0">
      <w:start w:val="1"/>
      <w:numFmt w:val="decimal"/>
      <w:pStyle w:val="OutlineNumbered1"/>
      <w:lvlText w:val="%1."/>
      <w:lvlJc w:val="left"/>
      <w:pPr>
        <w:tabs>
          <w:tab w:val="num" w:pos="449"/>
        </w:tabs>
        <w:ind w:left="449" w:hanging="449"/>
      </w:pPr>
    </w:lvl>
    <w:lvl w:ilvl="1">
      <w:start w:val="1"/>
      <w:numFmt w:val="decimal"/>
      <w:pStyle w:val="OutlineNumbered2"/>
      <w:lvlText w:val="%1.%2."/>
      <w:lvlJc w:val="left"/>
      <w:pPr>
        <w:tabs>
          <w:tab w:val="num" w:pos="898"/>
        </w:tabs>
        <w:ind w:left="898" w:hanging="449"/>
      </w:pPr>
    </w:lvl>
    <w:lvl w:ilvl="2">
      <w:start w:val="1"/>
      <w:numFmt w:val="decimal"/>
      <w:pStyle w:val="OutlineNumbered3"/>
      <w:lvlText w:val="%1.%2.%3."/>
      <w:lvlJc w:val="left"/>
      <w:pPr>
        <w:tabs>
          <w:tab w:val="num" w:pos="1347"/>
        </w:tabs>
        <w:ind w:left="1347" w:hanging="449"/>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A41"/>
    <w:multiLevelType w:val="hybridMultilevel"/>
    <w:tmpl w:val="88B646B0"/>
    <w:lvl w:ilvl="0" w:tplc="C4708B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EC42909"/>
    <w:multiLevelType w:val="multilevel"/>
    <w:tmpl w:val="9828D65A"/>
    <w:lvl w:ilvl="0">
      <w:start w:val="1"/>
      <w:numFmt w:val="bullet"/>
      <w:lvlRestart w:val="0"/>
      <w:pStyle w:val="Bullet"/>
      <w:lvlText w:val="•"/>
      <w:lvlJc w:val="left"/>
      <w:pPr>
        <w:tabs>
          <w:tab w:val="num" w:pos="283"/>
        </w:tabs>
        <w:ind w:left="283" w:hanging="283"/>
      </w:pPr>
      <w:rPr>
        <w:rFonts w:ascii="Times New Roman" w:hAnsi="Times New Roman" w:cs="Times New Roman"/>
        <w:b w:val="0"/>
        <w:i w:val="0"/>
      </w:rPr>
    </w:lvl>
    <w:lvl w:ilvl="1">
      <w:start w:val="1"/>
      <w:numFmt w:val="bullet"/>
      <w:pStyle w:val="Dash"/>
      <w:lvlText w:val="–"/>
      <w:lvlJc w:val="left"/>
      <w:pPr>
        <w:tabs>
          <w:tab w:val="num" w:pos="567"/>
        </w:tabs>
        <w:ind w:left="567" w:hanging="284"/>
      </w:pPr>
      <w:rPr>
        <w:rFonts w:ascii="Times New Roman" w:hAnsi="Times New Roman" w:cs="Times New Roman"/>
        <w:b w:val="0"/>
        <w:i w:val="0"/>
      </w:rPr>
    </w:lvl>
    <w:lvl w:ilvl="2">
      <w:start w:val="1"/>
      <w:numFmt w:val="bullet"/>
      <w:pStyle w:val="DoubleDot"/>
      <w:lvlText w:val=":"/>
      <w:lvlJc w:val="left"/>
      <w:pPr>
        <w:tabs>
          <w:tab w:val="num" w:pos="850"/>
        </w:tabs>
        <w:ind w:left="850" w:hanging="283"/>
      </w:pPr>
      <w:rPr>
        <w:rFonts w:ascii="Times New Roman" w:hAnsi="Times New Roman" w:cs="Times New Roman"/>
        <w:b w:val="0"/>
        <w:i w:val="0"/>
      </w:rPr>
    </w:lvl>
    <w:lvl w:ilvl="3">
      <w:start w:val="1"/>
      <w:numFmt w:val="decimal"/>
      <w:lvlText w:val="(%4)"/>
      <w:lvlJc w:val="left"/>
      <w:pPr>
        <w:tabs>
          <w:tab w:val="num" w:pos="1440"/>
        </w:tabs>
        <w:ind w:left="1440" w:hanging="360"/>
      </w:pPr>
      <w:rPr>
        <w:b w:val="0"/>
        <w:i w:val="0"/>
      </w:rPr>
    </w:lvl>
    <w:lvl w:ilvl="4">
      <w:start w:val="1"/>
      <w:numFmt w:val="lowerLetter"/>
      <w:lvlText w:val="(%5)"/>
      <w:lvlJc w:val="left"/>
      <w:pPr>
        <w:tabs>
          <w:tab w:val="num" w:pos="1800"/>
        </w:tabs>
        <w:ind w:left="1800" w:hanging="360"/>
      </w:pPr>
      <w:rPr>
        <w:b w:val="0"/>
        <w:i w:val="0"/>
      </w:rPr>
    </w:lvl>
    <w:lvl w:ilvl="5">
      <w:start w:val="1"/>
      <w:numFmt w:val="lowerRoman"/>
      <w:lvlText w:val="(%6)"/>
      <w:lvlJc w:val="left"/>
      <w:pPr>
        <w:tabs>
          <w:tab w:val="num" w:pos="2160"/>
        </w:tabs>
        <w:ind w:left="2160" w:hanging="360"/>
      </w:pPr>
      <w:rPr>
        <w:b w:val="0"/>
        <w:i w:val="0"/>
      </w:rPr>
    </w:lvl>
    <w:lvl w:ilvl="6">
      <w:start w:val="1"/>
      <w:numFmt w:val="decimal"/>
      <w:lvlText w:val="%7."/>
      <w:lvlJc w:val="left"/>
      <w:pPr>
        <w:tabs>
          <w:tab w:val="num" w:pos="2520"/>
        </w:tabs>
        <w:ind w:left="2520" w:hanging="360"/>
      </w:pPr>
      <w:rPr>
        <w:b w:val="0"/>
        <w:i w:val="0"/>
      </w:rPr>
    </w:lvl>
    <w:lvl w:ilvl="7">
      <w:start w:val="1"/>
      <w:numFmt w:val="lowerLetter"/>
      <w:lvlText w:val="%8."/>
      <w:lvlJc w:val="left"/>
      <w:pPr>
        <w:tabs>
          <w:tab w:val="num" w:pos="2880"/>
        </w:tabs>
        <w:ind w:left="2880" w:hanging="360"/>
      </w:pPr>
      <w:rPr>
        <w:b w:val="0"/>
        <w:i w:val="0"/>
      </w:rPr>
    </w:lvl>
    <w:lvl w:ilvl="8">
      <w:start w:val="1"/>
      <w:numFmt w:val="lowerRoman"/>
      <w:lvlText w:val="%9."/>
      <w:lvlJc w:val="left"/>
      <w:pPr>
        <w:tabs>
          <w:tab w:val="num" w:pos="3240"/>
        </w:tabs>
        <w:ind w:left="3240" w:hanging="360"/>
      </w:pPr>
      <w:rPr>
        <w:b w:val="0"/>
        <w:i w:val="0"/>
      </w:rPr>
    </w:lvl>
  </w:abstractNum>
  <w:abstractNum w:abstractNumId="13" w15:restartNumberingAfterBreak="0">
    <w:nsid w:val="10757CBC"/>
    <w:multiLevelType w:val="singleLevel"/>
    <w:tmpl w:val="103C53FC"/>
    <w:name w:val="Box Bullet List"/>
    <w:lvl w:ilvl="0">
      <w:start w:val="1"/>
      <w:numFmt w:val="bullet"/>
      <w:lvlRestart w:val="0"/>
      <w:pStyle w:val="BoxBullet"/>
      <w:lvlText w:val="•"/>
      <w:lvlJc w:val="left"/>
      <w:pPr>
        <w:tabs>
          <w:tab w:val="num" w:pos="283"/>
        </w:tabs>
        <w:ind w:left="283" w:hanging="283"/>
      </w:pPr>
      <w:rPr>
        <w:rFonts w:ascii="Times New Roman" w:hAnsi="Times New Roman" w:cs="Times New Roman"/>
        <w:b w:val="0"/>
        <w:i w:val="0"/>
      </w:rPr>
    </w:lvl>
  </w:abstractNum>
  <w:abstractNum w:abstractNumId="14" w15:restartNumberingAfterBreak="0">
    <w:nsid w:val="1647577F"/>
    <w:multiLevelType w:val="multilevel"/>
    <w:tmpl w:val="794240C4"/>
    <w:lvl w:ilvl="0">
      <w:start w:val="1"/>
      <w:numFmt w:val="lowerLetter"/>
      <w:pStyle w:val="ChartandTableFootnoteAlpha"/>
      <w:lvlText w:val="%1)"/>
      <w:lvlJc w:val="left"/>
      <w:pPr>
        <w:ind w:left="284" w:hanging="284"/>
      </w:pPr>
      <w:rPr>
        <w:rFonts w:hint="default"/>
        <w:b w:val="0"/>
        <w:i w:val="0"/>
        <w:color w:val="000000"/>
        <w:sz w:val="16"/>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5" w15:restartNumberingAfterBreak="0">
    <w:nsid w:val="237BD3CA"/>
    <w:multiLevelType w:val="hybridMultilevel"/>
    <w:tmpl w:val="18945648"/>
    <w:lvl w:ilvl="0" w:tplc="7A465B82">
      <w:start w:val="1"/>
      <w:numFmt w:val="bullet"/>
      <w:lvlText w:val=""/>
      <w:lvlJc w:val="left"/>
      <w:pPr>
        <w:ind w:left="360" w:hanging="360"/>
      </w:pPr>
      <w:rPr>
        <w:rFonts w:ascii="Symbol" w:hAnsi="Symbol" w:hint="default"/>
      </w:rPr>
    </w:lvl>
    <w:lvl w:ilvl="1" w:tplc="003671F2">
      <w:start w:val="1"/>
      <w:numFmt w:val="bullet"/>
      <w:lvlText w:val="o"/>
      <w:lvlJc w:val="left"/>
      <w:pPr>
        <w:ind w:left="1080" w:hanging="360"/>
      </w:pPr>
      <w:rPr>
        <w:rFonts w:ascii="Courier New" w:hAnsi="Courier New" w:hint="default"/>
      </w:rPr>
    </w:lvl>
    <w:lvl w:ilvl="2" w:tplc="ED5C8B3A">
      <w:start w:val="1"/>
      <w:numFmt w:val="bullet"/>
      <w:lvlText w:val=""/>
      <w:lvlJc w:val="left"/>
      <w:pPr>
        <w:ind w:left="1800" w:hanging="360"/>
      </w:pPr>
      <w:rPr>
        <w:rFonts w:ascii="Wingdings" w:hAnsi="Wingdings" w:hint="default"/>
      </w:rPr>
    </w:lvl>
    <w:lvl w:ilvl="3" w:tplc="C9E633A0">
      <w:start w:val="1"/>
      <w:numFmt w:val="bullet"/>
      <w:lvlText w:val=""/>
      <w:lvlJc w:val="left"/>
      <w:pPr>
        <w:ind w:left="2520" w:hanging="360"/>
      </w:pPr>
      <w:rPr>
        <w:rFonts w:ascii="Symbol" w:hAnsi="Symbol" w:hint="default"/>
      </w:rPr>
    </w:lvl>
    <w:lvl w:ilvl="4" w:tplc="FAD68BDA">
      <w:start w:val="1"/>
      <w:numFmt w:val="bullet"/>
      <w:lvlText w:val="o"/>
      <w:lvlJc w:val="left"/>
      <w:pPr>
        <w:ind w:left="3240" w:hanging="360"/>
      </w:pPr>
      <w:rPr>
        <w:rFonts w:ascii="Courier New" w:hAnsi="Courier New" w:hint="default"/>
      </w:rPr>
    </w:lvl>
    <w:lvl w:ilvl="5" w:tplc="D60644E6">
      <w:start w:val="1"/>
      <w:numFmt w:val="bullet"/>
      <w:lvlText w:val=""/>
      <w:lvlJc w:val="left"/>
      <w:pPr>
        <w:ind w:left="3960" w:hanging="360"/>
      </w:pPr>
      <w:rPr>
        <w:rFonts w:ascii="Wingdings" w:hAnsi="Wingdings" w:hint="default"/>
      </w:rPr>
    </w:lvl>
    <w:lvl w:ilvl="6" w:tplc="BD04ED8C">
      <w:start w:val="1"/>
      <w:numFmt w:val="bullet"/>
      <w:lvlText w:val=""/>
      <w:lvlJc w:val="left"/>
      <w:pPr>
        <w:ind w:left="4680" w:hanging="360"/>
      </w:pPr>
      <w:rPr>
        <w:rFonts w:ascii="Symbol" w:hAnsi="Symbol" w:hint="default"/>
      </w:rPr>
    </w:lvl>
    <w:lvl w:ilvl="7" w:tplc="CBBEBDCA">
      <w:start w:val="1"/>
      <w:numFmt w:val="bullet"/>
      <w:lvlText w:val="o"/>
      <w:lvlJc w:val="left"/>
      <w:pPr>
        <w:ind w:left="5400" w:hanging="360"/>
      </w:pPr>
      <w:rPr>
        <w:rFonts w:ascii="Courier New" w:hAnsi="Courier New" w:hint="default"/>
      </w:rPr>
    </w:lvl>
    <w:lvl w:ilvl="8" w:tplc="64AEE5C2">
      <w:start w:val="1"/>
      <w:numFmt w:val="bullet"/>
      <w:lvlText w:val=""/>
      <w:lvlJc w:val="left"/>
      <w:pPr>
        <w:ind w:left="6120" w:hanging="360"/>
      </w:pPr>
      <w:rPr>
        <w:rFonts w:ascii="Wingdings" w:hAnsi="Wingdings" w:hint="default"/>
      </w:rPr>
    </w:lvl>
  </w:abstractNum>
  <w:abstractNum w:abstractNumId="16" w15:restartNumberingAfterBreak="0">
    <w:nsid w:val="291E2EA3"/>
    <w:multiLevelType w:val="hybridMultilevel"/>
    <w:tmpl w:val="8A627094"/>
    <w:lvl w:ilvl="0" w:tplc="4D087A3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9D5712D"/>
    <w:multiLevelType w:val="hybridMultilevel"/>
    <w:tmpl w:val="E98AFA92"/>
    <w:lvl w:ilvl="0" w:tplc="5694D2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3FB49B7"/>
    <w:multiLevelType w:val="singleLevel"/>
    <w:tmpl w:val="9EDE5682"/>
    <w:name w:val="Alpha Paragraph"/>
    <w:lvl w:ilvl="0">
      <w:start w:val="1"/>
      <w:numFmt w:val="lowerLetter"/>
      <w:lvlRestart w:val="0"/>
      <w:pStyle w:val="AlphaParagraph"/>
      <w:lvlText w:val="(%1)"/>
      <w:lvlJc w:val="left"/>
      <w:pPr>
        <w:tabs>
          <w:tab w:val="num" w:pos="567"/>
        </w:tabs>
        <w:ind w:left="567" w:hanging="567"/>
      </w:pPr>
      <w:rPr>
        <w:b w:val="0"/>
        <w:i w:val="0"/>
        <w:color w:val="000000"/>
      </w:rPr>
    </w:lvl>
  </w:abstractNum>
  <w:abstractNum w:abstractNumId="19" w15:restartNumberingAfterBreak="0">
    <w:nsid w:val="68EA3959"/>
    <w:multiLevelType w:val="multilevel"/>
    <w:tmpl w:val="BA54A7CC"/>
    <w:lvl w:ilvl="0">
      <w:start w:val="1"/>
      <w:numFmt w:val="lowerLetter"/>
      <w:lvlRestart w:val="0"/>
      <w:lvlText w:val="(%1)"/>
      <w:lvlJc w:val="left"/>
      <w:pPr>
        <w:tabs>
          <w:tab w:val="num" w:pos="284"/>
        </w:tabs>
        <w:ind w:left="284" w:hanging="284"/>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start w:val="1"/>
      <w:numFmt w:val="decimal"/>
      <w:lvlText w:val="%2"/>
      <w:lvlJc w:val="left"/>
      <w:pPr>
        <w:tabs>
          <w:tab w:val="num" w:pos="1134"/>
        </w:tabs>
        <w:ind w:left="1134" w:hanging="567"/>
      </w:pPr>
      <w:rPr>
        <w:b w:val="0"/>
        <w:i w:val="0"/>
        <w:color w:val="000000"/>
      </w:rPr>
    </w:lvl>
    <w:lvl w:ilvl="2">
      <w:start w:val="1"/>
      <w:numFmt w:val="decimal"/>
      <w:lvlText w:val="%3"/>
      <w:lvlJc w:val="left"/>
      <w:pPr>
        <w:tabs>
          <w:tab w:val="num" w:pos="1701"/>
        </w:tabs>
        <w:ind w:left="1701" w:hanging="567"/>
      </w:pPr>
      <w:rPr>
        <w:b w:val="0"/>
        <w:i w:val="0"/>
        <w:color w:val="000000"/>
      </w:rPr>
    </w:lvl>
    <w:lvl w:ilvl="3">
      <w:start w:val="1"/>
      <w:numFmt w:val="decimal"/>
      <w:lvlText w:val="%4"/>
      <w:lvlJc w:val="left"/>
      <w:pPr>
        <w:tabs>
          <w:tab w:val="num" w:pos="2268"/>
        </w:tabs>
        <w:ind w:left="2268" w:hanging="567"/>
      </w:pPr>
      <w:rPr>
        <w:b w:val="0"/>
        <w:i w:val="0"/>
        <w:color w:val="000000"/>
      </w:rPr>
    </w:lvl>
    <w:lvl w:ilvl="4">
      <w:start w:val="1"/>
      <w:numFmt w:val="decimal"/>
      <w:lvlText w:val="%5"/>
      <w:lvlJc w:val="left"/>
      <w:pPr>
        <w:tabs>
          <w:tab w:val="num" w:pos="2835"/>
        </w:tabs>
        <w:ind w:left="2835" w:hanging="567"/>
      </w:pPr>
      <w:rPr>
        <w:b w:val="0"/>
        <w:i w:val="0"/>
        <w:color w:val="000000"/>
      </w:rPr>
    </w:lvl>
    <w:lvl w:ilvl="5">
      <w:start w:val="1"/>
      <w:numFmt w:val="decimal"/>
      <w:lvlText w:val="%6"/>
      <w:lvlJc w:val="left"/>
      <w:pPr>
        <w:tabs>
          <w:tab w:val="num" w:pos="3402"/>
        </w:tabs>
        <w:ind w:left="3402" w:hanging="567"/>
      </w:pPr>
      <w:rPr>
        <w:b w:val="0"/>
        <w:i w:val="0"/>
        <w:color w:val="000000"/>
      </w:rPr>
    </w:lvl>
    <w:lvl w:ilvl="6">
      <w:start w:val="1"/>
      <w:numFmt w:val="decimal"/>
      <w:lvlText w:val="%7"/>
      <w:lvlJc w:val="left"/>
      <w:pPr>
        <w:tabs>
          <w:tab w:val="num" w:pos="3969"/>
        </w:tabs>
        <w:ind w:left="3969" w:hanging="567"/>
      </w:pPr>
      <w:rPr>
        <w:b w:val="0"/>
        <w:i w:val="0"/>
        <w:color w:val="000000"/>
      </w:rPr>
    </w:lvl>
    <w:lvl w:ilvl="7">
      <w:start w:val="1"/>
      <w:numFmt w:val="decimal"/>
      <w:lvlText w:val="%8"/>
      <w:lvlJc w:val="left"/>
      <w:pPr>
        <w:tabs>
          <w:tab w:val="num" w:pos="4536"/>
        </w:tabs>
        <w:ind w:left="4536" w:hanging="567"/>
      </w:pPr>
      <w:rPr>
        <w:b w:val="0"/>
        <w:i w:val="0"/>
        <w:color w:val="000000"/>
      </w:rPr>
    </w:lvl>
    <w:lvl w:ilvl="8">
      <w:start w:val="1"/>
      <w:numFmt w:val="decimal"/>
      <w:lvlText w:val="%9"/>
      <w:lvlJc w:val="left"/>
      <w:pPr>
        <w:tabs>
          <w:tab w:val="num" w:pos="5103"/>
        </w:tabs>
        <w:ind w:left="5103" w:hanging="567"/>
      </w:pPr>
      <w:rPr>
        <w:b w:val="0"/>
        <w:i w:val="0"/>
        <w:color w:val="000000"/>
      </w:rPr>
    </w:lvl>
  </w:abstractNum>
  <w:abstractNum w:abstractNumId="20" w15:restartNumberingAfterBreak="0">
    <w:nsid w:val="6D6F1C61"/>
    <w:multiLevelType w:val="hybridMultilevel"/>
    <w:tmpl w:val="42B451A8"/>
    <w:lvl w:ilvl="0" w:tplc="C11A74D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13"/>
  </w:num>
  <w:num w:numId="3">
    <w:abstractNumId w:val="12"/>
  </w:num>
  <w:num w:numId="4">
    <w:abstractNumId w:val="14"/>
  </w:num>
  <w:num w:numId="5">
    <w:abstractNumId w:val="19"/>
  </w:num>
  <w:num w:numId="6">
    <w:abstractNumId w:val="12"/>
  </w:num>
  <w:num w:numId="7">
    <w:abstractNumId w:val="1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20"/>
  </w:num>
  <w:num w:numId="23">
    <w:abstractNumId w:val="16"/>
  </w:num>
  <w:num w:numId="24">
    <w:abstractNumId w:val="16"/>
    <w:lvlOverride w:ilvl="0">
      <w:startOverride w:val="1"/>
    </w:lvlOverride>
  </w:num>
  <w:num w:numId="25">
    <w:abstractNumId w:val="11"/>
  </w:num>
  <w:num w:numId="26">
    <w:abstractNumId w:val="1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attachedTemplate r:id="rId1"/>
  <w:stylePaneSortMethod w:val="0000"/>
  <w:documentProtection w:edit="comments" w:enforcement="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ecurityClassificationInHeader" w:val="False"/>
  </w:docVars>
  <w:rsids>
    <w:rsidRoot w:val="00E50CB8"/>
    <w:rsid w:val="00000333"/>
    <w:rsid w:val="000004EA"/>
    <w:rsid w:val="0000182E"/>
    <w:rsid w:val="00003214"/>
    <w:rsid w:val="00004D73"/>
    <w:rsid w:val="00005426"/>
    <w:rsid w:val="00005507"/>
    <w:rsid w:val="00005699"/>
    <w:rsid w:val="00005C37"/>
    <w:rsid w:val="000077B4"/>
    <w:rsid w:val="00007AF6"/>
    <w:rsid w:val="00010B92"/>
    <w:rsid w:val="00010E1D"/>
    <w:rsid w:val="00011073"/>
    <w:rsid w:val="00011A17"/>
    <w:rsid w:val="00011DBB"/>
    <w:rsid w:val="00011DD8"/>
    <w:rsid w:val="0001384C"/>
    <w:rsid w:val="00013EA8"/>
    <w:rsid w:val="00014082"/>
    <w:rsid w:val="000149D8"/>
    <w:rsid w:val="00015396"/>
    <w:rsid w:val="00015933"/>
    <w:rsid w:val="00015B08"/>
    <w:rsid w:val="00016667"/>
    <w:rsid w:val="00016D50"/>
    <w:rsid w:val="00016E42"/>
    <w:rsid w:val="00017FAF"/>
    <w:rsid w:val="00020965"/>
    <w:rsid w:val="0002189D"/>
    <w:rsid w:val="00021D42"/>
    <w:rsid w:val="00023909"/>
    <w:rsid w:val="00024BA4"/>
    <w:rsid w:val="00026A3A"/>
    <w:rsid w:val="000279E2"/>
    <w:rsid w:val="00030511"/>
    <w:rsid w:val="00030635"/>
    <w:rsid w:val="00031186"/>
    <w:rsid w:val="0003123C"/>
    <w:rsid w:val="00032546"/>
    <w:rsid w:val="00034DEA"/>
    <w:rsid w:val="00035D8D"/>
    <w:rsid w:val="00036D4B"/>
    <w:rsid w:val="0004271C"/>
    <w:rsid w:val="00044119"/>
    <w:rsid w:val="00045A56"/>
    <w:rsid w:val="0004620B"/>
    <w:rsid w:val="0004763E"/>
    <w:rsid w:val="00050ABF"/>
    <w:rsid w:val="00050E62"/>
    <w:rsid w:val="00051305"/>
    <w:rsid w:val="00051ABE"/>
    <w:rsid w:val="000523D9"/>
    <w:rsid w:val="000523F4"/>
    <w:rsid w:val="00052B40"/>
    <w:rsid w:val="0005318E"/>
    <w:rsid w:val="000546EB"/>
    <w:rsid w:val="00055521"/>
    <w:rsid w:val="0005554B"/>
    <w:rsid w:val="000561D0"/>
    <w:rsid w:val="00056E48"/>
    <w:rsid w:val="00056F7B"/>
    <w:rsid w:val="000575A9"/>
    <w:rsid w:val="0005797F"/>
    <w:rsid w:val="000603DB"/>
    <w:rsid w:val="00061234"/>
    <w:rsid w:val="00061ED5"/>
    <w:rsid w:val="000622DA"/>
    <w:rsid w:val="000627FC"/>
    <w:rsid w:val="00062A2D"/>
    <w:rsid w:val="00062F28"/>
    <w:rsid w:val="000635BE"/>
    <w:rsid w:val="00063B1D"/>
    <w:rsid w:val="00063E95"/>
    <w:rsid w:val="00064662"/>
    <w:rsid w:val="00064E3B"/>
    <w:rsid w:val="00065731"/>
    <w:rsid w:val="00065FFD"/>
    <w:rsid w:val="00067A2C"/>
    <w:rsid w:val="0007034C"/>
    <w:rsid w:val="00070F27"/>
    <w:rsid w:val="00071DED"/>
    <w:rsid w:val="00072D5A"/>
    <w:rsid w:val="000759C2"/>
    <w:rsid w:val="000760C1"/>
    <w:rsid w:val="00076DFF"/>
    <w:rsid w:val="000773BC"/>
    <w:rsid w:val="00080E54"/>
    <w:rsid w:val="00081395"/>
    <w:rsid w:val="00082394"/>
    <w:rsid w:val="0008399A"/>
    <w:rsid w:val="00084A28"/>
    <w:rsid w:val="000855A8"/>
    <w:rsid w:val="000856CC"/>
    <w:rsid w:val="000857E4"/>
    <w:rsid w:val="0008597F"/>
    <w:rsid w:val="00091737"/>
    <w:rsid w:val="0009280A"/>
    <w:rsid w:val="0009321C"/>
    <w:rsid w:val="00096FEA"/>
    <w:rsid w:val="00097A4C"/>
    <w:rsid w:val="000A039F"/>
    <w:rsid w:val="000A05C5"/>
    <w:rsid w:val="000A1D93"/>
    <w:rsid w:val="000A3A8E"/>
    <w:rsid w:val="000A574A"/>
    <w:rsid w:val="000A5B3C"/>
    <w:rsid w:val="000A5B6F"/>
    <w:rsid w:val="000A6021"/>
    <w:rsid w:val="000A6928"/>
    <w:rsid w:val="000B137B"/>
    <w:rsid w:val="000B28AE"/>
    <w:rsid w:val="000B38A8"/>
    <w:rsid w:val="000B4BBF"/>
    <w:rsid w:val="000B67C6"/>
    <w:rsid w:val="000C3997"/>
    <w:rsid w:val="000C4E15"/>
    <w:rsid w:val="000C55E5"/>
    <w:rsid w:val="000D08EB"/>
    <w:rsid w:val="000D26C5"/>
    <w:rsid w:val="000D2BBD"/>
    <w:rsid w:val="000D36C8"/>
    <w:rsid w:val="000D3AEA"/>
    <w:rsid w:val="000D715C"/>
    <w:rsid w:val="000D78F4"/>
    <w:rsid w:val="000D7A67"/>
    <w:rsid w:val="000D7D89"/>
    <w:rsid w:val="000E0F49"/>
    <w:rsid w:val="000E105B"/>
    <w:rsid w:val="000E149B"/>
    <w:rsid w:val="000E1554"/>
    <w:rsid w:val="000E1937"/>
    <w:rsid w:val="000E1B23"/>
    <w:rsid w:val="000E2166"/>
    <w:rsid w:val="000E24BC"/>
    <w:rsid w:val="000E2C1F"/>
    <w:rsid w:val="000E2CC9"/>
    <w:rsid w:val="000E4976"/>
    <w:rsid w:val="000E5F6B"/>
    <w:rsid w:val="000E6571"/>
    <w:rsid w:val="000E720C"/>
    <w:rsid w:val="000F0093"/>
    <w:rsid w:val="000F0098"/>
    <w:rsid w:val="000F00E8"/>
    <w:rsid w:val="000F1281"/>
    <w:rsid w:val="000F173F"/>
    <w:rsid w:val="000F24E7"/>
    <w:rsid w:val="000F3074"/>
    <w:rsid w:val="000F3598"/>
    <w:rsid w:val="000F3EB6"/>
    <w:rsid w:val="000F49B9"/>
    <w:rsid w:val="000F4C93"/>
    <w:rsid w:val="000F64E0"/>
    <w:rsid w:val="000F6C3C"/>
    <w:rsid w:val="000F7048"/>
    <w:rsid w:val="000F7437"/>
    <w:rsid w:val="000F7BF4"/>
    <w:rsid w:val="00100150"/>
    <w:rsid w:val="0010061C"/>
    <w:rsid w:val="00100811"/>
    <w:rsid w:val="00100C1A"/>
    <w:rsid w:val="00101C6C"/>
    <w:rsid w:val="00102150"/>
    <w:rsid w:val="00102FF6"/>
    <w:rsid w:val="00103F65"/>
    <w:rsid w:val="00106B0C"/>
    <w:rsid w:val="00106ED7"/>
    <w:rsid w:val="0011175D"/>
    <w:rsid w:val="00111F40"/>
    <w:rsid w:val="00112CBD"/>
    <w:rsid w:val="00115B8E"/>
    <w:rsid w:val="00116F77"/>
    <w:rsid w:val="00122206"/>
    <w:rsid w:val="0012234C"/>
    <w:rsid w:val="001245F2"/>
    <w:rsid w:val="00124A30"/>
    <w:rsid w:val="00124B94"/>
    <w:rsid w:val="00124BB2"/>
    <w:rsid w:val="00125016"/>
    <w:rsid w:val="00125379"/>
    <w:rsid w:val="00125716"/>
    <w:rsid w:val="00125E31"/>
    <w:rsid w:val="00125FC7"/>
    <w:rsid w:val="001273BF"/>
    <w:rsid w:val="00131EF0"/>
    <w:rsid w:val="00133B46"/>
    <w:rsid w:val="0013579E"/>
    <w:rsid w:val="001432CC"/>
    <w:rsid w:val="0014384C"/>
    <w:rsid w:val="00144F1E"/>
    <w:rsid w:val="001463F3"/>
    <w:rsid w:val="001472CA"/>
    <w:rsid w:val="001476E8"/>
    <w:rsid w:val="00150596"/>
    <w:rsid w:val="00153113"/>
    <w:rsid w:val="0015317E"/>
    <w:rsid w:val="0015483A"/>
    <w:rsid w:val="00154A01"/>
    <w:rsid w:val="001553B7"/>
    <w:rsid w:val="00156E90"/>
    <w:rsid w:val="00160928"/>
    <w:rsid w:val="00160D38"/>
    <w:rsid w:val="0016122C"/>
    <w:rsid w:val="00161C4F"/>
    <w:rsid w:val="001645B9"/>
    <w:rsid w:val="00164C43"/>
    <w:rsid w:val="00166090"/>
    <w:rsid w:val="00166B76"/>
    <w:rsid w:val="00167917"/>
    <w:rsid w:val="00167D56"/>
    <w:rsid w:val="00170DAE"/>
    <w:rsid w:val="001714F3"/>
    <w:rsid w:val="001715BD"/>
    <w:rsid w:val="001716FD"/>
    <w:rsid w:val="00172CFE"/>
    <w:rsid w:val="00172FFA"/>
    <w:rsid w:val="00175597"/>
    <w:rsid w:val="00175D66"/>
    <w:rsid w:val="00176FC0"/>
    <w:rsid w:val="00181C4C"/>
    <w:rsid w:val="001822F2"/>
    <w:rsid w:val="00183366"/>
    <w:rsid w:val="0018500C"/>
    <w:rsid w:val="001852F5"/>
    <w:rsid w:val="001859C8"/>
    <w:rsid w:val="001863C8"/>
    <w:rsid w:val="00186878"/>
    <w:rsid w:val="00187239"/>
    <w:rsid w:val="00187E34"/>
    <w:rsid w:val="00190AE4"/>
    <w:rsid w:val="0019115B"/>
    <w:rsid w:val="00191A44"/>
    <w:rsid w:val="001925B0"/>
    <w:rsid w:val="0019363E"/>
    <w:rsid w:val="001963FD"/>
    <w:rsid w:val="00196711"/>
    <w:rsid w:val="00196B75"/>
    <w:rsid w:val="00196FFA"/>
    <w:rsid w:val="001970E6"/>
    <w:rsid w:val="00197992"/>
    <w:rsid w:val="001A0FD2"/>
    <w:rsid w:val="001A1070"/>
    <w:rsid w:val="001A137D"/>
    <w:rsid w:val="001A172C"/>
    <w:rsid w:val="001A204F"/>
    <w:rsid w:val="001A3838"/>
    <w:rsid w:val="001A3F68"/>
    <w:rsid w:val="001A5690"/>
    <w:rsid w:val="001A5A92"/>
    <w:rsid w:val="001A5D06"/>
    <w:rsid w:val="001A725E"/>
    <w:rsid w:val="001A7712"/>
    <w:rsid w:val="001B1523"/>
    <w:rsid w:val="001B2B56"/>
    <w:rsid w:val="001B3E0B"/>
    <w:rsid w:val="001B598C"/>
    <w:rsid w:val="001B6F5B"/>
    <w:rsid w:val="001C144F"/>
    <w:rsid w:val="001C227D"/>
    <w:rsid w:val="001C29BA"/>
    <w:rsid w:val="001C2FA4"/>
    <w:rsid w:val="001C30D5"/>
    <w:rsid w:val="001C320A"/>
    <w:rsid w:val="001C366D"/>
    <w:rsid w:val="001C4E96"/>
    <w:rsid w:val="001C5138"/>
    <w:rsid w:val="001C5E21"/>
    <w:rsid w:val="001C5EA8"/>
    <w:rsid w:val="001C61F4"/>
    <w:rsid w:val="001C76CB"/>
    <w:rsid w:val="001D0874"/>
    <w:rsid w:val="001D0D9E"/>
    <w:rsid w:val="001D23F3"/>
    <w:rsid w:val="001D32DA"/>
    <w:rsid w:val="001D33D6"/>
    <w:rsid w:val="001D3AE0"/>
    <w:rsid w:val="001D3BDD"/>
    <w:rsid w:val="001D4A3B"/>
    <w:rsid w:val="001E2EF0"/>
    <w:rsid w:val="001E6F2A"/>
    <w:rsid w:val="001E6FD3"/>
    <w:rsid w:val="001F08E1"/>
    <w:rsid w:val="001F1DBC"/>
    <w:rsid w:val="001F2065"/>
    <w:rsid w:val="001F2531"/>
    <w:rsid w:val="001F39F4"/>
    <w:rsid w:val="001F4171"/>
    <w:rsid w:val="001F4278"/>
    <w:rsid w:val="001F564E"/>
    <w:rsid w:val="001F5CAB"/>
    <w:rsid w:val="0020092A"/>
    <w:rsid w:val="00202B05"/>
    <w:rsid w:val="00205560"/>
    <w:rsid w:val="002057DF"/>
    <w:rsid w:val="00206A05"/>
    <w:rsid w:val="00210B1B"/>
    <w:rsid w:val="00211311"/>
    <w:rsid w:val="00211324"/>
    <w:rsid w:val="00212B8D"/>
    <w:rsid w:val="0021407A"/>
    <w:rsid w:val="002140D6"/>
    <w:rsid w:val="0021439A"/>
    <w:rsid w:val="002148A0"/>
    <w:rsid w:val="00214D09"/>
    <w:rsid w:val="00215884"/>
    <w:rsid w:val="0021599B"/>
    <w:rsid w:val="002167EE"/>
    <w:rsid w:val="00216B51"/>
    <w:rsid w:val="00217729"/>
    <w:rsid w:val="0022162B"/>
    <w:rsid w:val="00222925"/>
    <w:rsid w:val="002238F6"/>
    <w:rsid w:val="00223F00"/>
    <w:rsid w:val="002244D8"/>
    <w:rsid w:val="00224C13"/>
    <w:rsid w:val="00225D6C"/>
    <w:rsid w:val="002269E4"/>
    <w:rsid w:val="00226B76"/>
    <w:rsid w:val="00226E90"/>
    <w:rsid w:val="00227E70"/>
    <w:rsid w:val="002312C1"/>
    <w:rsid w:val="00233328"/>
    <w:rsid w:val="002347AA"/>
    <w:rsid w:val="00236206"/>
    <w:rsid w:val="00237F04"/>
    <w:rsid w:val="00237FA0"/>
    <w:rsid w:val="00241B08"/>
    <w:rsid w:val="00242462"/>
    <w:rsid w:val="00242479"/>
    <w:rsid w:val="00243594"/>
    <w:rsid w:val="00243991"/>
    <w:rsid w:val="00244990"/>
    <w:rsid w:val="0024521A"/>
    <w:rsid w:val="002457FD"/>
    <w:rsid w:val="002473E6"/>
    <w:rsid w:val="00247E58"/>
    <w:rsid w:val="00250208"/>
    <w:rsid w:val="00250622"/>
    <w:rsid w:val="00250961"/>
    <w:rsid w:val="00250F5C"/>
    <w:rsid w:val="0025119F"/>
    <w:rsid w:val="002514B6"/>
    <w:rsid w:val="00251BD4"/>
    <w:rsid w:val="0025254D"/>
    <w:rsid w:val="002538A6"/>
    <w:rsid w:val="00254A90"/>
    <w:rsid w:val="00254D0C"/>
    <w:rsid w:val="00254F98"/>
    <w:rsid w:val="0025512F"/>
    <w:rsid w:val="00257237"/>
    <w:rsid w:val="0025787A"/>
    <w:rsid w:val="00260BBC"/>
    <w:rsid w:val="002631A0"/>
    <w:rsid w:val="00265890"/>
    <w:rsid w:val="00265BA5"/>
    <w:rsid w:val="002661C1"/>
    <w:rsid w:val="00266A46"/>
    <w:rsid w:val="00267200"/>
    <w:rsid w:val="00270BFF"/>
    <w:rsid w:val="002717AA"/>
    <w:rsid w:val="002725F4"/>
    <w:rsid w:val="00275088"/>
    <w:rsid w:val="00275B95"/>
    <w:rsid w:val="00276E54"/>
    <w:rsid w:val="002773F9"/>
    <w:rsid w:val="00280508"/>
    <w:rsid w:val="00280920"/>
    <w:rsid w:val="00280CA7"/>
    <w:rsid w:val="00280D95"/>
    <w:rsid w:val="00280FCF"/>
    <w:rsid w:val="00281716"/>
    <w:rsid w:val="00282CEA"/>
    <w:rsid w:val="00283BDF"/>
    <w:rsid w:val="00284716"/>
    <w:rsid w:val="002850B8"/>
    <w:rsid w:val="00287081"/>
    <w:rsid w:val="002904B2"/>
    <w:rsid w:val="002905DD"/>
    <w:rsid w:val="00290983"/>
    <w:rsid w:val="002909CF"/>
    <w:rsid w:val="00292AC5"/>
    <w:rsid w:val="002931CE"/>
    <w:rsid w:val="002953FF"/>
    <w:rsid w:val="002961B0"/>
    <w:rsid w:val="0029730F"/>
    <w:rsid w:val="002A0308"/>
    <w:rsid w:val="002A0634"/>
    <w:rsid w:val="002A0FE4"/>
    <w:rsid w:val="002A23CD"/>
    <w:rsid w:val="002A3B5F"/>
    <w:rsid w:val="002A6A16"/>
    <w:rsid w:val="002A7351"/>
    <w:rsid w:val="002B10E6"/>
    <w:rsid w:val="002B2594"/>
    <w:rsid w:val="002B2895"/>
    <w:rsid w:val="002B2A12"/>
    <w:rsid w:val="002B3561"/>
    <w:rsid w:val="002B3687"/>
    <w:rsid w:val="002B5985"/>
    <w:rsid w:val="002B6106"/>
    <w:rsid w:val="002B77AC"/>
    <w:rsid w:val="002B7B51"/>
    <w:rsid w:val="002C0021"/>
    <w:rsid w:val="002C0798"/>
    <w:rsid w:val="002C1507"/>
    <w:rsid w:val="002C1D04"/>
    <w:rsid w:val="002C2097"/>
    <w:rsid w:val="002C3956"/>
    <w:rsid w:val="002C3DEB"/>
    <w:rsid w:val="002C4763"/>
    <w:rsid w:val="002C4BBE"/>
    <w:rsid w:val="002C596C"/>
    <w:rsid w:val="002C71BC"/>
    <w:rsid w:val="002C7FDD"/>
    <w:rsid w:val="002D03C1"/>
    <w:rsid w:val="002D0F53"/>
    <w:rsid w:val="002D2A43"/>
    <w:rsid w:val="002D30D0"/>
    <w:rsid w:val="002D32EC"/>
    <w:rsid w:val="002D3930"/>
    <w:rsid w:val="002D5D18"/>
    <w:rsid w:val="002D657B"/>
    <w:rsid w:val="002D789E"/>
    <w:rsid w:val="002E0384"/>
    <w:rsid w:val="002E28A1"/>
    <w:rsid w:val="002E4551"/>
    <w:rsid w:val="002E4A06"/>
    <w:rsid w:val="002E5B93"/>
    <w:rsid w:val="002E5D6A"/>
    <w:rsid w:val="002E638A"/>
    <w:rsid w:val="002E7742"/>
    <w:rsid w:val="002E7B71"/>
    <w:rsid w:val="002F03E3"/>
    <w:rsid w:val="002F085E"/>
    <w:rsid w:val="002F40F3"/>
    <w:rsid w:val="002F61F5"/>
    <w:rsid w:val="002F79EB"/>
    <w:rsid w:val="002F7EA1"/>
    <w:rsid w:val="00300101"/>
    <w:rsid w:val="003010AE"/>
    <w:rsid w:val="00302247"/>
    <w:rsid w:val="00302256"/>
    <w:rsid w:val="00305105"/>
    <w:rsid w:val="00307455"/>
    <w:rsid w:val="00307D90"/>
    <w:rsid w:val="00311031"/>
    <w:rsid w:val="003118AF"/>
    <w:rsid w:val="003124B0"/>
    <w:rsid w:val="00312DE3"/>
    <w:rsid w:val="00313088"/>
    <w:rsid w:val="00314807"/>
    <w:rsid w:val="00316AC9"/>
    <w:rsid w:val="0031741B"/>
    <w:rsid w:val="00321FBB"/>
    <w:rsid w:val="00322A0D"/>
    <w:rsid w:val="00322AC6"/>
    <w:rsid w:val="00323F11"/>
    <w:rsid w:val="00325A65"/>
    <w:rsid w:val="003302D0"/>
    <w:rsid w:val="003303B0"/>
    <w:rsid w:val="0033266E"/>
    <w:rsid w:val="003346D9"/>
    <w:rsid w:val="00334E4D"/>
    <w:rsid w:val="00336417"/>
    <w:rsid w:val="0033651B"/>
    <w:rsid w:val="003400D6"/>
    <w:rsid w:val="00341275"/>
    <w:rsid w:val="00341919"/>
    <w:rsid w:val="00341B3D"/>
    <w:rsid w:val="003421CD"/>
    <w:rsid w:val="00342AC0"/>
    <w:rsid w:val="00343C03"/>
    <w:rsid w:val="00344EBF"/>
    <w:rsid w:val="003450D8"/>
    <w:rsid w:val="003451F5"/>
    <w:rsid w:val="00346EB9"/>
    <w:rsid w:val="003478ED"/>
    <w:rsid w:val="003506C0"/>
    <w:rsid w:val="0035199D"/>
    <w:rsid w:val="0035214A"/>
    <w:rsid w:val="003530A3"/>
    <w:rsid w:val="00353E21"/>
    <w:rsid w:val="003557D2"/>
    <w:rsid w:val="00360947"/>
    <w:rsid w:val="00360AD4"/>
    <w:rsid w:val="00362ACE"/>
    <w:rsid w:val="003656D9"/>
    <w:rsid w:val="003667AA"/>
    <w:rsid w:val="0037067D"/>
    <w:rsid w:val="0037203E"/>
    <w:rsid w:val="003758BB"/>
    <w:rsid w:val="00375EC0"/>
    <w:rsid w:val="00376264"/>
    <w:rsid w:val="00376330"/>
    <w:rsid w:val="00377392"/>
    <w:rsid w:val="00377927"/>
    <w:rsid w:val="00377A99"/>
    <w:rsid w:val="00380344"/>
    <w:rsid w:val="00381A7C"/>
    <w:rsid w:val="00381D29"/>
    <w:rsid w:val="0038239B"/>
    <w:rsid w:val="00382E3D"/>
    <w:rsid w:val="003834CE"/>
    <w:rsid w:val="00384CC1"/>
    <w:rsid w:val="003855A4"/>
    <w:rsid w:val="00390046"/>
    <w:rsid w:val="00390AA7"/>
    <w:rsid w:val="003918E0"/>
    <w:rsid w:val="00391A1E"/>
    <w:rsid w:val="00392A64"/>
    <w:rsid w:val="00393EE5"/>
    <w:rsid w:val="00394368"/>
    <w:rsid w:val="00394E8F"/>
    <w:rsid w:val="0039505C"/>
    <w:rsid w:val="00395D0A"/>
    <w:rsid w:val="00395EAF"/>
    <w:rsid w:val="00396301"/>
    <w:rsid w:val="00397BDD"/>
    <w:rsid w:val="003A3503"/>
    <w:rsid w:val="003A3AC2"/>
    <w:rsid w:val="003A3CA7"/>
    <w:rsid w:val="003A3D60"/>
    <w:rsid w:val="003A4527"/>
    <w:rsid w:val="003A582D"/>
    <w:rsid w:val="003A5ED9"/>
    <w:rsid w:val="003A6B63"/>
    <w:rsid w:val="003A73CA"/>
    <w:rsid w:val="003A786E"/>
    <w:rsid w:val="003B04C7"/>
    <w:rsid w:val="003B05CD"/>
    <w:rsid w:val="003B1DF0"/>
    <w:rsid w:val="003B23CF"/>
    <w:rsid w:val="003B3670"/>
    <w:rsid w:val="003B3DF4"/>
    <w:rsid w:val="003B45DA"/>
    <w:rsid w:val="003C0F0A"/>
    <w:rsid w:val="003C0F5E"/>
    <w:rsid w:val="003C1195"/>
    <w:rsid w:val="003C1580"/>
    <w:rsid w:val="003C1CA4"/>
    <w:rsid w:val="003C3D3D"/>
    <w:rsid w:val="003C4543"/>
    <w:rsid w:val="003C4E5C"/>
    <w:rsid w:val="003C5398"/>
    <w:rsid w:val="003C7D9E"/>
    <w:rsid w:val="003D0F9C"/>
    <w:rsid w:val="003D4682"/>
    <w:rsid w:val="003D52B2"/>
    <w:rsid w:val="003D72F7"/>
    <w:rsid w:val="003D737B"/>
    <w:rsid w:val="003E1C13"/>
    <w:rsid w:val="003E2DFB"/>
    <w:rsid w:val="003E568D"/>
    <w:rsid w:val="003E56A3"/>
    <w:rsid w:val="003E6F1F"/>
    <w:rsid w:val="003E6F2E"/>
    <w:rsid w:val="003F057C"/>
    <w:rsid w:val="003F0C3E"/>
    <w:rsid w:val="003F1B92"/>
    <w:rsid w:val="003F2DB3"/>
    <w:rsid w:val="003F42F4"/>
    <w:rsid w:val="003F5893"/>
    <w:rsid w:val="00400608"/>
    <w:rsid w:val="0040127B"/>
    <w:rsid w:val="00402873"/>
    <w:rsid w:val="00402BC7"/>
    <w:rsid w:val="00403235"/>
    <w:rsid w:val="0040339A"/>
    <w:rsid w:val="00404E17"/>
    <w:rsid w:val="004059A4"/>
    <w:rsid w:val="004066DE"/>
    <w:rsid w:val="00410AC2"/>
    <w:rsid w:val="00410DEF"/>
    <w:rsid w:val="00411A22"/>
    <w:rsid w:val="0041289B"/>
    <w:rsid w:val="004135B3"/>
    <w:rsid w:val="004149EE"/>
    <w:rsid w:val="00414D61"/>
    <w:rsid w:val="00416314"/>
    <w:rsid w:val="004168D1"/>
    <w:rsid w:val="0041789F"/>
    <w:rsid w:val="004233DE"/>
    <w:rsid w:val="004247E2"/>
    <w:rsid w:val="00424C9D"/>
    <w:rsid w:val="00424CE9"/>
    <w:rsid w:val="00426D44"/>
    <w:rsid w:val="00426DB5"/>
    <w:rsid w:val="00427252"/>
    <w:rsid w:val="00427855"/>
    <w:rsid w:val="00427BB1"/>
    <w:rsid w:val="0043180E"/>
    <w:rsid w:val="00432753"/>
    <w:rsid w:val="004330A0"/>
    <w:rsid w:val="00433802"/>
    <w:rsid w:val="00434BBA"/>
    <w:rsid w:val="0043511E"/>
    <w:rsid w:val="00435BE9"/>
    <w:rsid w:val="00435D9C"/>
    <w:rsid w:val="004371FE"/>
    <w:rsid w:val="004414AE"/>
    <w:rsid w:val="00441776"/>
    <w:rsid w:val="004448B3"/>
    <w:rsid w:val="004457E1"/>
    <w:rsid w:val="004457F4"/>
    <w:rsid w:val="004459AC"/>
    <w:rsid w:val="00447E2C"/>
    <w:rsid w:val="00451429"/>
    <w:rsid w:val="004516F8"/>
    <w:rsid w:val="00451FCA"/>
    <w:rsid w:val="004549AC"/>
    <w:rsid w:val="00455E82"/>
    <w:rsid w:val="0045678E"/>
    <w:rsid w:val="00460F24"/>
    <w:rsid w:val="004610D6"/>
    <w:rsid w:val="00461247"/>
    <w:rsid w:val="0046213C"/>
    <w:rsid w:val="0046391C"/>
    <w:rsid w:val="0046414E"/>
    <w:rsid w:val="004652BA"/>
    <w:rsid w:val="0046586D"/>
    <w:rsid w:val="00466295"/>
    <w:rsid w:val="004678CB"/>
    <w:rsid w:val="0046796F"/>
    <w:rsid w:val="0047046F"/>
    <w:rsid w:val="00470903"/>
    <w:rsid w:val="004712FB"/>
    <w:rsid w:val="004714FD"/>
    <w:rsid w:val="0047379E"/>
    <w:rsid w:val="00474EFC"/>
    <w:rsid w:val="004767A3"/>
    <w:rsid w:val="00476ABA"/>
    <w:rsid w:val="00476ED4"/>
    <w:rsid w:val="0048011C"/>
    <w:rsid w:val="00480122"/>
    <w:rsid w:val="0048053B"/>
    <w:rsid w:val="00480875"/>
    <w:rsid w:val="00480EC3"/>
    <w:rsid w:val="00481307"/>
    <w:rsid w:val="00481837"/>
    <w:rsid w:val="0048297D"/>
    <w:rsid w:val="00483513"/>
    <w:rsid w:val="00483B7E"/>
    <w:rsid w:val="0048563A"/>
    <w:rsid w:val="004857C8"/>
    <w:rsid w:val="0048645F"/>
    <w:rsid w:val="00486696"/>
    <w:rsid w:val="00486B34"/>
    <w:rsid w:val="00487638"/>
    <w:rsid w:val="004878D8"/>
    <w:rsid w:val="004941BB"/>
    <w:rsid w:val="00494FC6"/>
    <w:rsid w:val="0049558C"/>
    <w:rsid w:val="00496DEA"/>
    <w:rsid w:val="00497B3E"/>
    <w:rsid w:val="004A0272"/>
    <w:rsid w:val="004A0478"/>
    <w:rsid w:val="004A1A04"/>
    <w:rsid w:val="004A36E2"/>
    <w:rsid w:val="004A3F65"/>
    <w:rsid w:val="004A4FFF"/>
    <w:rsid w:val="004A666C"/>
    <w:rsid w:val="004A6F89"/>
    <w:rsid w:val="004A72AE"/>
    <w:rsid w:val="004B0540"/>
    <w:rsid w:val="004B1855"/>
    <w:rsid w:val="004B20CC"/>
    <w:rsid w:val="004B365F"/>
    <w:rsid w:val="004B37B9"/>
    <w:rsid w:val="004B4031"/>
    <w:rsid w:val="004B56B0"/>
    <w:rsid w:val="004B628E"/>
    <w:rsid w:val="004C1CD2"/>
    <w:rsid w:val="004C20AA"/>
    <w:rsid w:val="004C2E47"/>
    <w:rsid w:val="004C3F27"/>
    <w:rsid w:val="004C4A5E"/>
    <w:rsid w:val="004C50DD"/>
    <w:rsid w:val="004C53C9"/>
    <w:rsid w:val="004C5B21"/>
    <w:rsid w:val="004C735F"/>
    <w:rsid w:val="004C7E68"/>
    <w:rsid w:val="004D0AE6"/>
    <w:rsid w:val="004D0E97"/>
    <w:rsid w:val="004D0EFC"/>
    <w:rsid w:val="004D0F6D"/>
    <w:rsid w:val="004D2296"/>
    <w:rsid w:val="004D23E2"/>
    <w:rsid w:val="004D253D"/>
    <w:rsid w:val="004D2811"/>
    <w:rsid w:val="004D40AE"/>
    <w:rsid w:val="004D45AA"/>
    <w:rsid w:val="004D6008"/>
    <w:rsid w:val="004D6C20"/>
    <w:rsid w:val="004D7F31"/>
    <w:rsid w:val="004E0F21"/>
    <w:rsid w:val="004E2424"/>
    <w:rsid w:val="004E2B6F"/>
    <w:rsid w:val="004E5854"/>
    <w:rsid w:val="004E5AD4"/>
    <w:rsid w:val="004E5D5F"/>
    <w:rsid w:val="004E6385"/>
    <w:rsid w:val="004E67F3"/>
    <w:rsid w:val="004E6E4D"/>
    <w:rsid w:val="004F067A"/>
    <w:rsid w:val="004F06F8"/>
    <w:rsid w:val="004F0B5E"/>
    <w:rsid w:val="004F1126"/>
    <w:rsid w:val="004F164A"/>
    <w:rsid w:val="004F18DD"/>
    <w:rsid w:val="004F24B8"/>
    <w:rsid w:val="004F2911"/>
    <w:rsid w:val="004F32AA"/>
    <w:rsid w:val="004F3FD9"/>
    <w:rsid w:val="004F455D"/>
    <w:rsid w:val="004F5BB2"/>
    <w:rsid w:val="004F60DD"/>
    <w:rsid w:val="004F6E78"/>
    <w:rsid w:val="004F7724"/>
    <w:rsid w:val="00501203"/>
    <w:rsid w:val="00503129"/>
    <w:rsid w:val="00503143"/>
    <w:rsid w:val="00503ACD"/>
    <w:rsid w:val="00504E7C"/>
    <w:rsid w:val="005061D5"/>
    <w:rsid w:val="00506C83"/>
    <w:rsid w:val="005109ED"/>
    <w:rsid w:val="005109FE"/>
    <w:rsid w:val="00511567"/>
    <w:rsid w:val="005126AD"/>
    <w:rsid w:val="00512A5D"/>
    <w:rsid w:val="00513FCE"/>
    <w:rsid w:val="00514925"/>
    <w:rsid w:val="005151D9"/>
    <w:rsid w:val="00516E66"/>
    <w:rsid w:val="00517168"/>
    <w:rsid w:val="00517A90"/>
    <w:rsid w:val="00517AB1"/>
    <w:rsid w:val="005217BD"/>
    <w:rsid w:val="00522237"/>
    <w:rsid w:val="00523851"/>
    <w:rsid w:val="0052432C"/>
    <w:rsid w:val="00524745"/>
    <w:rsid w:val="00524EED"/>
    <w:rsid w:val="0052662D"/>
    <w:rsid w:val="00526822"/>
    <w:rsid w:val="00526A8B"/>
    <w:rsid w:val="005301E5"/>
    <w:rsid w:val="00530407"/>
    <w:rsid w:val="00531123"/>
    <w:rsid w:val="00532259"/>
    <w:rsid w:val="0053296B"/>
    <w:rsid w:val="00532A3B"/>
    <w:rsid w:val="0053371E"/>
    <w:rsid w:val="00533A97"/>
    <w:rsid w:val="005346C4"/>
    <w:rsid w:val="00535E6E"/>
    <w:rsid w:val="00536204"/>
    <w:rsid w:val="00536210"/>
    <w:rsid w:val="0053642B"/>
    <w:rsid w:val="00536620"/>
    <w:rsid w:val="00537916"/>
    <w:rsid w:val="00537E17"/>
    <w:rsid w:val="00541087"/>
    <w:rsid w:val="00541D3B"/>
    <w:rsid w:val="00542A87"/>
    <w:rsid w:val="00542B5E"/>
    <w:rsid w:val="00543622"/>
    <w:rsid w:val="00545BFD"/>
    <w:rsid w:val="00546236"/>
    <w:rsid w:val="005463BE"/>
    <w:rsid w:val="0054685D"/>
    <w:rsid w:val="005476BD"/>
    <w:rsid w:val="00550F2E"/>
    <w:rsid w:val="00551E91"/>
    <w:rsid w:val="0055390F"/>
    <w:rsid w:val="0055407C"/>
    <w:rsid w:val="005549C6"/>
    <w:rsid w:val="005554A5"/>
    <w:rsid w:val="0055730F"/>
    <w:rsid w:val="00560601"/>
    <w:rsid w:val="00561CDF"/>
    <w:rsid w:val="00561DDA"/>
    <w:rsid w:val="005625F5"/>
    <w:rsid w:val="00562F6D"/>
    <w:rsid w:val="005642C7"/>
    <w:rsid w:val="00565813"/>
    <w:rsid w:val="00565BB5"/>
    <w:rsid w:val="005703A5"/>
    <w:rsid w:val="0057092B"/>
    <w:rsid w:val="0057290D"/>
    <w:rsid w:val="00573044"/>
    <w:rsid w:val="005737C2"/>
    <w:rsid w:val="00574C6F"/>
    <w:rsid w:val="00576AD1"/>
    <w:rsid w:val="00577938"/>
    <w:rsid w:val="00577ECD"/>
    <w:rsid w:val="00580067"/>
    <w:rsid w:val="00581108"/>
    <w:rsid w:val="0058219C"/>
    <w:rsid w:val="0058280A"/>
    <w:rsid w:val="0058650F"/>
    <w:rsid w:val="00591799"/>
    <w:rsid w:val="005926D2"/>
    <w:rsid w:val="00592725"/>
    <w:rsid w:val="00593158"/>
    <w:rsid w:val="00594696"/>
    <w:rsid w:val="005948F5"/>
    <w:rsid w:val="005949A3"/>
    <w:rsid w:val="00596F47"/>
    <w:rsid w:val="00597ACF"/>
    <w:rsid w:val="005A0F1F"/>
    <w:rsid w:val="005A1434"/>
    <w:rsid w:val="005A159A"/>
    <w:rsid w:val="005A1D32"/>
    <w:rsid w:val="005A257D"/>
    <w:rsid w:val="005A2630"/>
    <w:rsid w:val="005A2C1F"/>
    <w:rsid w:val="005A43A4"/>
    <w:rsid w:val="005A4F2F"/>
    <w:rsid w:val="005A5C26"/>
    <w:rsid w:val="005A61B6"/>
    <w:rsid w:val="005A6F5F"/>
    <w:rsid w:val="005B0089"/>
    <w:rsid w:val="005B1266"/>
    <w:rsid w:val="005B1965"/>
    <w:rsid w:val="005B2B45"/>
    <w:rsid w:val="005B2F30"/>
    <w:rsid w:val="005B3010"/>
    <w:rsid w:val="005B4112"/>
    <w:rsid w:val="005B434E"/>
    <w:rsid w:val="005B43DB"/>
    <w:rsid w:val="005B44C0"/>
    <w:rsid w:val="005B46FA"/>
    <w:rsid w:val="005B78BD"/>
    <w:rsid w:val="005B7A9E"/>
    <w:rsid w:val="005C11FF"/>
    <w:rsid w:val="005C1D7D"/>
    <w:rsid w:val="005C2B05"/>
    <w:rsid w:val="005C2D43"/>
    <w:rsid w:val="005C4AFB"/>
    <w:rsid w:val="005C4B98"/>
    <w:rsid w:val="005C4BBA"/>
    <w:rsid w:val="005C5422"/>
    <w:rsid w:val="005C5B1C"/>
    <w:rsid w:val="005C70C8"/>
    <w:rsid w:val="005C779C"/>
    <w:rsid w:val="005D010D"/>
    <w:rsid w:val="005D23CB"/>
    <w:rsid w:val="005D3F09"/>
    <w:rsid w:val="005D4177"/>
    <w:rsid w:val="005D4418"/>
    <w:rsid w:val="005D4660"/>
    <w:rsid w:val="005D4943"/>
    <w:rsid w:val="005D49FB"/>
    <w:rsid w:val="005D53DE"/>
    <w:rsid w:val="005D6ADA"/>
    <w:rsid w:val="005D7E3F"/>
    <w:rsid w:val="005E2036"/>
    <w:rsid w:val="005E4684"/>
    <w:rsid w:val="005E49D9"/>
    <w:rsid w:val="005E4F85"/>
    <w:rsid w:val="005E552B"/>
    <w:rsid w:val="005E6207"/>
    <w:rsid w:val="005E7034"/>
    <w:rsid w:val="005E792C"/>
    <w:rsid w:val="005F1216"/>
    <w:rsid w:val="005F1E17"/>
    <w:rsid w:val="005F2989"/>
    <w:rsid w:val="005F563A"/>
    <w:rsid w:val="005F609C"/>
    <w:rsid w:val="005F65B8"/>
    <w:rsid w:val="005F664E"/>
    <w:rsid w:val="005F714C"/>
    <w:rsid w:val="006017A6"/>
    <w:rsid w:val="00602CA9"/>
    <w:rsid w:val="00602D64"/>
    <w:rsid w:val="00602E40"/>
    <w:rsid w:val="0060305C"/>
    <w:rsid w:val="006040DE"/>
    <w:rsid w:val="00604119"/>
    <w:rsid w:val="00604445"/>
    <w:rsid w:val="00604ECF"/>
    <w:rsid w:val="006053CA"/>
    <w:rsid w:val="00606EB0"/>
    <w:rsid w:val="006077F4"/>
    <w:rsid w:val="00610FEA"/>
    <w:rsid w:val="0061266F"/>
    <w:rsid w:val="006127C9"/>
    <w:rsid w:val="00614554"/>
    <w:rsid w:val="00614FC4"/>
    <w:rsid w:val="006150DA"/>
    <w:rsid w:val="00615EEE"/>
    <w:rsid w:val="00616F94"/>
    <w:rsid w:val="0062188E"/>
    <w:rsid w:val="00621D54"/>
    <w:rsid w:val="00622192"/>
    <w:rsid w:val="00622CDB"/>
    <w:rsid w:val="00622E28"/>
    <w:rsid w:val="006237A7"/>
    <w:rsid w:val="00623A2F"/>
    <w:rsid w:val="006248F5"/>
    <w:rsid w:val="00625588"/>
    <w:rsid w:val="00626AAA"/>
    <w:rsid w:val="00626C7F"/>
    <w:rsid w:val="00626CC3"/>
    <w:rsid w:val="00626CF9"/>
    <w:rsid w:val="0062797B"/>
    <w:rsid w:val="006311E3"/>
    <w:rsid w:val="0063185F"/>
    <w:rsid w:val="006344AA"/>
    <w:rsid w:val="00634B3E"/>
    <w:rsid w:val="00634B46"/>
    <w:rsid w:val="0063696A"/>
    <w:rsid w:val="00636D03"/>
    <w:rsid w:val="00637FB5"/>
    <w:rsid w:val="00643B89"/>
    <w:rsid w:val="00644512"/>
    <w:rsid w:val="00644796"/>
    <w:rsid w:val="00645080"/>
    <w:rsid w:val="00645281"/>
    <w:rsid w:val="00645539"/>
    <w:rsid w:val="00646AAC"/>
    <w:rsid w:val="006516D6"/>
    <w:rsid w:val="006524E9"/>
    <w:rsid w:val="00653D2B"/>
    <w:rsid w:val="00655199"/>
    <w:rsid w:val="0065626F"/>
    <w:rsid w:val="006568AA"/>
    <w:rsid w:val="00660B42"/>
    <w:rsid w:val="0066236D"/>
    <w:rsid w:val="00662F75"/>
    <w:rsid w:val="0066335A"/>
    <w:rsid w:val="006644DE"/>
    <w:rsid w:val="00664DD8"/>
    <w:rsid w:val="00664F1B"/>
    <w:rsid w:val="006666D7"/>
    <w:rsid w:val="00666814"/>
    <w:rsid w:val="006676C9"/>
    <w:rsid w:val="00667834"/>
    <w:rsid w:val="006701D7"/>
    <w:rsid w:val="00670549"/>
    <w:rsid w:val="00670EF1"/>
    <w:rsid w:val="00671401"/>
    <w:rsid w:val="006716F4"/>
    <w:rsid w:val="006723E9"/>
    <w:rsid w:val="006730EB"/>
    <w:rsid w:val="006751BB"/>
    <w:rsid w:val="00675A26"/>
    <w:rsid w:val="00676743"/>
    <w:rsid w:val="00676832"/>
    <w:rsid w:val="00677EBB"/>
    <w:rsid w:val="00680768"/>
    <w:rsid w:val="00681D48"/>
    <w:rsid w:val="00682AA9"/>
    <w:rsid w:val="00682D05"/>
    <w:rsid w:val="00684DEB"/>
    <w:rsid w:val="00685ADA"/>
    <w:rsid w:val="00686544"/>
    <w:rsid w:val="00690D4F"/>
    <w:rsid w:val="00690F01"/>
    <w:rsid w:val="00692105"/>
    <w:rsid w:val="0069211F"/>
    <w:rsid w:val="00692BED"/>
    <w:rsid w:val="006930DE"/>
    <w:rsid w:val="00693DD7"/>
    <w:rsid w:val="00693FBF"/>
    <w:rsid w:val="0069441B"/>
    <w:rsid w:val="00695399"/>
    <w:rsid w:val="00695961"/>
    <w:rsid w:val="006974CF"/>
    <w:rsid w:val="006A1210"/>
    <w:rsid w:val="006A1FEB"/>
    <w:rsid w:val="006A37BD"/>
    <w:rsid w:val="006A3DB7"/>
    <w:rsid w:val="006A4E9A"/>
    <w:rsid w:val="006A4EC7"/>
    <w:rsid w:val="006A637C"/>
    <w:rsid w:val="006A6A12"/>
    <w:rsid w:val="006A776A"/>
    <w:rsid w:val="006A7B8C"/>
    <w:rsid w:val="006B192E"/>
    <w:rsid w:val="006B27C6"/>
    <w:rsid w:val="006B364A"/>
    <w:rsid w:val="006B4EEC"/>
    <w:rsid w:val="006C0139"/>
    <w:rsid w:val="006C0490"/>
    <w:rsid w:val="006C1494"/>
    <w:rsid w:val="006C3E1F"/>
    <w:rsid w:val="006C41E5"/>
    <w:rsid w:val="006C4809"/>
    <w:rsid w:val="006C4A90"/>
    <w:rsid w:val="006C4B16"/>
    <w:rsid w:val="006C7455"/>
    <w:rsid w:val="006D0182"/>
    <w:rsid w:val="006D0310"/>
    <w:rsid w:val="006D071C"/>
    <w:rsid w:val="006D0D68"/>
    <w:rsid w:val="006D0FDA"/>
    <w:rsid w:val="006D14FE"/>
    <w:rsid w:val="006D1D34"/>
    <w:rsid w:val="006D4A4D"/>
    <w:rsid w:val="006D6216"/>
    <w:rsid w:val="006D677B"/>
    <w:rsid w:val="006D6989"/>
    <w:rsid w:val="006D7557"/>
    <w:rsid w:val="006E0C59"/>
    <w:rsid w:val="006E12EC"/>
    <w:rsid w:val="006E170B"/>
    <w:rsid w:val="006E231C"/>
    <w:rsid w:val="006E2481"/>
    <w:rsid w:val="006E3B98"/>
    <w:rsid w:val="006E47F5"/>
    <w:rsid w:val="006E54BA"/>
    <w:rsid w:val="006E569C"/>
    <w:rsid w:val="006E56DE"/>
    <w:rsid w:val="006E7F46"/>
    <w:rsid w:val="006F08F1"/>
    <w:rsid w:val="006F0CF1"/>
    <w:rsid w:val="006F11A0"/>
    <w:rsid w:val="006F2E65"/>
    <w:rsid w:val="006F30CB"/>
    <w:rsid w:val="006F4276"/>
    <w:rsid w:val="006F4778"/>
    <w:rsid w:val="006F4FA3"/>
    <w:rsid w:val="006F5209"/>
    <w:rsid w:val="006F6240"/>
    <w:rsid w:val="006F6D1A"/>
    <w:rsid w:val="006F727F"/>
    <w:rsid w:val="00700DF0"/>
    <w:rsid w:val="0070104F"/>
    <w:rsid w:val="00701440"/>
    <w:rsid w:val="00701721"/>
    <w:rsid w:val="007018E3"/>
    <w:rsid w:val="00702304"/>
    <w:rsid w:val="007033A7"/>
    <w:rsid w:val="00703FF9"/>
    <w:rsid w:val="00704318"/>
    <w:rsid w:val="00705027"/>
    <w:rsid w:val="00706817"/>
    <w:rsid w:val="00706947"/>
    <w:rsid w:val="0070756D"/>
    <w:rsid w:val="00707750"/>
    <w:rsid w:val="00710604"/>
    <w:rsid w:val="00710C4F"/>
    <w:rsid w:val="00712371"/>
    <w:rsid w:val="00712402"/>
    <w:rsid w:val="00712A51"/>
    <w:rsid w:val="00712DCB"/>
    <w:rsid w:val="00713169"/>
    <w:rsid w:val="00713677"/>
    <w:rsid w:val="00713A7D"/>
    <w:rsid w:val="00713F38"/>
    <w:rsid w:val="007164D9"/>
    <w:rsid w:val="007165E0"/>
    <w:rsid w:val="00716B97"/>
    <w:rsid w:val="00717271"/>
    <w:rsid w:val="007172C6"/>
    <w:rsid w:val="00717E9A"/>
    <w:rsid w:val="00720DCE"/>
    <w:rsid w:val="00722596"/>
    <w:rsid w:val="007232EE"/>
    <w:rsid w:val="0072449F"/>
    <w:rsid w:val="007249E7"/>
    <w:rsid w:val="00725906"/>
    <w:rsid w:val="007260F6"/>
    <w:rsid w:val="00726287"/>
    <w:rsid w:val="00727846"/>
    <w:rsid w:val="0072792F"/>
    <w:rsid w:val="007303A7"/>
    <w:rsid w:val="00730805"/>
    <w:rsid w:val="0073104A"/>
    <w:rsid w:val="00732C67"/>
    <w:rsid w:val="007343BF"/>
    <w:rsid w:val="00734DC4"/>
    <w:rsid w:val="00735C7E"/>
    <w:rsid w:val="0073656B"/>
    <w:rsid w:val="007366C0"/>
    <w:rsid w:val="00736B34"/>
    <w:rsid w:val="00737E7A"/>
    <w:rsid w:val="00740137"/>
    <w:rsid w:val="0074055A"/>
    <w:rsid w:val="0074177B"/>
    <w:rsid w:val="0074229C"/>
    <w:rsid w:val="0074527D"/>
    <w:rsid w:val="00745D0E"/>
    <w:rsid w:val="007465D6"/>
    <w:rsid w:val="00747B59"/>
    <w:rsid w:val="00747C40"/>
    <w:rsid w:val="00747D11"/>
    <w:rsid w:val="00751815"/>
    <w:rsid w:val="00753069"/>
    <w:rsid w:val="00753CF4"/>
    <w:rsid w:val="00754CF2"/>
    <w:rsid w:val="00755F34"/>
    <w:rsid w:val="007612DC"/>
    <w:rsid w:val="0076454C"/>
    <w:rsid w:val="00764934"/>
    <w:rsid w:val="00764EDC"/>
    <w:rsid w:val="00767F86"/>
    <w:rsid w:val="007703C7"/>
    <w:rsid w:val="007707F7"/>
    <w:rsid w:val="00772A79"/>
    <w:rsid w:val="0077622B"/>
    <w:rsid w:val="0077675D"/>
    <w:rsid w:val="00776E3F"/>
    <w:rsid w:val="007772A9"/>
    <w:rsid w:val="007774A2"/>
    <w:rsid w:val="00780B49"/>
    <w:rsid w:val="007815C7"/>
    <w:rsid w:val="00782B92"/>
    <w:rsid w:val="007841DA"/>
    <w:rsid w:val="00785122"/>
    <w:rsid w:val="00786AAE"/>
    <w:rsid w:val="00787DEE"/>
    <w:rsid w:val="00787EFE"/>
    <w:rsid w:val="00790AA5"/>
    <w:rsid w:val="00791275"/>
    <w:rsid w:val="007913DD"/>
    <w:rsid w:val="00791DCD"/>
    <w:rsid w:val="00792D39"/>
    <w:rsid w:val="00792F0C"/>
    <w:rsid w:val="00793CD3"/>
    <w:rsid w:val="0079441C"/>
    <w:rsid w:val="00794E99"/>
    <w:rsid w:val="007968C7"/>
    <w:rsid w:val="00796F70"/>
    <w:rsid w:val="007A08C8"/>
    <w:rsid w:val="007A0F4D"/>
    <w:rsid w:val="007A3836"/>
    <w:rsid w:val="007A397E"/>
    <w:rsid w:val="007A48B7"/>
    <w:rsid w:val="007A5A3D"/>
    <w:rsid w:val="007A6874"/>
    <w:rsid w:val="007B0452"/>
    <w:rsid w:val="007B151F"/>
    <w:rsid w:val="007B1B5E"/>
    <w:rsid w:val="007B1C9B"/>
    <w:rsid w:val="007B21AC"/>
    <w:rsid w:val="007B22D5"/>
    <w:rsid w:val="007B2C13"/>
    <w:rsid w:val="007B34A4"/>
    <w:rsid w:val="007B3C50"/>
    <w:rsid w:val="007B53A6"/>
    <w:rsid w:val="007B5A10"/>
    <w:rsid w:val="007B5E11"/>
    <w:rsid w:val="007C0471"/>
    <w:rsid w:val="007C2789"/>
    <w:rsid w:val="007C30C7"/>
    <w:rsid w:val="007C3388"/>
    <w:rsid w:val="007C6893"/>
    <w:rsid w:val="007C6EB6"/>
    <w:rsid w:val="007C75B7"/>
    <w:rsid w:val="007C7646"/>
    <w:rsid w:val="007C7BB2"/>
    <w:rsid w:val="007D1F22"/>
    <w:rsid w:val="007D2893"/>
    <w:rsid w:val="007D39F5"/>
    <w:rsid w:val="007D3B18"/>
    <w:rsid w:val="007D41FD"/>
    <w:rsid w:val="007D42AD"/>
    <w:rsid w:val="007D4372"/>
    <w:rsid w:val="007D4CA7"/>
    <w:rsid w:val="007D5106"/>
    <w:rsid w:val="007D5AEF"/>
    <w:rsid w:val="007D5D58"/>
    <w:rsid w:val="007D6280"/>
    <w:rsid w:val="007D72A4"/>
    <w:rsid w:val="007D72A6"/>
    <w:rsid w:val="007D7A9A"/>
    <w:rsid w:val="007D7CD8"/>
    <w:rsid w:val="007E09A9"/>
    <w:rsid w:val="007E0C67"/>
    <w:rsid w:val="007E3120"/>
    <w:rsid w:val="007E4129"/>
    <w:rsid w:val="007E4816"/>
    <w:rsid w:val="007E56C3"/>
    <w:rsid w:val="007E5B5D"/>
    <w:rsid w:val="007F0516"/>
    <w:rsid w:val="007F1110"/>
    <w:rsid w:val="007F14E1"/>
    <w:rsid w:val="007F46B1"/>
    <w:rsid w:val="007F633B"/>
    <w:rsid w:val="007F7E58"/>
    <w:rsid w:val="007F7FC8"/>
    <w:rsid w:val="008011B8"/>
    <w:rsid w:val="008016B4"/>
    <w:rsid w:val="00801A5D"/>
    <w:rsid w:val="008025A5"/>
    <w:rsid w:val="00803BCA"/>
    <w:rsid w:val="008055EC"/>
    <w:rsid w:val="00806371"/>
    <w:rsid w:val="008075E1"/>
    <w:rsid w:val="00807653"/>
    <w:rsid w:val="008079B0"/>
    <w:rsid w:val="00807B39"/>
    <w:rsid w:val="0081061A"/>
    <w:rsid w:val="00811E0C"/>
    <w:rsid w:val="00812735"/>
    <w:rsid w:val="00812747"/>
    <w:rsid w:val="008141C4"/>
    <w:rsid w:val="00814353"/>
    <w:rsid w:val="008149A8"/>
    <w:rsid w:val="008179B6"/>
    <w:rsid w:val="00823548"/>
    <w:rsid w:val="00824E07"/>
    <w:rsid w:val="008253FB"/>
    <w:rsid w:val="00826F32"/>
    <w:rsid w:val="00826F68"/>
    <w:rsid w:val="0082765E"/>
    <w:rsid w:val="0082788E"/>
    <w:rsid w:val="00831D31"/>
    <w:rsid w:val="00831E39"/>
    <w:rsid w:val="008329DA"/>
    <w:rsid w:val="00832AE1"/>
    <w:rsid w:val="00834B23"/>
    <w:rsid w:val="00835D26"/>
    <w:rsid w:val="00840103"/>
    <w:rsid w:val="0084176A"/>
    <w:rsid w:val="008420E6"/>
    <w:rsid w:val="0084242D"/>
    <w:rsid w:val="0084493F"/>
    <w:rsid w:val="00845DCE"/>
    <w:rsid w:val="00846EC3"/>
    <w:rsid w:val="00846F18"/>
    <w:rsid w:val="00847CE1"/>
    <w:rsid w:val="0085178F"/>
    <w:rsid w:val="00851B7F"/>
    <w:rsid w:val="00851C89"/>
    <w:rsid w:val="0085289A"/>
    <w:rsid w:val="00854AF1"/>
    <w:rsid w:val="00857C44"/>
    <w:rsid w:val="008614DA"/>
    <w:rsid w:val="00863878"/>
    <w:rsid w:val="00864EC7"/>
    <w:rsid w:val="008651D0"/>
    <w:rsid w:val="00865A43"/>
    <w:rsid w:val="00865DA8"/>
    <w:rsid w:val="00867186"/>
    <w:rsid w:val="00870A99"/>
    <w:rsid w:val="00870C23"/>
    <w:rsid w:val="00870E10"/>
    <w:rsid w:val="00871ED6"/>
    <w:rsid w:val="0087330B"/>
    <w:rsid w:val="00875469"/>
    <w:rsid w:val="0087634C"/>
    <w:rsid w:val="00880AD3"/>
    <w:rsid w:val="00881D59"/>
    <w:rsid w:val="00882AF2"/>
    <w:rsid w:val="0088513F"/>
    <w:rsid w:val="00885620"/>
    <w:rsid w:val="008871EB"/>
    <w:rsid w:val="00887B7F"/>
    <w:rsid w:val="00892053"/>
    <w:rsid w:val="00892AF5"/>
    <w:rsid w:val="00893148"/>
    <w:rsid w:val="00894B2C"/>
    <w:rsid w:val="008964F2"/>
    <w:rsid w:val="008A1717"/>
    <w:rsid w:val="008A17E1"/>
    <w:rsid w:val="008A1BFE"/>
    <w:rsid w:val="008A2B5A"/>
    <w:rsid w:val="008A2E93"/>
    <w:rsid w:val="008A32B6"/>
    <w:rsid w:val="008A41F2"/>
    <w:rsid w:val="008A5F4B"/>
    <w:rsid w:val="008A5FF9"/>
    <w:rsid w:val="008A68BD"/>
    <w:rsid w:val="008A7562"/>
    <w:rsid w:val="008A7D59"/>
    <w:rsid w:val="008B0448"/>
    <w:rsid w:val="008B0783"/>
    <w:rsid w:val="008B35D5"/>
    <w:rsid w:val="008B3B3A"/>
    <w:rsid w:val="008B3BFC"/>
    <w:rsid w:val="008B40C6"/>
    <w:rsid w:val="008B43E9"/>
    <w:rsid w:val="008B48A8"/>
    <w:rsid w:val="008B4DFC"/>
    <w:rsid w:val="008B4F43"/>
    <w:rsid w:val="008B533B"/>
    <w:rsid w:val="008B5B18"/>
    <w:rsid w:val="008B6D59"/>
    <w:rsid w:val="008B7233"/>
    <w:rsid w:val="008C0257"/>
    <w:rsid w:val="008C0E80"/>
    <w:rsid w:val="008C16F7"/>
    <w:rsid w:val="008C1923"/>
    <w:rsid w:val="008C2247"/>
    <w:rsid w:val="008C2AAD"/>
    <w:rsid w:val="008C3DD3"/>
    <w:rsid w:val="008C47C7"/>
    <w:rsid w:val="008C50D4"/>
    <w:rsid w:val="008C56E1"/>
    <w:rsid w:val="008C6298"/>
    <w:rsid w:val="008C6319"/>
    <w:rsid w:val="008C6962"/>
    <w:rsid w:val="008D0790"/>
    <w:rsid w:val="008D2270"/>
    <w:rsid w:val="008D24DE"/>
    <w:rsid w:val="008D353B"/>
    <w:rsid w:val="008D3AFB"/>
    <w:rsid w:val="008D3CA1"/>
    <w:rsid w:val="008D3EF8"/>
    <w:rsid w:val="008D42E0"/>
    <w:rsid w:val="008D45DE"/>
    <w:rsid w:val="008D5358"/>
    <w:rsid w:val="008D68E9"/>
    <w:rsid w:val="008D6EC6"/>
    <w:rsid w:val="008D71E5"/>
    <w:rsid w:val="008D7A5A"/>
    <w:rsid w:val="008D7E70"/>
    <w:rsid w:val="008E09B6"/>
    <w:rsid w:val="008E33BD"/>
    <w:rsid w:val="008E3C7F"/>
    <w:rsid w:val="008E3F80"/>
    <w:rsid w:val="008E421C"/>
    <w:rsid w:val="008E54E6"/>
    <w:rsid w:val="008E5C4F"/>
    <w:rsid w:val="008E7225"/>
    <w:rsid w:val="008E7DC4"/>
    <w:rsid w:val="008F09AA"/>
    <w:rsid w:val="008F1566"/>
    <w:rsid w:val="008F2765"/>
    <w:rsid w:val="008F2CAC"/>
    <w:rsid w:val="008F3BA9"/>
    <w:rsid w:val="008F3F7A"/>
    <w:rsid w:val="008F4AC7"/>
    <w:rsid w:val="008F4EAA"/>
    <w:rsid w:val="008F55F8"/>
    <w:rsid w:val="008F7C1B"/>
    <w:rsid w:val="008F7D85"/>
    <w:rsid w:val="009023BC"/>
    <w:rsid w:val="009033C3"/>
    <w:rsid w:val="00904637"/>
    <w:rsid w:val="009054D9"/>
    <w:rsid w:val="00905DAF"/>
    <w:rsid w:val="009063F6"/>
    <w:rsid w:val="009065C0"/>
    <w:rsid w:val="00907193"/>
    <w:rsid w:val="00907B35"/>
    <w:rsid w:val="0091005F"/>
    <w:rsid w:val="009135C2"/>
    <w:rsid w:val="0091408C"/>
    <w:rsid w:val="009140DE"/>
    <w:rsid w:val="00916926"/>
    <w:rsid w:val="00916D82"/>
    <w:rsid w:val="00917C5A"/>
    <w:rsid w:val="00920702"/>
    <w:rsid w:val="00920AEC"/>
    <w:rsid w:val="00920DFE"/>
    <w:rsid w:val="00921272"/>
    <w:rsid w:val="009216E2"/>
    <w:rsid w:val="00921C59"/>
    <w:rsid w:val="00922324"/>
    <w:rsid w:val="0092291C"/>
    <w:rsid w:val="00922B54"/>
    <w:rsid w:val="00922CA6"/>
    <w:rsid w:val="00923B86"/>
    <w:rsid w:val="00924C02"/>
    <w:rsid w:val="00924CF4"/>
    <w:rsid w:val="009258E4"/>
    <w:rsid w:val="009261EF"/>
    <w:rsid w:val="00926316"/>
    <w:rsid w:val="00926C72"/>
    <w:rsid w:val="009274F5"/>
    <w:rsid w:val="009277E2"/>
    <w:rsid w:val="009311CC"/>
    <w:rsid w:val="00931DDC"/>
    <w:rsid w:val="009320F8"/>
    <w:rsid w:val="009322E0"/>
    <w:rsid w:val="0093363A"/>
    <w:rsid w:val="00934493"/>
    <w:rsid w:val="009345C5"/>
    <w:rsid w:val="00935C81"/>
    <w:rsid w:val="0093678A"/>
    <w:rsid w:val="00940BB0"/>
    <w:rsid w:val="0094345F"/>
    <w:rsid w:val="009437A1"/>
    <w:rsid w:val="00943824"/>
    <w:rsid w:val="00943C8B"/>
    <w:rsid w:val="00945071"/>
    <w:rsid w:val="00945C29"/>
    <w:rsid w:val="00946132"/>
    <w:rsid w:val="00946E6F"/>
    <w:rsid w:val="009504A4"/>
    <w:rsid w:val="00951E0B"/>
    <w:rsid w:val="00952271"/>
    <w:rsid w:val="0095269D"/>
    <w:rsid w:val="009526DA"/>
    <w:rsid w:val="00953441"/>
    <w:rsid w:val="00953FDF"/>
    <w:rsid w:val="0095623E"/>
    <w:rsid w:val="009602BA"/>
    <w:rsid w:val="00960E99"/>
    <w:rsid w:val="00961E3E"/>
    <w:rsid w:val="009621E3"/>
    <w:rsid w:val="00962D42"/>
    <w:rsid w:val="00963D73"/>
    <w:rsid w:val="009640B2"/>
    <w:rsid w:val="009644AF"/>
    <w:rsid w:val="00964875"/>
    <w:rsid w:val="00970682"/>
    <w:rsid w:val="00970916"/>
    <w:rsid w:val="00975679"/>
    <w:rsid w:val="00976371"/>
    <w:rsid w:val="00976A18"/>
    <w:rsid w:val="00980252"/>
    <w:rsid w:val="00980309"/>
    <w:rsid w:val="009804F5"/>
    <w:rsid w:val="00981466"/>
    <w:rsid w:val="00982608"/>
    <w:rsid w:val="00982876"/>
    <w:rsid w:val="00984EF0"/>
    <w:rsid w:val="009856CF"/>
    <w:rsid w:val="00985CF2"/>
    <w:rsid w:val="0098629D"/>
    <w:rsid w:val="00986EDD"/>
    <w:rsid w:val="009953EA"/>
    <w:rsid w:val="00996BCE"/>
    <w:rsid w:val="00997029"/>
    <w:rsid w:val="009976BC"/>
    <w:rsid w:val="009977F5"/>
    <w:rsid w:val="00997DE2"/>
    <w:rsid w:val="009A1647"/>
    <w:rsid w:val="009A225D"/>
    <w:rsid w:val="009A255C"/>
    <w:rsid w:val="009A336D"/>
    <w:rsid w:val="009A3EFD"/>
    <w:rsid w:val="009A553C"/>
    <w:rsid w:val="009A575F"/>
    <w:rsid w:val="009A5E1F"/>
    <w:rsid w:val="009A6180"/>
    <w:rsid w:val="009A6A27"/>
    <w:rsid w:val="009A7348"/>
    <w:rsid w:val="009A7C2E"/>
    <w:rsid w:val="009A7DCC"/>
    <w:rsid w:val="009B003D"/>
    <w:rsid w:val="009B14C9"/>
    <w:rsid w:val="009B16F8"/>
    <w:rsid w:val="009B184C"/>
    <w:rsid w:val="009B1CFB"/>
    <w:rsid w:val="009B2CFA"/>
    <w:rsid w:val="009B4E4E"/>
    <w:rsid w:val="009B5AFA"/>
    <w:rsid w:val="009B729E"/>
    <w:rsid w:val="009B7840"/>
    <w:rsid w:val="009C199B"/>
    <w:rsid w:val="009C348C"/>
    <w:rsid w:val="009C37E9"/>
    <w:rsid w:val="009C3A40"/>
    <w:rsid w:val="009C475D"/>
    <w:rsid w:val="009C4905"/>
    <w:rsid w:val="009C5C5E"/>
    <w:rsid w:val="009C60A2"/>
    <w:rsid w:val="009C60B2"/>
    <w:rsid w:val="009C61C8"/>
    <w:rsid w:val="009C68B4"/>
    <w:rsid w:val="009C6B95"/>
    <w:rsid w:val="009C7652"/>
    <w:rsid w:val="009C7A10"/>
    <w:rsid w:val="009C7DE7"/>
    <w:rsid w:val="009D1EDB"/>
    <w:rsid w:val="009D27D2"/>
    <w:rsid w:val="009D3015"/>
    <w:rsid w:val="009D3F33"/>
    <w:rsid w:val="009D44CF"/>
    <w:rsid w:val="009D4674"/>
    <w:rsid w:val="009D7662"/>
    <w:rsid w:val="009D76DB"/>
    <w:rsid w:val="009D7FBF"/>
    <w:rsid w:val="009E14FC"/>
    <w:rsid w:val="009E2053"/>
    <w:rsid w:val="009E2D05"/>
    <w:rsid w:val="009E2EF4"/>
    <w:rsid w:val="009E56AF"/>
    <w:rsid w:val="009E5B0D"/>
    <w:rsid w:val="009E69C8"/>
    <w:rsid w:val="009E766A"/>
    <w:rsid w:val="009F11CD"/>
    <w:rsid w:val="009F2D5F"/>
    <w:rsid w:val="009F4D67"/>
    <w:rsid w:val="009F5324"/>
    <w:rsid w:val="009F74A3"/>
    <w:rsid w:val="00A002EA"/>
    <w:rsid w:val="00A00D91"/>
    <w:rsid w:val="00A0178F"/>
    <w:rsid w:val="00A01B6C"/>
    <w:rsid w:val="00A03032"/>
    <w:rsid w:val="00A03378"/>
    <w:rsid w:val="00A034E0"/>
    <w:rsid w:val="00A036AE"/>
    <w:rsid w:val="00A04475"/>
    <w:rsid w:val="00A069DB"/>
    <w:rsid w:val="00A06C2E"/>
    <w:rsid w:val="00A07680"/>
    <w:rsid w:val="00A07D54"/>
    <w:rsid w:val="00A100AA"/>
    <w:rsid w:val="00A11F5D"/>
    <w:rsid w:val="00A12648"/>
    <w:rsid w:val="00A1267C"/>
    <w:rsid w:val="00A133D0"/>
    <w:rsid w:val="00A13FC4"/>
    <w:rsid w:val="00A14FF5"/>
    <w:rsid w:val="00A15832"/>
    <w:rsid w:val="00A158A7"/>
    <w:rsid w:val="00A16D69"/>
    <w:rsid w:val="00A21EE5"/>
    <w:rsid w:val="00A2213E"/>
    <w:rsid w:val="00A23946"/>
    <w:rsid w:val="00A244E2"/>
    <w:rsid w:val="00A25FAF"/>
    <w:rsid w:val="00A26245"/>
    <w:rsid w:val="00A267BA"/>
    <w:rsid w:val="00A268AC"/>
    <w:rsid w:val="00A268B8"/>
    <w:rsid w:val="00A269B9"/>
    <w:rsid w:val="00A26C03"/>
    <w:rsid w:val="00A26FDE"/>
    <w:rsid w:val="00A27919"/>
    <w:rsid w:val="00A310DD"/>
    <w:rsid w:val="00A32C9E"/>
    <w:rsid w:val="00A337BE"/>
    <w:rsid w:val="00A33FE7"/>
    <w:rsid w:val="00A3400B"/>
    <w:rsid w:val="00A34752"/>
    <w:rsid w:val="00A35292"/>
    <w:rsid w:val="00A35A62"/>
    <w:rsid w:val="00A36880"/>
    <w:rsid w:val="00A37D4A"/>
    <w:rsid w:val="00A4101B"/>
    <w:rsid w:val="00A41CAC"/>
    <w:rsid w:val="00A425CD"/>
    <w:rsid w:val="00A42C36"/>
    <w:rsid w:val="00A431F9"/>
    <w:rsid w:val="00A4350A"/>
    <w:rsid w:val="00A439D0"/>
    <w:rsid w:val="00A4571A"/>
    <w:rsid w:val="00A5047A"/>
    <w:rsid w:val="00A5088B"/>
    <w:rsid w:val="00A50A42"/>
    <w:rsid w:val="00A52AFA"/>
    <w:rsid w:val="00A53013"/>
    <w:rsid w:val="00A535FE"/>
    <w:rsid w:val="00A5490D"/>
    <w:rsid w:val="00A54A11"/>
    <w:rsid w:val="00A54C86"/>
    <w:rsid w:val="00A54D4B"/>
    <w:rsid w:val="00A553C4"/>
    <w:rsid w:val="00A573E4"/>
    <w:rsid w:val="00A635D7"/>
    <w:rsid w:val="00A646CD"/>
    <w:rsid w:val="00A64DB7"/>
    <w:rsid w:val="00A65FBD"/>
    <w:rsid w:val="00A71A35"/>
    <w:rsid w:val="00A71E27"/>
    <w:rsid w:val="00A72210"/>
    <w:rsid w:val="00A7332B"/>
    <w:rsid w:val="00A73CA2"/>
    <w:rsid w:val="00A7451B"/>
    <w:rsid w:val="00A7597F"/>
    <w:rsid w:val="00A75CFD"/>
    <w:rsid w:val="00A75F99"/>
    <w:rsid w:val="00A76009"/>
    <w:rsid w:val="00A807F6"/>
    <w:rsid w:val="00A817A9"/>
    <w:rsid w:val="00A819BF"/>
    <w:rsid w:val="00A83705"/>
    <w:rsid w:val="00A8374E"/>
    <w:rsid w:val="00A846CE"/>
    <w:rsid w:val="00A84DE8"/>
    <w:rsid w:val="00A85845"/>
    <w:rsid w:val="00A860AB"/>
    <w:rsid w:val="00A86559"/>
    <w:rsid w:val="00A87063"/>
    <w:rsid w:val="00A90F32"/>
    <w:rsid w:val="00A9121D"/>
    <w:rsid w:val="00A9142B"/>
    <w:rsid w:val="00A91864"/>
    <w:rsid w:val="00A91F9A"/>
    <w:rsid w:val="00A921A2"/>
    <w:rsid w:val="00A92605"/>
    <w:rsid w:val="00A92F4C"/>
    <w:rsid w:val="00A9314B"/>
    <w:rsid w:val="00A936CE"/>
    <w:rsid w:val="00A9766B"/>
    <w:rsid w:val="00A97B7F"/>
    <w:rsid w:val="00AA0F1A"/>
    <w:rsid w:val="00AA132A"/>
    <w:rsid w:val="00AA199C"/>
    <w:rsid w:val="00AA2818"/>
    <w:rsid w:val="00AA473F"/>
    <w:rsid w:val="00AA50B0"/>
    <w:rsid w:val="00AA5439"/>
    <w:rsid w:val="00AA5EE1"/>
    <w:rsid w:val="00AA6522"/>
    <w:rsid w:val="00AA71F1"/>
    <w:rsid w:val="00AA79C3"/>
    <w:rsid w:val="00AB4A85"/>
    <w:rsid w:val="00AB5AC7"/>
    <w:rsid w:val="00AB5D0F"/>
    <w:rsid w:val="00AB5E51"/>
    <w:rsid w:val="00AB63E5"/>
    <w:rsid w:val="00AB6488"/>
    <w:rsid w:val="00AB64C7"/>
    <w:rsid w:val="00AB6A4B"/>
    <w:rsid w:val="00AB76FD"/>
    <w:rsid w:val="00AB7DC9"/>
    <w:rsid w:val="00AB7EA4"/>
    <w:rsid w:val="00AC06C4"/>
    <w:rsid w:val="00AC0CB3"/>
    <w:rsid w:val="00AC154E"/>
    <w:rsid w:val="00AC1850"/>
    <w:rsid w:val="00AC2DDC"/>
    <w:rsid w:val="00AC2FED"/>
    <w:rsid w:val="00AC4078"/>
    <w:rsid w:val="00AC4864"/>
    <w:rsid w:val="00AC7AED"/>
    <w:rsid w:val="00AD066F"/>
    <w:rsid w:val="00AD153B"/>
    <w:rsid w:val="00AD2F05"/>
    <w:rsid w:val="00AD3186"/>
    <w:rsid w:val="00AD39D5"/>
    <w:rsid w:val="00AD4049"/>
    <w:rsid w:val="00AD495A"/>
    <w:rsid w:val="00AD5CD1"/>
    <w:rsid w:val="00AD61DD"/>
    <w:rsid w:val="00AD64B4"/>
    <w:rsid w:val="00AD670E"/>
    <w:rsid w:val="00AD68DA"/>
    <w:rsid w:val="00AD6C4B"/>
    <w:rsid w:val="00AD7328"/>
    <w:rsid w:val="00AE02CB"/>
    <w:rsid w:val="00AE098B"/>
    <w:rsid w:val="00AE0D48"/>
    <w:rsid w:val="00AE12CE"/>
    <w:rsid w:val="00AE17C9"/>
    <w:rsid w:val="00AE1D5A"/>
    <w:rsid w:val="00AE1DEB"/>
    <w:rsid w:val="00AE20B3"/>
    <w:rsid w:val="00AE277D"/>
    <w:rsid w:val="00AE381B"/>
    <w:rsid w:val="00AE3AD3"/>
    <w:rsid w:val="00AE3E08"/>
    <w:rsid w:val="00AE41A3"/>
    <w:rsid w:val="00AE4293"/>
    <w:rsid w:val="00AE558C"/>
    <w:rsid w:val="00AE5DBC"/>
    <w:rsid w:val="00AE7AF0"/>
    <w:rsid w:val="00AF1A45"/>
    <w:rsid w:val="00AF3223"/>
    <w:rsid w:val="00AF3AF1"/>
    <w:rsid w:val="00B0000F"/>
    <w:rsid w:val="00B003E4"/>
    <w:rsid w:val="00B00568"/>
    <w:rsid w:val="00B02646"/>
    <w:rsid w:val="00B02CBC"/>
    <w:rsid w:val="00B02D32"/>
    <w:rsid w:val="00B03AB9"/>
    <w:rsid w:val="00B04878"/>
    <w:rsid w:val="00B04C38"/>
    <w:rsid w:val="00B051A6"/>
    <w:rsid w:val="00B05A3C"/>
    <w:rsid w:val="00B05C02"/>
    <w:rsid w:val="00B0784B"/>
    <w:rsid w:val="00B07C55"/>
    <w:rsid w:val="00B1396B"/>
    <w:rsid w:val="00B14095"/>
    <w:rsid w:val="00B142A4"/>
    <w:rsid w:val="00B16BB2"/>
    <w:rsid w:val="00B16E72"/>
    <w:rsid w:val="00B173CD"/>
    <w:rsid w:val="00B1762C"/>
    <w:rsid w:val="00B17CA6"/>
    <w:rsid w:val="00B17EBF"/>
    <w:rsid w:val="00B224AF"/>
    <w:rsid w:val="00B23C7B"/>
    <w:rsid w:val="00B23D05"/>
    <w:rsid w:val="00B243D3"/>
    <w:rsid w:val="00B25AFF"/>
    <w:rsid w:val="00B26C0C"/>
    <w:rsid w:val="00B307D3"/>
    <w:rsid w:val="00B34906"/>
    <w:rsid w:val="00B34A44"/>
    <w:rsid w:val="00B34DA3"/>
    <w:rsid w:val="00B357D5"/>
    <w:rsid w:val="00B35935"/>
    <w:rsid w:val="00B36F98"/>
    <w:rsid w:val="00B40B09"/>
    <w:rsid w:val="00B413EF"/>
    <w:rsid w:val="00B44A00"/>
    <w:rsid w:val="00B45444"/>
    <w:rsid w:val="00B45FB8"/>
    <w:rsid w:val="00B476AF"/>
    <w:rsid w:val="00B51483"/>
    <w:rsid w:val="00B55CD9"/>
    <w:rsid w:val="00B572EA"/>
    <w:rsid w:val="00B57D9C"/>
    <w:rsid w:val="00B622F5"/>
    <w:rsid w:val="00B6264A"/>
    <w:rsid w:val="00B62712"/>
    <w:rsid w:val="00B62DBF"/>
    <w:rsid w:val="00B62ED2"/>
    <w:rsid w:val="00B63450"/>
    <w:rsid w:val="00B65A3A"/>
    <w:rsid w:val="00B705BB"/>
    <w:rsid w:val="00B71EBC"/>
    <w:rsid w:val="00B733CC"/>
    <w:rsid w:val="00B73AD3"/>
    <w:rsid w:val="00B742E3"/>
    <w:rsid w:val="00B74796"/>
    <w:rsid w:val="00B749D1"/>
    <w:rsid w:val="00B75212"/>
    <w:rsid w:val="00B75873"/>
    <w:rsid w:val="00B75CA1"/>
    <w:rsid w:val="00B7781F"/>
    <w:rsid w:val="00B81463"/>
    <w:rsid w:val="00B81FC4"/>
    <w:rsid w:val="00B82D32"/>
    <w:rsid w:val="00B833D8"/>
    <w:rsid w:val="00B83599"/>
    <w:rsid w:val="00B83E2F"/>
    <w:rsid w:val="00B84481"/>
    <w:rsid w:val="00B8693D"/>
    <w:rsid w:val="00B86B4E"/>
    <w:rsid w:val="00B86D53"/>
    <w:rsid w:val="00B9047D"/>
    <w:rsid w:val="00B90660"/>
    <w:rsid w:val="00B906E4"/>
    <w:rsid w:val="00B90767"/>
    <w:rsid w:val="00B91AED"/>
    <w:rsid w:val="00B923C3"/>
    <w:rsid w:val="00B94472"/>
    <w:rsid w:val="00B948BF"/>
    <w:rsid w:val="00B94F1A"/>
    <w:rsid w:val="00B95948"/>
    <w:rsid w:val="00B95CBD"/>
    <w:rsid w:val="00B96A23"/>
    <w:rsid w:val="00B975C9"/>
    <w:rsid w:val="00B976D3"/>
    <w:rsid w:val="00B977E4"/>
    <w:rsid w:val="00BA0A8F"/>
    <w:rsid w:val="00BA1AE3"/>
    <w:rsid w:val="00BA312A"/>
    <w:rsid w:val="00BA3BA4"/>
    <w:rsid w:val="00BA3CCD"/>
    <w:rsid w:val="00BA42D1"/>
    <w:rsid w:val="00BA56A9"/>
    <w:rsid w:val="00BA69EE"/>
    <w:rsid w:val="00BA6F0B"/>
    <w:rsid w:val="00BA7246"/>
    <w:rsid w:val="00BB175A"/>
    <w:rsid w:val="00BB207D"/>
    <w:rsid w:val="00BB2A0F"/>
    <w:rsid w:val="00BB44A9"/>
    <w:rsid w:val="00BB5237"/>
    <w:rsid w:val="00BB52EC"/>
    <w:rsid w:val="00BB5D4B"/>
    <w:rsid w:val="00BB5EBE"/>
    <w:rsid w:val="00BB6BC2"/>
    <w:rsid w:val="00BB703C"/>
    <w:rsid w:val="00BC0A88"/>
    <w:rsid w:val="00BC23D8"/>
    <w:rsid w:val="00BC2905"/>
    <w:rsid w:val="00BC359F"/>
    <w:rsid w:val="00BC47A1"/>
    <w:rsid w:val="00BC4E72"/>
    <w:rsid w:val="00BC503D"/>
    <w:rsid w:val="00BC6887"/>
    <w:rsid w:val="00BC6A26"/>
    <w:rsid w:val="00BC7134"/>
    <w:rsid w:val="00BC76BE"/>
    <w:rsid w:val="00BC78BF"/>
    <w:rsid w:val="00BD0752"/>
    <w:rsid w:val="00BD0E39"/>
    <w:rsid w:val="00BD1151"/>
    <w:rsid w:val="00BD1B37"/>
    <w:rsid w:val="00BD48FF"/>
    <w:rsid w:val="00BD5A3E"/>
    <w:rsid w:val="00BD5B4D"/>
    <w:rsid w:val="00BD7A81"/>
    <w:rsid w:val="00BE0892"/>
    <w:rsid w:val="00BE1568"/>
    <w:rsid w:val="00BE1572"/>
    <w:rsid w:val="00BE1E71"/>
    <w:rsid w:val="00BE2420"/>
    <w:rsid w:val="00BE26CB"/>
    <w:rsid w:val="00BE2DA8"/>
    <w:rsid w:val="00BE3CF0"/>
    <w:rsid w:val="00BE6093"/>
    <w:rsid w:val="00BE63BC"/>
    <w:rsid w:val="00BE712B"/>
    <w:rsid w:val="00BE7130"/>
    <w:rsid w:val="00BE7697"/>
    <w:rsid w:val="00BE7EE4"/>
    <w:rsid w:val="00BF2986"/>
    <w:rsid w:val="00BF2F12"/>
    <w:rsid w:val="00BF3404"/>
    <w:rsid w:val="00BF40EC"/>
    <w:rsid w:val="00BF4941"/>
    <w:rsid w:val="00BF4EDA"/>
    <w:rsid w:val="00BF5E88"/>
    <w:rsid w:val="00BF6426"/>
    <w:rsid w:val="00BF6A66"/>
    <w:rsid w:val="00BF7FC6"/>
    <w:rsid w:val="00C00099"/>
    <w:rsid w:val="00C020CF"/>
    <w:rsid w:val="00C03F22"/>
    <w:rsid w:val="00C05183"/>
    <w:rsid w:val="00C05CFC"/>
    <w:rsid w:val="00C060D7"/>
    <w:rsid w:val="00C06BF7"/>
    <w:rsid w:val="00C07652"/>
    <w:rsid w:val="00C076F3"/>
    <w:rsid w:val="00C10513"/>
    <w:rsid w:val="00C1080E"/>
    <w:rsid w:val="00C11527"/>
    <w:rsid w:val="00C11F3D"/>
    <w:rsid w:val="00C13273"/>
    <w:rsid w:val="00C13438"/>
    <w:rsid w:val="00C142A8"/>
    <w:rsid w:val="00C14FA7"/>
    <w:rsid w:val="00C151CC"/>
    <w:rsid w:val="00C16DA3"/>
    <w:rsid w:val="00C20CA2"/>
    <w:rsid w:val="00C21110"/>
    <w:rsid w:val="00C249E6"/>
    <w:rsid w:val="00C258B8"/>
    <w:rsid w:val="00C26502"/>
    <w:rsid w:val="00C26683"/>
    <w:rsid w:val="00C269EC"/>
    <w:rsid w:val="00C27436"/>
    <w:rsid w:val="00C305F9"/>
    <w:rsid w:val="00C3111E"/>
    <w:rsid w:val="00C33129"/>
    <w:rsid w:val="00C34AFE"/>
    <w:rsid w:val="00C360E2"/>
    <w:rsid w:val="00C36314"/>
    <w:rsid w:val="00C36363"/>
    <w:rsid w:val="00C3637B"/>
    <w:rsid w:val="00C425A2"/>
    <w:rsid w:val="00C4293F"/>
    <w:rsid w:val="00C42B91"/>
    <w:rsid w:val="00C42D6C"/>
    <w:rsid w:val="00C43733"/>
    <w:rsid w:val="00C43A94"/>
    <w:rsid w:val="00C44195"/>
    <w:rsid w:val="00C44255"/>
    <w:rsid w:val="00C45B69"/>
    <w:rsid w:val="00C461BE"/>
    <w:rsid w:val="00C46490"/>
    <w:rsid w:val="00C519BA"/>
    <w:rsid w:val="00C51D81"/>
    <w:rsid w:val="00C51DF3"/>
    <w:rsid w:val="00C529C8"/>
    <w:rsid w:val="00C539BF"/>
    <w:rsid w:val="00C54EB2"/>
    <w:rsid w:val="00C559D5"/>
    <w:rsid w:val="00C55EC5"/>
    <w:rsid w:val="00C56537"/>
    <w:rsid w:val="00C5671A"/>
    <w:rsid w:val="00C56B2E"/>
    <w:rsid w:val="00C601D0"/>
    <w:rsid w:val="00C60552"/>
    <w:rsid w:val="00C61F09"/>
    <w:rsid w:val="00C63C4B"/>
    <w:rsid w:val="00C64C2B"/>
    <w:rsid w:val="00C64CC1"/>
    <w:rsid w:val="00C71CC6"/>
    <w:rsid w:val="00C73AAD"/>
    <w:rsid w:val="00C74AC8"/>
    <w:rsid w:val="00C75ABC"/>
    <w:rsid w:val="00C77877"/>
    <w:rsid w:val="00C77A92"/>
    <w:rsid w:val="00C77D52"/>
    <w:rsid w:val="00C77FAA"/>
    <w:rsid w:val="00C804BE"/>
    <w:rsid w:val="00C80521"/>
    <w:rsid w:val="00C8109F"/>
    <w:rsid w:val="00C81775"/>
    <w:rsid w:val="00C81CDE"/>
    <w:rsid w:val="00C82A59"/>
    <w:rsid w:val="00C831D5"/>
    <w:rsid w:val="00C832B5"/>
    <w:rsid w:val="00C853F1"/>
    <w:rsid w:val="00C85914"/>
    <w:rsid w:val="00C86C85"/>
    <w:rsid w:val="00C86D01"/>
    <w:rsid w:val="00C877F1"/>
    <w:rsid w:val="00C87EC2"/>
    <w:rsid w:val="00C928C7"/>
    <w:rsid w:val="00C93398"/>
    <w:rsid w:val="00C9389A"/>
    <w:rsid w:val="00C93DB6"/>
    <w:rsid w:val="00C94AB7"/>
    <w:rsid w:val="00C953DD"/>
    <w:rsid w:val="00C953F8"/>
    <w:rsid w:val="00C958B6"/>
    <w:rsid w:val="00CA4633"/>
    <w:rsid w:val="00CA5F68"/>
    <w:rsid w:val="00CA63CF"/>
    <w:rsid w:val="00CA6A1A"/>
    <w:rsid w:val="00CB0993"/>
    <w:rsid w:val="00CB1C7D"/>
    <w:rsid w:val="00CB2E12"/>
    <w:rsid w:val="00CB40C1"/>
    <w:rsid w:val="00CB4A19"/>
    <w:rsid w:val="00CB4A7A"/>
    <w:rsid w:val="00CB61FF"/>
    <w:rsid w:val="00CB6340"/>
    <w:rsid w:val="00CB6B5A"/>
    <w:rsid w:val="00CB707C"/>
    <w:rsid w:val="00CC135E"/>
    <w:rsid w:val="00CC2260"/>
    <w:rsid w:val="00CC2DAF"/>
    <w:rsid w:val="00CC471F"/>
    <w:rsid w:val="00CC4B75"/>
    <w:rsid w:val="00CC6004"/>
    <w:rsid w:val="00CC79E7"/>
    <w:rsid w:val="00CD21D1"/>
    <w:rsid w:val="00CD522D"/>
    <w:rsid w:val="00CE0C6E"/>
    <w:rsid w:val="00CE0E27"/>
    <w:rsid w:val="00CE10BD"/>
    <w:rsid w:val="00CE146A"/>
    <w:rsid w:val="00CE17FD"/>
    <w:rsid w:val="00CE3752"/>
    <w:rsid w:val="00CE4578"/>
    <w:rsid w:val="00CE6A66"/>
    <w:rsid w:val="00CE6BBD"/>
    <w:rsid w:val="00CF023B"/>
    <w:rsid w:val="00CF0F26"/>
    <w:rsid w:val="00CF1E04"/>
    <w:rsid w:val="00CF209C"/>
    <w:rsid w:val="00CF2A6F"/>
    <w:rsid w:val="00CF2DE8"/>
    <w:rsid w:val="00CF47A8"/>
    <w:rsid w:val="00CF4AB3"/>
    <w:rsid w:val="00CF53B7"/>
    <w:rsid w:val="00CF5DEF"/>
    <w:rsid w:val="00D014C1"/>
    <w:rsid w:val="00D02164"/>
    <w:rsid w:val="00D0275D"/>
    <w:rsid w:val="00D0288F"/>
    <w:rsid w:val="00D036D9"/>
    <w:rsid w:val="00D04976"/>
    <w:rsid w:val="00D05E3F"/>
    <w:rsid w:val="00D106C9"/>
    <w:rsid w:val="00D10906"/>
    <w:rsid w:val="00D10EE7"/>
    <w:rsid w:val="00D1102B"/>
    <w:rsid w:val="00D13BF9"/>
    <w:rsid w:val="00D14E55"/>
    <w:rsid w:val="00D1656D"/>
    <w:rsid w:val="00D1685E"/>
    <w:rsid w:val="00D16B75"/>
    <w:rsid w:val="00D16DA2"/>
    <w:rsid w:val="00D17261"/>
    <w:rsid w:val="00D20DDC"/>
    <w:rsid w:val="00D212D0"/>
    <w:rsid w:val="00D214CC"/>
    <w:rsid w:val="00D21ECF"/>
    <w:rsid w:val="00D23E85"/>
    <w:rsid w:val="00D25422"/>
    <w:rsid w:val="00D255E6"/>
    <w:rsid w:val="00D258B1"/>
    <w:rsid w:val="00D25BDB"/>
    <w:rsid w:val="00D26634"/>
    <w:rsid w:val="00D27078"/>
    <w:rsid w:val="00D270F4"/>
    <w:rsid w:val="00D308E6"/>
    <w:rsid w:val="00D32095"/>
    <w:rsid w:val="00D328D9"/>
    <w:rsid w:val="00D353D4"/>
    <w:rsid w:val="00D360B4"/>
    <w:rsid w:val="00D369D5"/>
    <w:rsid w:val="00D4005E"/>
    <w:rsid w:val="00D404AC"/>
    <w:rsid w:val="00D41B0A"/>
    <w:rsid w:val="00D43809"/>
    <w:rsid w:val="00D43B2D"/>
    <w:rsid w:val="00D47C6E"/>
    <w:rsid w:val="00D47F01"/>
    <w:rsid w:val="00D50CA9"/>
    <w:rsid w:val="00D51230"/>
    <w:rsid w:val="00D51C45"/>
    <w:rsid w:val="00D51D9E"/>
    <w:rsid w:val="00D52141"/>
    <w:rsid w:val="00D5288A"/>
    <w:rsid w:val="00D5569F"/>
    <w:rsid w:val="00D55CA7"/>
    <w:rsid w:val="00D55D63"/>
    <w:rsid w:val="00D569B5"/>
    <w:rsid w:val="00D56F98"/>
    <w:rsid w:val="00D60432"/>
    <w:rsid w:val="00D61C14"/>
    <w:rsid w:val="00D6273D"/>
    <w:rsid w:val="00D631F8"/>
    <w:rsid w:val="00D63B96"/>
    <w:rsid w:val="00D65AE2"/>
    <w:rsid w:val="00D71A85"/>
    <w:rsid w:val="00D72507"/>
    <w:rsid w:val="00D73D0A"/>
    <w:rsid w:val="00D745DB"/>
    <w:rsid w:val="00D74DE8"/>
    <w:rsid w:val="00D76C40"/>
    <w:rsid w:val="00D80111"/>
    <w:rsid w:val="00D81164"/>
    <w:rsid w:val="00D813AE"/>
    <w:rsid w:val="00D81A31"/>
    <w:rsid w:val="00D82B0F"/>
    <w:rsid w:val="00D82DCE"/>
    <w:rsid w:val="00D8375E"/>
    <w:rsid w:val="00D84E86"/>
    <w:rsid w:val="00D8546A"/>
    <w:rsid w:val="00D86818"/>
    <w:rsid w:val="00D86953"/>
    <w:rsid w:val="00D87548"/>
    <w:rsid w:val="00D87AE4"/>
    <w:rsid w:val="00D87B6C"/>
    <w:rsid w:val="00D90671"/>
    <w:rsid w:val="00D91C93"/>
    <w:rsid w:val="00D93796"/>
    <w:rsid w:val="00D93C8A"/>
    <w:rsid w:val="00D94EF2"/>
    <w:rsid w:val="00D96530"/>
    <w:rsid w:val="00D97630"/>
    <w:rsid w:val="00D97F6C"/>
    <w:rsid w:val="00DA0231"/>
    <w:rsid w:val="00DA0C2F"/>
    <w:rsid w:val="00DA1225"/>
    <w:rsid w:val="00DA1DFB"/>
    <w:rsid w:val="00DA23D9"/>
    <w:rsid w:val="00DA42A3"/>
    <w:rsid w:val="00DA431C"/>
    <w:rsid w:val="00DA4F30"/>
    <w:rsid w:val="00DA58C6"/>
    <w:rsid w:val="00DA5EF9"/>
    <w:rsid w:val="00DA61EA"/>
    <w:rsid w:val="00DA667C"/>
    <w:rsid w:val="00DA70C5"/>
    <w:rsid w:val="00DA7808"/>
    <w:rsid w:val="00DB02A4"/>
    <w:rsid w:val="00DB0672"/>
    <w:rsid w:val="00DB1EDF"/>
    <w:rsid w:val="00DB203B"/>
    <w:rsid w:val="00DB2427"/>
    <w:rsid w:val="00DB28C6"/>
    <w:rsid w:val="00DB2FA8"/>
    <w:rsid w:val="00DB362D"/>
    <w:rsid w:val="00DB49AF"/>
    <w:rsid w:val="00DB513A"/>
    <w:rsid w:val="00DB5C6F"/>
    <w:rsid w:val="00DB6103"/>
    <w:rsid w:val="00DB7EAB"/>
    <w:rsid w:val="00DC0020"/>
    <w:rsid w:val="00DC0573"/>
    <w:rsid w:val="00DC0C1A"/>
    <w:rsid w:val="00DC0FD5"/>
    <w:rsid w:val="00DC234F"/>
    <w:rsid w:val="00DC24E4"/>
    <w:rsid w:val="00DC357B"/>
    <w:rsid w:val="00DC4F3E"/>
    <w:rsid w:val="00DC78CF"/>
    <w:rsid w:val="00DD11FA"/>
    <w:rsid w:val="00DD133E"/>
    <w:rsid w:val="00DD1E3A"/>
    <w:rsid w:val="00DD1F80"/>
    <w:rsid w:val="00DD2E5A"/>
    <w:rsid w:val="00DD4438"/>
    <w:rsid w:val="00DD492D"/>
    <w:rsid w:val="00DD51F9"/>
    <w:rsid w:val="00DD547D"/>
    <w:rsid w:val="00DD5AFE"/>
    <w:rsid w:val="00DD6E30"/>
    <w:rsid w:val="00DE0011"/>
    <w:rsid w:val="00DE3F63"/>
    <w:rsid w:val="00DE5038"/>
    <w:rsid w:val="00DE504B"/>
    <w:rsid w:val="00DE71D2"/>
    <w:rsid w:val="00DF00CC"/>
    <w:rsid w:val="00DF2C90"/>
    <w:rsid w:val="00DF409E"/>
    <w:rsid w:val="00DF4915"/>
    <w:rsid w:val="00DF4BD8"/>
    <w:rsid w:val="00DF5317"/>
    <w:rsid w:val="00DF5A91"/>
    <w:rsid w:val="00DF6B6D"/>
    <w:rsid w:val="00E007D6"/>
    <w:rsid w:val="00E015D1"/>
    <w:rsid w:val="00E01C93"/>
    <w:rsid w:val="00E01E22"/>
    <w:rsid w:val="00E030C3"/>
    <w:rsid w:val="00E03748"/>
    <w:rsid w:val="00E03E7D"/>
    <w:rsid w:val="00E04E6E"/>
    <w:rsid w:val="00E0708E"/>
    <w:rsid w:val="00E070E3"/>
    <w:rsid w:val="00E07470"/>
    <w:rsid w:val="00E11029"/>
    <w:rsid w:val="00E11A03"/>
    <w:rsid w:val="00E11C07"/>
    <w:rsid w:val="00E11C6C"/>
    <w:rsid w:val="00E11C87"/>
    <w:rsid w:val="00E11FAE"/>
    <w:rsid w:val="00E13D67"/>
    <w:rsid w:val="00E14D14"/>
    <w:rsid w:val="00E15586"/>
    <w:rsid w:val="00E15829"/>
    <w:rsid w:val="00E160AC"/>
    <w:rsid w:val="00E21433"/>
    <w:rsid w:val="00E216E4"/>
    <w:rsid w:val="00E21703"/>
    <w:rsid w:val="00E2194E"/>
    <w:rsid w:val="00E2199A"/>
    <w:rsid w:val="00E22AE3"/>
    <w:rsid w:val="00E23603"/>
    <w:rsid w:val="00E25E9D"/>
    <w:rsid w:val="00E26D05"/>
    <w:rsid w:val="00E27BD9"/>
    <w:rsid w:val="00E3085A"/>
    <w:rsid w:val="00E30F4B"/>
    <w:rsid w:val="00E3102D"/>
    <w:rsid w:val="00E3156E"/>
    <w:rsid w:val="00E31DDB"/>
    <w:rsid w:val="00E33B27"/>
    <w:rsid w:val="00E341BE"/>
    <w:rsid w:val="00E350DF"/>
    <w:rsid w:val="00E36EB9"/>
    <w:rsid w:val="00E37113"/>
    <w:rsid w:val="00E37C54"/>
    <w:rsid w:val="00E40261"/>
    <w:rsid w:val="00E404C5"/>
    <w:rsid w:val="00E40C55"/>
    <w:rsid w:val="00E4217C"/>
    <w:rsid w:val="00E4381B"/>
    <w:rsid w:val="00E461A1"/>
    <w:rsid w:val="00E4685E"/>
    <w:rsid w:val="00E47746"/>
    <w:rsid w:val="00E47F17"/>
    <w:rsid w:val="00E5091C"/>
    <w:rsid w:val="00E5099A"/>
    <w:rsid w:val="00E50B1D"/>
    <w:rsid w:val="00E50CB8"/>
    <w:rsid w:val="00E50FB4"/>
    <w:rsid w:val="00E513B1"/>
    <w:rsid w:val="00E52711"/>
    <w:rsid w:val="00E53106"/>
    <w:rsid w:val="00E5443D"/>
    <w:rsid w:val="00E56A2B"/>
    <w:rsid w:val="00E56EAF"/>
    <w:rsid w:val="00E60054"/>
    <w:rsid w:val="00E60E0E"/>
    <w:rsid w:val="00E6153C"/>
    <w:rsid w:val="00E63EB4"/>
    <w:rsid w:val="00E65AED"/>
    <w:rsid w:val="00E66821"/>
    <w:rsid w:val="00E66B69"/>
    <w:rsid w:val="00E67C97"/>
    <w:rsid w:val="00E67FD9"/>
    <w:rsid w:val="00E70282"/>
    <w:rsid w:val="00E71045"/>
    <w:rsid w:val="00E72B73"/>
    <w:rsid w:val="00E74243"/>
    <w:rsid w:val="00E74477"/>
    <w:rsid w:val="00E745EE"/>
    <w:rsid w:val="00E757FE"/>
    <w:rsid w:val="00E77822"/>
    <w:rsid w:val="00E7796E"/>
    <w:rsid w:val="00E80210"/>
    <w:rsid w:val="00E80698"/>
    <w:rsid w:val="00E81E0B"/>
    <w:rsid w:val="00E841CD"/>
    <w:rsid w:val="00E84434"/>
    <w:rsid w:val="00E85029"/>
    <w:rsid w:val="00E857D9"/>
    <w:rsid w:val="00E868A4"/>
    <w:rsid w:val="00E86E7F"/>
    <w:rsid w:val="00E8714F"/>
    <w:rsid w:val="00E874B5"/>
    <w:rsid w:val="00E908A9"/>
    <w:rsid w:val="00E9155B"/>
    <w:rsid w:val="00E91638"/>
    <w:rsid w:val="00E93AFB"/>
    <w:rsid w:val="00E946F1"/>
    <w:rsid w:val="00E94F52"/>
    <w:rsid w:val="00E97552"/>
    <w:rsid w:val="00EA14DE"/>
    <w:rsid w:val="00EA19C1"/>
    <w:rsid w:val="00EA2AFF"/>
    <w:rsid w:val="00EA3311"/>
    <w:rsid w:val="00EA390F"/>
    <w:rsid w:val="00EA3CD4"/>
    <w:rsid w:val="00EA52E4"/>
    <w:rsid w:val="00EA730C"/>
    <w:rsid w:val="00EB1F09"/>
    <w:rsid w:val="00EB25AB"/>
    <w:rsid w:val="00EB2BB4"/>
    <w:rsid w:val="00EB30EB"/>
    <w:rsid w:val="00EB33F3"/>
    <w:rsid w:val="00EB3927"/>
    <w:rsid w:val="00EB3CE4"/>
    <w:rsid w:val="00EB3FDB"/>
    <w:rsid w:val="00EB4D96"/>
    <w:rsid w:val="00EB59A9"/>
    <w:rsid w:val="00EB6597"/>
    <w:rsid w:val="00EB69FA"/>
    <w:rsid w:val="00EB6BDB"/>
    <w:rsid w:val="00EB7554"/>
    <w:rsid w:val="00EC14BD"/>
    <w:rsid w:val="00EC2489"/>
    <w:rsid w:val="00EC26C2"/>
    <w:rsid w:val="00EC2A43"/>
    <w:rsid w:val="00EC36EA"/>
    <w:rsid w:val="00EC4724"/>
    <w:rsid w:val="00EC5C9C"/>
    <w:rsid w:val="00EC6C5C"/>
    <w:rsid w:val="00EC7519"/>
    <w:rsid w:val="00ED0A68"/>
    <w:rsid w:val="00ED0D35"/>
    <w:rsid w:val="00ED228F"/>
    <w:rsid w:val="00ED28F2"/>
    <w:rsid w:val="00ED29D2"/>
    <w:rsid w:val="00ED2E27"/>
    <w:rsid w:val="00ED36AB"/>
    <w:rsid w:val="00ED37DC"/>
    <w:rsid w:val="00ED7BBA"/>
    <w:rsid w:val="00EE0558"/>
    <w:rsid w:val="00EE0BDF"/>
    <w:rsid w:val="00EE2FB2"/>
    <w:rsid w:val="00EE3438"/>
    <w:rsid w:val="00EE38BF"/>
    <w:rsid w:val="00EE3E20"/>
    <w:rsid w:val="00EE41BB"/>
    <w:rsid w:val="00EE4527"/>
    <w:rsid w:val="00EE4A31"/>
    <w:rsid w:val="00EE4A84"/>
    <w:rsid w:val="00EE4B06"/>
    <w:rsid w:val="00EE51C4"/>
    <w:rsid w:val="00EF1B7E"/>
    <w:rsid w:val="00EF1F3B"/>
    <w:rsid w:val="00EF338C"/>
    <w:rsid w:val="00EF3AC5"/>
    <w:rsid w:val="00EF415C"/>
    <w:rsid w:val="00EF4354"/>
    <w:rsid w:val="00EF48ED"/>
    <w:rsid w:val="00EF4C8A"/>
    <w:rsid w:val="00EF5F3D"/>
    <w:rsid w:val="00EF7151"/>
    <w:rsid w:val="00F001AE"/>
    <w:rsid w:val="00F0053D"/>
    <w:rsid w:val="00F00EF7"/>
    <w:rsid w:val="00F01DDD"/>
    <w:rsid w:val="00F01E80"/>
    <w:rsid w:val="00F02DD4"/>
    <w:rsid w:val="00F100D5"/>
    <w:rsid w:val="00F11365"/>
    <w:rsid w:val="00F11A79"/>
    <w:rsid w:val="00F11AFB"/>
    <w:rsid w:val="00F124B1"/>
    <w:rsid w:val="00F12B91"/>
    <w:rsid w:val="00F13458"/>
    <w:rsid w:val="00F14762"/>
    <w:rsid w:val="00F16B67"/>
    <w:rsid w:val="00F16C49"/>
    <w:rsid w:val="00F1753C"/>
    <w:rsid w:val="00F17FEA"/>
    <w:rsid w:val="00F20F10"/>
    <w:rsid w:val="00F214C2"/>
    <w:rsid w:val="00F223BD"/>
    <w:rsid w:val="00F225FC"/>
    <w:rsid w:val="00F23844"/>
    <w:rsid w:val="00F24947"/>
    <w:rsid w:val="00F24B4E"/>
    <w:rsid w:val="00F253F1"/>
    <w:rsid w:val="00F2724D"/>
    <w:rsid w:val="00F2796A"/>
    <w:rsid w:val="00F27AAC"/>
    <w:rsid w:val="00F308C1"/>
    <w:rsid w:val="00F30DBF"/>
    <w:rsid w:val="00F362DE"/>
    <w:rsid w:val="00F365C8"/>
    <w:rsid w:val="00F36D3B"/>
    <w:rsid w:val="00F3724E"/>
    <w:rsid w:val="00F37E26"/>
    <w:rsid w:val="00F40067"/>
    <w:rsid w:val="00F40905"/>
    <w:rsid w:val="00F40B12"/>
    <w:rsid w:val="00F42170"/>
    <w:rsid w:val="00F42E6B"/>
    <w:rsid w:val="00F44312"/>
    <w:rsid w:val="00F4499B"/>
    <w:rsid w:val="00F459E9"/>
    <w:rsid w:val="00F45E48"/>
    <w:rsid w:val="00F46BB2"/>
    <w:rsid w:val="00F50D9A"/>
    <w:rsid w:val="00F51DA2"/>
    <w:rsid w:val="00F520CF"/>
    <w:rsid w:val="00F52273"/>
    <w:rsid w:val="00F52328"/>
    <w:rsid w:val="00F54461"/>
    <w:rsid w:val="00F55309"/>
    <w:rsid w:val="00F5655A"/>
    <w:rsid w:val="00F56B03"/>
    <w:rsid w:val="00F57FD4"/>
    <w:rsid w:val="00F6044D"/>
    <w:rsid w:val="00F60C60"/>
    <w:rsid w:val="00F60EA1"/>
    <w:rsid w:val="00F616BC"/>
    <w:rsid w:val="00F62580"/>
    <w:rsid w:val="00F65466"/>
    <w:rsid w:val="00F6651B"/>
    <w:rsid w:val="00F66C8F"/>
    <w:rsid w:val="00F67205"/>
    <w:rsid w:val="00F6782C"/>
    <w:rsid w:val="00F67A78"/>
    <w:rsid w:val="00F71D8C"/>
    <w:rsid w:val="00F723A8"/>
    <w:rsid w:val="00F72AB8"/>
    <w:rsid w:val="00F74212"/>
    <w:rsid w:val="00F746DE"/>
    <w:rsid w:val="00F751B0"/>
    <w:rsid w:val="00F76BA0"/>
    <w:rsid w:val="00F76C50"/>
    <w:rsid w:val="00F800C1"/>
    <w:rsid w:val="00F819C8"/>
    <w:rsid w:val="00F81C2D"/>
    <w:rsid w:val="00F8205E"/>
    <w:rsid w:val="00F82580"/>
    <w:rsid w:val="00F82F3C"/>
    <w:rsid w:val="00F849A7"/>
    <w:rsid w:val="00F84F40"/>
    <w:rsid w:val="00F85BBD"/>
    <w:rsid w:val="00F86C05"/>
    <w:rsid w:val="00F87552"/>
    <w:rsid w:val="00F9257E"/>
    <w:rsid w:val="00F93011"/>
    <w:rsid w:val="00F931C0"/>
    <w:rsid w:val="00F93761"/>
    <w:rsid w:val="00F965FE"/>
    <w:rsid w:val="00FA2C90"/>
    <w:rsid w:val="00FA5E90"/>
    <w:rsid w:val="00FA7328"/>
    <w:rsid w:val="00FA7D08"/>
    <w:rsid w:val="00FA7D31"/>
    <w:rsid w:val="00FB061A"/>
    <w:rsid w:val="00FB10E8"/>
    <w:rsid w:val="00FB19F4"/>
    <w:rsid w:val="00FB1F6A"/>
    <w:rsid w:val="00FB39E6"/>
    <w:rsid w:val="00FB4613"/>
    <w:rsid w:val="00FB513B"/>
    <w:rsid w:val="00FB51FC"/>
    <w:rsid w:val="00FB56AD"/>
    <w:rsid w:val="00FB5913"/>
    <w:rsid w:val="00FB5DDD"/>
    <w:rsid w:val="00FB7F0E"/>
    <w:rsid w:val="00FC0C73"/>
    <w:rsid w:val="00FC0F42"/>
    <w:rsid w:val="00FC10FF"/>
    <w:rsid w:val="00FC1783"/>
    <w:rsid w:val="00FC326B"/>
    <w:rsid w:val="00FC54BB"/>
    <w:rsid w:val="00FC555C"/>
    <w:rsid w:val="00FC580D"/>
    <w:rsid w:val="00FC5974"/>
    <w:rsid w:val="00FC599A"/>
    <w:rsid w:val="00FC7371"/>
    <w:rsid w:val="00FC76B4"/>
    <w:rsid w:val="00FC7A26"/>
    <w:rsid w:val="00FD16A0"/>
    <w:rsid w:val="00FD2234"/>
    <w:rsid w:val="00FD25E7"/>
    <w:rsid w:val="00FD68B9"/>
    <w:rsid w:val="00FD68C1"/>
    <w:rsid w:val="00FE066D"/>
    <w:rsid w:val="00FE0897"/>
    <w:rsid w:val="00FE17BB"/>
    <w:rsid w:val="00FE48A3"/>
    <w:rsid w:val="00FE4A42"/>
    <w:rsid w:val="00FE53B4"/>
    <w:rsid w:val="00FE60B6"/>
    <w:rsid w:val="00FE6D47"/>
    <w:rsid w:val="00FE763C"/>
    <w:rsid w:val="00FE7C9E"/>
    <w:rsid w:val="00FF1540"/>
    <w:rsid w:val="00FF15DE"/>
    <w:rsid w:val="00FF20DA"/>
    <w:rsid w:val="00FF22F8"/>
    <w:rsid w:val="00FF4099"/>
    <w:rsid w:val="00FF4AB7"/>
    <w:rsid w:val="3735BE6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39231"/>
  <w15:chartTrackingRefBased/>
  <w15:docId w15:val="{A6B75451-131C-428E-9C5C-B691B5E8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CB8"/>
    <w:pPr>
      <w:spacing w:before="240" w:after="240" w:line="240" w:lineRule="exact"/>
    </w:pPr>
    <w:rPr>
      <w:rFonts w:ascii="Book Antiqua" w:eastAsia="Times New Roman" w:hAnsi="Book Antiqua" w:cs="Times New Roman"/>
      <w:sz w:val="19"/>
      <w:szCs w:val="20"/>
      <w:lang w:eastAsia="en-AU"/>
    </w:rPr>
  </w:style>
  <w:style w:type="paragraph" w:styleId="Heading1">
    <w:name w:val="heading 1"/>
    <w:basedOn w:val="HeadingBase"/>
    <w:next w:val="Normal"/>
    <w:link w:val="Heading1Char"/>
    <w:qFormat/>
    <w:rsid w:val="00242479"/>
    <w:pPr>
      <w:spacing w:after="240"/>
      <w:outlineLvl w:val="0"/>
    </w:pPr>
    <w:rPr>
      <w:rFonts w:ascii="Arial Bold" w:hAnsi="Arial Bold"/>
      <w:b/>
      <w:kern w:val="34"/>
      <w:sz w:val="36"/>
    </w:rPr>
  </w:style>
  <w:style w:type="paragraph" w:styleId="Heading2">
    <w:name w:val="heading 2"/>
    <w:basedOn w:val="HeadingBase"/>
    <w:next w:val="Normal"/>
    <w:link w:val="Heading2Char"/>
    <w:qFormat/>
    <w:rsid w:val="00242479"/>
    <w:pPr>
      <w:spacing w:before="240" w:after="240"/>
      <w:outlineLvl w:val="1"/>
    </w:pPr>
    <w:rPr>
      <w:rFonts w:ascii="Arial Bold" w:hAnsi="Arial Bold"/>
      <w:b/>
      <w:sz w:val="26"/>
    </w:rPr>
  </w:style>
  <w:style w:type="paragraph" w:styleId="Heading3">
    <w:name w:val="heading 3"/>
    <w:basedOn w:val="HeadingBase"/>
    <w:next w:val="Normal"/>
    <w:link w:val="Heading3Char"/>
    <w:qFormat/>
    <w:rsid w:val="00242479"/>
    <w:pPr>
      <w:spacing w:before="120" w:after="120"/>
      <w:outlineLvl w:val="2"/>
    </w:pPr>
    <w:rPr>
      <w:rFonts w:ascii="Arial Bold" w:hAnsi="Arial Bold"/>
      <w:b/>
      <w:sz w:val="22"/>
    </w:rPr>
  </w:style>
  <w:style w:type="paragraph" w:styleId="Heading4">
    <w:name w:val="heading 4"/>
    <w:basedOn w:val="HeadingBase"/>
    <w:next w:val="Normal"/>
    <w:link w:val="Heading4Char"/>
    <w:qFormat/>
    <w:rsid w:val="00242479"/>
    <w:pPr>
      <w:spacing w:after="120"/>
      <w:outlineLvl w:val="3"/>
    </w:pPr>
    <w:rPr>
      <w:rFonts w:ascii="Arial Bold" w:hAnsi="Arial Bold"/>
      <w:b/>
      <w:sz w:val="20"/>
    </w:rPr>
  </w:style>
  <w:style w:type="paragraph" w:styleId="Heading5">
    <w:name w:val="heading 5"/>
    <w:basedOn w:val="HeadingBase"/>
    <w:next w:val="Normal"/>
    <w:link w:val="Heading5Char"/>
    <w:qFormat/>
    <w:rsid w:val="00242479"/>
    <w:pPr>
      <w:spacing w:after="120"/>
      <w:outlineLvl w:val="4"/>
    </w:pPr>
    <w:rPr>
      <w:bCs/>
      <w:i/>
      <w:iCs/>
      <w:sz w:val="20"/>
      <w:szCs w:val="26"/>
    </w:rPr>
  </w:style>
  <w:style w:type="paragraph" w:styleId="Heading6">
    <w:name w:val="heading 6"/>
    <w:basedOn w:val="HeadingBase"/>
    <w:next w:val="Normal"/>
    <w:link w:val="Heading6Char"/>
    <w:rsid w:val="00242479"/>
    <w:pPr>
      <w:spacing w:after="120"/>
      <w:outlineLvl w:val="5"/>
    </w:pPr>
    <w:rPr>
      <w:bCs/>
      <w:sz w:val="20"/>
      <w:szCs w:val="22"/>
    </w:rPr>
  </w:style>
  <w:style w:type="paragraph" w:styleId="Heading7">
    <w:name w:val="heading 7"/>
    <w:basedOn w:val="HeadingBase"/>
    <w:next w:val="Normal"/>
    <w:link w:val="Heading7Char"/>
    <w:rsid w:val="00242479"/>
    <w:pPr>
      <w:spacing w:before="120"/>
      <w:outlineLvl w:val="6"/>
    </w:pPr>
    <w:rPr>
      <w:sz w:val="20"/>
      <w:szCs w:val="24"/>
    </w:rPr>
  </w:style>
  <w:style w:type="paragraph" w:styleId="Heading8">
    <w:name w:val="heading 8"/>
    <w:basedOn w:val="HeadingBase"/>
    <w:next w:val="Normal"/>
    <w:link w:val="Heading8Char"/>
    <w:rsid w:val="00242479"/>
    <w:pPr>
      <w:spacing w:before="240" w:after="60"/>
      <w:outlineLvl w:val="7"/>
    </w:pPr>
    <w:rPr>
      <w:rFonts w:ascii="Times New Roman" w:hAnsi="Times New Roman"/>
      <w:i/>
      <w:iCs/>
      <w:sz w:val="16"/>
      <w:szCs w:val="24"/>
    </w:rPr>
  </w:style>
  <w:style w:type="paragraph" w:styleId="Heading9">
    <w:name w:val="heading 9"/>
    <w:basedOn w:val="Normal"/>
    <w:next w:val="Normal"/>
    <w:link w:val="Heading9Char"/>
    <w:uiPriority w:val="9"/>
    <w:unhideWhenUsed/>
    <w:rsid w:val="00242479"/>
    <w:pPr>
      <w:spacing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erBase"/>
    <w:link w:val="HeaderChar"/>
    <w:rsid w:val="00BB207D"/>
    <w:pPr>
      <w:tabs>
        <w:tab w:val="center" w:pos="4153"/>
        <w:tab w:val="right" w:pos="8306"/>
      </w:tabs>
    </w:pPr>
  </w:style>
  <w:style w:type="character" w:customStyle="1" w:styleId="HeaderChar">
    <w:name w:val="Header Char"/>
    <w:basedOn w:val="DefaultParagraphFont"/>
    <w:link w:val="Header"/>
    <w:rsid w:val="00BB207D"/>
    <w:rPr>
      <w:rFonts w:ascii="Book Antiqua" w:eastAsia="Times New Roman" w:hAnsi="Book Antiqua" w:cs="Times New Roman"/>
      <w:i/>
      <w:sz w:val="20"/>
      <w:szCs w:val="20"/>
      <w:lang w:eastAsia="en-AU"/>
    </w:rPr>
  </w:style>
  <w:style w:type="paragraph" w:styleId="Footer">
    <w:name w:val="footer"/>
    <w:basedOn w:val="FooterBase"/>
    <w:link w:val="FooterChar"/>
    <w:rsid w:val="00BB207D"/>
    <w:pPr>
      <w:tabs>
        <w:tab w:val="center" w:pos="4153"/>
        <w:tab w:val="right" w:pos="8306"/>
      </w:tabs>
    </w:pPr>
  </w:style>
  <w:style w:type="character" w:customStyle="1" w:styleId="FooterChar">
    <w:name w:val="Footer Char"/>
    <w:basedOn w:val="DefaultParagraphFont"/>
    <w:link w:val="Footer"/>
    <w:rsid w:val="00BB207D"/>
    <w:rPr>
      <w:rFonts w:ascii="Arial" w:eastAsia="Times New Roman" w:hAnsi="Arial" w:cs="Times New Roman"/>
      <w:sz w:val="20"/>
      <w:szCs w:val="20"/>
      <w:lang w:eastAsia="en-AU"/>
    </w:rPr>
  </w:style>
  <w:style w:type="paragraph" w:customStyle="1" w:styleId="SecurityClassificationHeader">
    <w:name w:val="Security Classification Header"/>
    <w:link w:val="SecurityClassificationHeaderChar"/>
    <w:rsid w:val="00E40261"/>
    <w:pPr>
      <w:spacing w:before="240" w:after="60"/>
      <w:jc w:val="center"/>
    </w:pPr>
    <w:rPr>
      <w:rFonts w:ascii="Calibri" w:hAnsi="Calibri" w:cs="Calibri"/>
      <w:b/>
      <w:caps/>
      <w:sz w:val="24"/>
    </w:rPr>
  </w:style>
  <w:style w:type="character" w:customStyle="1" w:styleId="SecurityClassificationHeaderChar">
    <w:name w:val="Security Classification Header Char"/>
    <w:basedOn w:val="HeaderChar"/>
    <w:link w:val="SecurityClassificationHeader"/>
    <w:rsid w:val="00E40261"/>
    <w:rPr>
      <w:rFonts w:ascii="Calibri" w:eastAsia="Times New Roman" w:hAnsi="Calibri" w:cs="Calibri"/>
      <w:b/>
      <w:i/>
      <w:caps/>
      <w:sz w:val="24"/>
      <w:szCs w:val="20"/>
      <w:lang w:eastAsia="en-AU"/>
    </w:rPr>
  </w:style>
  <w:style w:type="paragraph" w:customStyle="1" w:styleId="SecurityClassificationFooter">
    <w:name w:val="Security Classification Footer"/>
    <w:link w:val="SecurityClassificationFooterChar"/>
    <w:rsid w:val="00E40261"/>
    <w:pPr>
      <w:spacing w:before="60" w:after="240"/>
      <w:jc w:val="center"/>
    </w:pPr>
    <w:rPr>
      <w:rFonts w:ascii="Calibri" w:hAnsi="Calibri" w:cs="Calibri"/>
      <w:b/>
      <w:caps/>
      <w:sz w:val="24"/>
    </w:rPr>
  </w:style>
  <w:style w:type="character" w:customStyle="1" w:styleId="SecurityClassificationFooterChar">
    <w:name w:val="Security Classification Footer Char"/>
    <w:basedOn w:val="HeaderChar"/>
    <w:link w:val="SecurityClassificationFooter"/>
    <w:rsid w:val="00E40261"/>
    <w:rPr>
      <w:rFonts w:ascii="Calibri" w:eastAsia="Times New Roman" w:hAnsi="Calibri" w:cs="Calibri"/>
      <w:b/>
      <w:i/>
      <w:caps/>
      <w:sz w:val="24"/>
      <w:szCs w:val="20"/>
      <w:lang w:eastAsia="en-AU"/>
    </w:rPr>
  </w:style>
  <w:style w:type="paragraph" w:customStyle="1" w:styleId="DLMSecurityHeader">
    <w:name w:val="DLM Security Header"/>
    <w:link w:val="DLMSecurityHeaderChar"/>
    <w:rsid w:val="00E40261"/>
    <w:pPr>
      <w:spacing w:before="60" w:after="240"/>
      <w:jc w:val="center"/>
    </w:pPr>
    <w:rPr>
      <w:rFonts w:ascii="Calibri" w:hAnsi="Calibri" w:cs="Calibri"/>
      <w:b/>
      <w:caps/>
      <w:sz w:val="24"/>
    </w:rPr>
  </w:style>
  <w:style w:type="character" w:customStyle="1" w:styleId="DLMSecurityHeaderChar">
    <w:name w:val="DLM Security Header Char"/>
    <w:basedOn w:val="HeaderChar"/>
    <w:link w:val="DLMSecurityHeader"/>
    <w:rsid w:val="00E40261"/>
    <w:rPr>
      <w:rFonts w:ascii="Calibri" w:eastAsia="Times New Roman" w:hAnsi="Calibri" w:cs="Calibri"/>
      <w:b/>
      <w:i/>
      <w:caps/>
      <w:sz w:val="24"/>
      <w:szCs w:val="20"/>
      <w:lang w:eastAsia="en-AU"/>
    </w:rPr>
  </w:style>
  <w:style w:type="paragraph" w:customStyle="1" w:styleId="DLMSecurityFooter">
    <w:name w:val="DLM Security Footer"/>
    <w:link w:val="DLMSecurityFooterChar"/>
    <w:rsid w:val="00E40261"/>
    <w:pPr>
      <w:spacing w:before="240" w:after="60"/>
      <w:jc w:val="center"/>
    </w:pPr>
    <w:rPr>
      <w:rFonts w:ascii="Calibri" w:hAnsi="Calibri" w:cs="Calibri"/>
      <w:b/>
      <w:caps/>
      <w:sz w:val="24"/>
    </w:rPr>
  </w:style>
  <w:style w:type="character" w:customStyle="1" w:styleId="DLMSecurityFooterChar">
    <w:name w:val="DLM Security Footer Char"/>
    <w:basedOn w:val="HeaderChar"/>
    <w:link w:val="DLMSecurityFooter"/>
    <w:rsid w:val="00E40261"/>
    <w:rPr>
      <w:rFonts w:ascii="Calibri" w:eastAsia="Times New Roman" w:hAnsi="Calibri" w:cs="Calibri"/>
      <w:b/>
      <w:i/>
      <w:caps/>
      <w:sz w:val="24"/>
      <w:szCs w:val="20"/>
      <w:lang w:eastAsia="en-AU"/>
    </w:rPr>
  </w:style>
  <w:style w:type="paragraph" w:customStyle="1" w:styleId="Classification">
    <w:name w:val="Classification"/>
    <w:basedOn w:val="HeadingBase"/>
    <w:rsid w:val="00A819BF"/>
    <w:pPr>
      <w:jc w:val="center"/>
    </w:pPr>
    <w:rPr>
      <w:rFonts w:ascii="Arial Bold" w:hAnsi="Arial Bold"/>
      <w:b/>
      <w:caps/>
      <w:sz w:val="22"/>
    </w:rPr>
  </w:style>
  <w:style w:type="paragraph" w:customStyle="1" w:styleId="FileProperties">
    <w:name w:val="File Properties"/>
    <w:basedOn w:val="Normal"/>
    <w:rsid w:val="008D3CA1"/>
    <w:pPr>
      <w:spacing w:before="0"/>
    </w:pPr>
    <w:rPr>
      <w:i/>
    </w:rPr>
  </w:style>
  <w:style w:type="paragraph" w:customStyle="1" w:styleId="AlphaParagraph">
    <w:name w:val="Alpha Paragraph"/>
    <w:basedOn w:val="Normal"/>
    <w:rsid w:val="00BB207D"/>
    <w:pPr>
      <w:numPr>
        <w:numId w:val="1"/>
      </w:numPr>
      <w:tabs>
        <w:tab w:val="clear" w:pos="567"/>
        <w:tab w:val="num" w:pos="360"/>
      </w:tabs>
      <w:ind w:left="0" w:firstLine="0"/>
    </w:pPr>
  </w:style>
  <w:style w:type="paragraph" w:customStyle="1" w:styleId="HeadingBase">
    <w:name w:val="Heading Base"/>
    <w:rsid w:val="000B38A8"/>
    <w:pPr>
      <w:keepNext/>
      <w:spacing w:after="0" w:line="240" w:lineRule="auto"/>
    </w:pPr>
    <w:rPr>
      <w:rFonts w:ascii="Arial" w:eastAsia="Times New Roman" w:hAnsi="Arial" w:cs="Times New Roman"/>
      <w:sz w:val="24"/>
      <w:szCs w:val="20"/>
      <w:lang w:eastAsia="en-AU"/>
    </w:rPr>
  </w:style>
  <w:style w:type="paragraph" w:customStyle="1" w:styleId="Heading1-Statement">
    <w:name w:val="Heading 1 - Statement"/>
    <w:basedOn w:val="Heading1"/>
    <w:next w:val="Normal"/>
    <w:autoRedefine/>
    <w:qFormat/>
    <w:rsid w:val="0008597F"/>
    <w:rPr>
      <w:bCs/>
      <w:color w:val="002A54" w:themeColor="text2"/>
      <w:szCs w:val="52"/>
    </w:rPr>
  </w:style>
  <w:style w:type="paragraph" w:customStyle="1" w:styleId="BoxText">
    <w:name w:val="Box Text"/>
    <w:basedOn w:val="Normal"/>
    <w:qFormat/>
    <w:rsid w:val="00BB207D"/>
    <w:pPr>
      <w:spacing w:before="120" w:after="120" w:line="240" w:lineRule="auto"/>
    </w:pPr>
  </w:style>
  <w:style w:type="paragraph" w:customStyle="1" w:styleId="BoxBullet">
    <w:name w:val="Box Bullet"/>
    <w:basedOn w:val="BoxText"/>
    <w:rsid w:val="00BB207D"/>
    <w:pPr>
      <w:numPr>
        <w:numId w:val="2"/>
      </w:numPr>
    </w:pPr>
  </w:style>
  <w:style w:type="paragraph" w:customStyle="1" w:styleId="BoxHeading">
    <w:name w:val="Box Heading"/>
    <w:basedOn w:val="HeadingBase"/>
    <w:next w:val="BoxText"/>
    <w:rsid w:val="00242479"/>
    <w:pPr>
      <w:spacing w:before="120" w:after="120"/>
    </w:pPr>
    <w:rPr>
      <w:b/>
      <w:sz w:val="20"/>
    </w:rPr>
  </w:style>
  <w:style w:type="character" w:customStyle="1" w:styleId="Heading6Char">
    <w:name w:val="Heading 6 Char"/>
    <w:basedOn w:val="DefaultParagraphFont"/>
    <w:link w:val="Heading6"/>
    <w:rsid w:val="00242479"/>
    <w:rPr>
      <w:rFonts w:ascii="Arial" w:eastAsia="Times New Roman" w:hAnsi="Arial" w:cs="Times New Roman"/>
      <w:bCs/>
      <w:sz w:val="20"/>
      <w:lang w:eastAsia="en-AU"/>
    </w:rPr>
  </w:style>
  <w:style w:type="paragraph" w:customStyle="1" w:styleId="Bullet">
    <w:name w:val="Bullet"/>
    <w:basedOn w:val="Normal"/>
    <w:qFormat/>
    <w:rsid w:val="00160928"/>
    <w:pPr>
      <w:numPr>
        <w:numId w:val="7"/>
      </w:numPr>
      <w:spacing w:after="160"/>
      <w:ind w:left="284" w:hanging="284"/>
    </w:pPr>
  </w:style>
  <w:style w:type="paragraph" w:styleId="Caption">
    <w:name w:val="caption"/>
    <w:basedOn w:val="Normal"/>
    <w:next w:val="Normal"/>
    <w:rsid w:val="00BB207D"/>
    <w:rPr>
      <w:b/>
      <w:bCs/>
    </w:rPr>
  </w:style>
  <w:style w:type="paragraph" w:customStyle="1" w:styleId="ChartandTableFootnote">
    <w:name w:val="Chart and Table Footnote"/>
    <w:basedOn w:val="HeadingBase"/>
    <w:next w:val="Normal"/>
    <w:rsid w:val="007913DD"/>
    <w:pPr>
      <w:keepNext w:val="0"/>
      <w:tabs>
        <w:tab w:val="left" w:pos="709"/>
      </w:tabs>
      <w:spacing w:before="30"/>
      <w:ind w:left="709" w:hanging="709"/>
    </w:pPr>
    <w:rPr>
      <w:color w:val="000000"/>
      <w:sz w:val="16"/>
    </w:rPr>
  </w:style>
  <w:style w:type="paragraph" w:customStyle="1" w:styleId="ChartandTableFootnoteAlpha">
    <w:name w:val="Chart and Table Footnote Alpha"/>
    <w:basedOn w:val="HeadingBase"/>
    <w:next w:val="Normal"/>
    <w:rsid w:val="007913DD"/>
    <w:pPr>
      <w:keepNext w:val="0"/>
      <w:numPr>
        <w:numId w:val="18"/>
      </w:numPr>
      <w:spacing w:before="30"/>
    </w:pPr>
    <w:rPr>
      <w:color w:val="000000"/>
      <w:sz w:val="16"/>
    </w:rPr>
  </w:style>
  <w:style w:type="paragraph" w:customStyle="1" w:styleId="ChartandTableFootnoteSmall">
    <w:name w:val="Chart and Table Footnote Small"/>
    <w:basedOn w:val="HeadingBase"/>
    <w:next w:val="Normal"/>
    <w:rsid w:val="00BB207D"/>
    <w:pPr>
      <w:keepNext w:val="0"/>
      <w:tabs>
        <w:tab w:val="left" w:pos="284"/>
      </w:tabs>
      <w:jc w:val="both"/>
    </w:pPr>
    <w:rPr>
      <w:color w:val="000000"/>
      <w:sz w:val="15"/>
    </w:rPr>
  </w:style>
  <w:style w:type="paragraph" w:customStyle="1" w:styleId="ChartGraphic">
    <w:name w:val="Chart Graphic"/>
    <w:basedOn w:val="HeadingBase"/>
    <w:rsid w:val="005A6F5F"/>
    <w:rPr>
      <w:sz w:val="20"/>
    </w:rPr>
  </w:style>
  <w:style w:type="paragraph" w:customStyle="1" w:styleId="TableLine">
    <w:name w:val="Table Line"/>
    <w:basedOn w:val="Normal"/>
    <w:next w:val="Normal"/>
    <w:autoRedefine/>
    <w:rsid w:val="00EB6597"/>
    <w:pPr>
      <w:pBdr>
        <w:bottom w:val="single" w:sz="4" w:space="2" w:color="626A77" w:themeColor="background2" w:themeShade="E6"/>
      </w:pBdr>
      <w:spacing w:before="0" w:line="240" w:lineRule="auto"/>
    </w:pPr>
    <w:rPr>
      <w:noProof/>
      <w:sz w:val="4"/>
      <w:szCs w:val="4"/>
    </w:rPr>
  </w:style>
  <w:style w:type="paragraph" w:customStyle="1" w:styleId="ChartSecondHeading">
    <w:name w:val="Chart Second Heading"/>
    <w:basedOn w:val="HeadingBase"/>
    <w:next w:val="ChartGraphic"/>
    <w:rsid w:val="00EB6597"/>
    <w:pPr>
      <w:spacing w:after="60"/>
    </w:pPr>
    <w:rPr>
      <w:sz w:val="19"/>
    </w:rPr>
  </w:style>
  <w:style w:type="paragraph" w:styleId="CommentText">
    <w:name w:val="annotation text"/>
    <w:basedOn w:val="Normal"/>
    <w:link w:val="CommentTextChar"/>
    <w:rsid w:val="00BB207D"/>
  </w:style>
  <w:style w:type="character" w:customStyle="1" w:styleId="CommentTextChar">
    <w:name w:val="Comment Text Char"/>
    <w:basedOn w:val="DefaultParagraphFont"/>
    <w:link w:val="CommentText"/>
    <w:rsid w:val="00BB207D"/>
    <w:rPr>
      <w:rFonts w:ascii="Book Antiqua" w:eastAsia="Times New Roman" w:hAnsi="Book Antiqua" w:cs="Times New Roman"/>
      <w:sz w:val="20"/>
      <w:szCs w:val="20"/>
      <w:lang w:eastAsia="en-AU"/>
    </w:rPr>
  </w:style>
  <w:style w:type="paragraph" w:styleId="CommentSubject">
    <w:name w:val="annotation subject"/>
    <w:basedOn w:val="CommentText"/>
    <w:next w:val="CommentText"/>
    <w:link w:val="CommentSubjectChar"/>
    <w:semiHidden/>
    <w:rsid w:val="00BB207D"/>
    <w:rPr>
      <w:b/>
      <w:bCs/>
    </w:rPr>
  </w:style>
  <w:style w:type="character" w:customStyle="1" w:styleId="CommentSubjectChar">
    <w:name w:val="Comment Subject Char"/>
    <w:basedOn w:val="CommentTextChar"/>
    <w:link w:val="CommentSubject"/>
    <w:semiHidden/>
    <w:rsid w:val="00BB207D"/>
    <w:rPr>
      <w:rFonts w:ascii="Book Antiqua" w:eastAsia="Times New Roman" w:hAnsi="Book Antiqua" w:cs="Times New Roman"/>
      <w:b/>
      <w:bCs/>
      <w:sz w:val="20"/>
      <w:szCs w:val="20"/>
      <w:lang w:eastAsia="en-AU"/>
    </w:rPr>
  </w:style>
  <w:style w:type="paragraph" w:customStyle="1" w:styleId="ContentsHeading">
    <w:name w:val="Contents Heading"/>
    <w:basedOn w:val="Heading1"/>
    <w:next w:val="Normal"/>
    <w:rsid w:val="00A04475"/>
    <w:pPr>
      <w:spacing w:after="720"/>
      <w:outlineLvl w:val="9"/>
    </w:pPr>
  </w:style>
  <w:style w:type="character" w:styleId="Strong">
    <w:name w:val="Strong"/>
    <w:basedOn w:val="DefaultParagraphFont"/>
    <w:uiPriority w:val="22"/>
    <w:qFormat/>
    <w:rsid w:val="0008597F"/>
    <w:rPr>
      <w:b/>
      <w:bCs/>
      <w:color w:val="002A54" w:themeColor="text2"/>
    </w:rPr>
  </w:style>
  <w:style w:type="paragraph" w:customStyle="1" w:styleId="Dash">
    <w:name w:val="Dash"/>
    <w:basedOn w:val="Normal"/>
    <w:qFormat/>
    <w:rsid w:val="00BB207D"/>
    <w:pPr>
      <w:numPr>
        <w:ilvl w:val="1"/>
        <w:numId w:val="7"/>
      </w:numPr>
      <w:tabs>
        <w:tab w:val="left" w:pos="567"/>
      </w:tabs>
    </w:pPr>
  </w:style>
  <w:style w:type="paragraph" w:styleId="DocumentMap">
    <w:name w:val="Document Map"/>
    <w:basedOn w:val="Normal"/>
    <w:link w:val="DocumentMapChar"/>
    <w:semiHidden/>
    <w:rsid w:val="00BB207D"/>
    <w:pPr>
      <w:shd w:val="clear" w:color="auto" w:fill="000080"/>
    </w:pPr>
    <w:rPr>
      <w:rFonts w:ascii="Tahoma" w:hAnsi="Tahoma" w:cs="Tahoma"/>
    </w:rPr>
  </w:style>
  <w:style w:type="character" w:customStyle="1" w:styleId="DocumentMapChar">
    <w:name w:val="Document Map Char"/>
    <w:basedOn w:val="DefaultParagraphFont"/>
    <w:link w:val="DocumentMap"/>
    <w:semiHidden/>
    <w:rsid w:val="00BB207D"/>
    <w:rPr>
      <w:rFonts w:ascii="Tahoma" w:eastAsia="Times New Roman" w:hAnsi="Tahoma" w:cs="Tahoma"/>
      <w:sz w:val="20"/>
      <w:szCs w:val="20"/>
      <w:shd w:val="clear" w:color="auto" w:fill="000080"/>
      <w:lang w:eastAsia="en-AU"/>
    </w:rPr>
  </w:style>
  <w:style w:type="paragraph" w:customStyle="1" w:styleId="DoubleDot">
    <w:name w:val="Double Dot"/>
    <w:basedOn w:val="Normal"/>
    <w:rsid w:val="00BB207D"/>
    <w:pPr>
      <w:numPr>
        <w:ilvl w:val="2"/>
        <w:numId w:val="7"/>
      </w:numPr>
      <w:tabs>
        <w:tab w:val="clear" w:pos="850"/>
        <w:tab w:val="num" w:pos="360"/>
        <w:tab w:val="left" w:pos="851"/>
      </w:tabs>
    </w:pPr>
  </w:style>
  <w:style w:type="paragraph" w:customStyle="1" w:styleId="FigureHeading">
    <w:name w:val="Figure Heading"/>
    <w:basedOn w:val="HeadingBase"/>
    <w:next w:val="ChartGraphic"/>
    <w:rsid w:val="00BB207D"/>
    <w:pPr>
      <w:spacing w:before="120" w:after="20"/>
    </w:pPr>
    <w:rPr>
      <w:b/>
      <w:sz w:val="20"/>
    </w:rPr>
  </w:style>
  <w:style w:type="paragraph" w:customStyle="1" w:styleId="FooterBase">
    <w:name w:val="Footer Base"/>
    <w:rsid w:val="00D47C6E"/>
    <w:pPr>
      <w:spacing w:after="0" w:line="240" w:lineRule="auto"/>
      <w:jc w:val="center"/>
    </w:pPr>
    <w:rPr>
      <w:rFonts w:ascii="Arial" w:eastAsia="Times New Roman" w:hAnsi="Arial" w:cs="Times New Roman"/>
      <w:color w:val="002A54" w:themeColor="text2"/>
      <w:sz w:val="20"/>
      <w:szCs w:val="20"/>
      <w:lang w:eastAsia="en-AU"/>
    </w:rPr>
  </w:style>
  <w:style w:type="paragraph" w:customStyle="1" w:styleId="FooterEven">
    <w:name w:val="Footer Even"/>
    <w:basedOn w:val="Footer"/>
    <w:rsid w:val="00D47C6E"/>
    <w:pPr>
      <w:pBdr>
        <w:top w:val="single" w:sz="4" w:space="10" w:color="002A54" w:themeColor="text2"/>
      </w:pBdr>
      <w:jc w:val="left"/>
    </w:pPr>
    <w:rPr>
      <w:sz w:val="18"/>
    </w:rPr>
  </w:style>
  <w:style w:type="paragraph" w:customStyle="1" w:styleId="FooterOdd">
    <w:name w:val="Footer Odd"/>
    <w:basedOn w:val="Footer"/>
    <w:qFormat/>
    <w:rsid w:val="00D47C6E"/>
    <w:pPr>
      <w:pBdr>
        <w:top w:val="single" w:sz="4" w:space="10" w:color="002A54" w:themeColor="text2"/>
      </w:pBdr>
      <w:jc w:val="right"/>
    </w:pPr>
    <w:rPr>
      <w:sz w:val="18"/>
    </w:rPr>
  </w:style>
  <w:style w:type="character" w:styleId="FootnoteReference">
    <w:name w:val="footnote reference"/>
    <w:basedOn w:val="DefaultParagraphFont"/>
    <w:rsid w:val="00BB207D"/>
    <w:rPr>
      <w:vertAlign w:val="superscript"/>
    </w:rPr>
  </w:style>
  <w:style w:type="paragraph" w:styleId="FootnoteText">
    <w:name w:val="footnote text"/>
    <w:basedOn w:val="Normal"/>
    <w:link w:val="FootnoteTextChar"/>
    <w:rsid w:val="003C1CA4"/>
    <w:pPr>
      <w:tabs>
        <w:tab w:val="left" w:pos="284"/>
      </w:tabs>
      <w:spacing w:before="80" w:after="0" w:line="240" w:lineRule="auto"/>
      <w:ind w:left="284" w:hanging="284"/>
      <w:contextualSpacing/>
    </w:pPr>
    <w:rPr>
      <w:sz w:val="18"/>
    </w:rPr>
  </w:style>
  <w:style w:type="character" w:customStyle="1" w:styleId="FootnoteTextChar">
    <w:name w:val="Footnote Text Char"/>
    <w:basedOn w:val="DefaultParagraphFont"/>
    <w:link w:val="FootnoteText"/>
    <w:rsid w:val="003C1CA4"/>
    <w:rPr>
      <w:rFonts w:ascii="Book Antiqua" w:eastAsia="Times New Roman" w:hAnsi="Book Antiqua" w:cs="Times New Roman"/>
      <w:sz w:val="18"/>
      <w:szCs w:val="20"/>
      <w:lang w:eastAsia="en-AU"/>
    </w:rPr>
  </w:style>
  <w:style w:type="paragraph" w:customStyle="1" w:styleId="HeaderBase">
    <w:name w:val="Header Base"/>
    <w:rsid w:val="009B2CFA"/>
    <w:pPr>
      <w:spacing w:after="0" w:line="240" w:lineRule="auto"/>
    </w:pPr>
    <w:rPr>
      <w:rFonts w:ascii="Arial" w:eastAsia="Times New Roman" w:hAnsi="Arial" w:cs="Times New Roman"/>
      <w:color w:val="002A54" w:themeColor="text2"/>
      <w:sz w:val="18"/>
      <w:szCs w:val="20"/>
      <w:lang w:eastAsia="en-AU"/>
    </w:rPr>
  </w:style>
  <w:style w:type="paragraph" w:customStyle="1" w:styleId="HeaderEven">
    <w:name w:val="Header Even"/>
    <w:basedOn w:val="HeaderBase"/>
    <w:rsid w:val="00242479"/>
  </w:style>
  <w:style w:type="paragraph" w:customStyle="1" w:styleId="HeaderOdd">
    <w:name w:val="Header Odd"/>
    <w:basedOn w:val="HeaderBase"/>
    <w:rsid w:val="00242479"/>
    <w:pPr>
      <w:jc w:val="right"/>
    </w:pPr>
  </w:style>
  <w:style w:type="character" w:customStyle="1" w:styleId="Heading1Char">
    <w:name w:val="Heading 1 Char"/>
    <w:basedOn w:val="DefaultParagraphFont"/>
    <w:link w:val="Heading1"/>
    <w:rsid w:val="00242479"/>
    <w:rPr>
      <w:rFonts w:ascii="Arial Bold" w:eastAsia="Times New Roman" w:hAnsi="Arial Bold" w:cs="Times New Roman"/>
      <w:b/>
      <w:kern w:val="34"/>
      <w:sz w:val="36"/>
      <w:szCs w:val="20"/>
      <w:lang w:eastAsia="en-AU"/>
    </w:rPr>
  </w:style>
  <w:style w:type="character" w:customStyle="1" w:styleId="Heading2Char">
    <w:name w:val="Heading 2 Char"/>
    <w:basedOn w:val="DefaultParagraphFont"/>
    <w:link w:val="Heading2"/>
    <w:rsid w:val="00242479"/>
    <w:rPr>
      <w:rFonts w:ascii="Arial Bold" w:eastAsia="Times New Roman" w:hAnsi="Arial Bold" w:cs="Times New Roman"/>
      <w:b/>
      <w:sz w:val="26"/>
      <w:szCs w:val="20"/>
      <w:lang w:eastAsia="en-AU"/>
    </w:rPr>
  </w:style>
  <w:style w:type="character" w:customStyle="1" w:styleId="Heading3Char">
    <w:name w:val="Heading 3 Char"/>
    <w:basedOn w:val="DefaultParagraphFont"/>
    <w:link w:val="Heading3"/>
    <w:rsid w:val="00242479"/>
    <w:rPr>
      <w:rFonts w:ascii="Arial Bold" w:eastAsia="Times New Roman" w:hAnsi="Arial Bold" w:cs="Times New Roman"/>
      <w:b/>
      <w:szCs w:val="20"/>
      <w:lang w:eastAsia="en-AU"/>
    </w:rPr>
  </w:style>
  <w:style w:type="paragraph" w:customStyle="1" w:styleId="Heading3noTOC">
    <w:name w:val="Heading 3 no TOC"/>
    <w:basedOn w:val="Heading3"/>
    <w:rsid w:val="00242479"/>
    <w:pPr>
      <w:outlineLvl w:val="9"/>
    </w:pPr>
  </w:style>
  <w:style w:type="character" w:customStyle="1" w:styleId="Heading4Char">
    <w:name w:val="Heading 4 Char"/>
    <w:basedOn w:val="DefaultParagraphFont"/>
    <w:link w:val="Heading4"/>
    <w:rsid w:val="00242479"/>
    <w:rPr>
      <w:rFonts w:ascii="Arial Bold" w:eastAsia="Times New Roman" w:hAnsi="Arial Bold" w:cs="Times New Roman"/>
      <w:b/>
      <w:sz w:val="20"/>
      <w:szCs w:val="20"/>
      <w:lang w:eastAsia="en-AU"/>
    </w:rPr>
  </w:style>
  <w:style w:type="character" w:customStyle="1" w:styleId="Heading5Char">
    <w:name w:val="Heading 5 Char"/>
    <w:basedOn w:val="DefaultParagraphFont"/>
    <w:link w:val="Heading5"/>
    <w:rsid w:val="00242479"/>
    <w:rPr>
      <w:rFonts w:ascii="Arial" w:eastAsia="Times New Roman" w:hAnsi="Arial" w:cs="Times New Roman"/>
      <w:bCs/>
      <w:i/>
      <w:iCs/>
      <w:sz w:val="20"/>
      <w:szCs w:val="26"/>
      <w:lang w:eastAsia="en-AU"/>
    </w:rPr>
  </w:style>
  <w:style w:type="character" w:customStyle="1" w:styleId="Heading7Char">
    <w:name w:val="Heading 7 Char"/>
    <w:basedOn w:val="DefaultParagraphFont"/>
    <w:link w:val="Heading7"/>
    <w:rsid w:val="00242479"/>
    <w:rPr>
      <w:rFonts w:ascii="Arial" w:eastAsia="Times New Roman" w:hAnsi="Arial" w:cs="Times New Roman"/>
      <w:sz w:val="20"/>
      <w:szCs w:val="24"/>
      <w:lang w:eastAsia="en-AU"/>
    </w:rPr>
  </w:style>
  <w:style w:type="character" w:customStyle="1" w:styleId="Heading8Char">
    <w:name w:val="Heading 8 Char"/>
    <w:basedOn w:val="DefaultParagraphFont"/>
    <w:link w:val="Heading8"/>
    <w:rsid w:val="00242479"/>
    <w:rPr>
      <w:rFonts w:ascii="Times New Roman" w:eastAsia="Times New Roman" w:hAnsi="Times New Roman" w:cs="Times New Roman"/>
      <w:i/>
      <w:iCs/>
      <w:sz w:val="16"/>
      <w:szCs w:val="24"/>
      <w:lang w:eastAsia="en-AU"/>
    </w:rPr>
  </w:style>
  <w:style w:type="character" w:styleId="Hyperlink">
    <w:name w:val="Hyperlink"/>
    <w:basedOn w:val="DefaultParagraphFont"/>
    <w:uiPriority w:val="99"/>
    <w:unhideWhenUsed/>
    <w:rsid w:val="005A6F5F"/>
    <w:rPr>
      <w:color w:val="auto"/>
      <w:u w:val="single"/>
    </w:rPr>
  </w:style>
  <w:style w:type="paragraph" w:styleId="Index4">
    <w:name w:val="index 4"/>
    <w:basedOn w:val="Normal"/>
    <w:next w:val="Normal"/>
    <w:autoRedefine/>
    <w:semiHidden/>
    <w:rsid w:val="00BB207D"/>
    <w:pPr>
      <w:ind w:left="800" w:hanging="200"/>
    </w:pPr>
  </w:style>
  <w:style w:type="paragraph" w:styleId="Index5">
    <w:name w:val="index 5"/>
    <w:basedOn w:val="Normal"/>
    <w:next w:val="Normal"/>
    <w:autoRedefine/>
    <w:semiHidden/>
    <w:rsid w:val="00BB207D"/>
    <w:pPr>
      <w:ind w:left="1000" w:hanging="200"/>
    </w:pPr>
  </w:style>
  <w:style w:type="paragraph" w:styleId="Index6">
    <w:name w:val="index 6"/>
    <w:basedOn w:val="Normal"/>
    <w:next w:val="Normal"/>
    <w:autoRedefine/>
    <w:semiHidden/>
    <w:rsid w:val="00BB207D"/>
    <w:pPr>
      <w:ind w:left="1200" w:hanging="200"/>
    </w:pPr>
  </w:style>
  <w:style w:type="paragraph" w:styleId="Index7">
    <w:name w:val="index 7"/>
    <w:basedOn w:val="Normal"/>
    <w:next w:val="Normal"/>
    <w:autoRedefine/>
    <w:semiHidden/>
    <w:rsid w:val="00BB207D"/>
    <w:pPr>
      <w:ind w:left="1400" w:hanging="200"/>
    </w:pPr>
  </w:style>
  <w:style w:type="paragraph" w:styleId="Index8">
    <w:name w:val="index 8"/>
    <w:basedOn w:val="Normal"/>
    <w:next w:val="Normal"/>
    <w:autoRedefine/>
    <w:semiHidden/>
    <w:rsid w:val="00BB207D"/>
    <w:pPr>
      <w:ind w:left="1600" w:hanging="200"/>
    </w:pPr>
  </w:style>
  <w:style w:type="paragraph" w:styleId="Index9">
    <w:name w:val="index 9"/>
    <w:basedOn w:val="Normal"/>
    <w:next w:val="Normal"/>
    <w:autoRedefine/>
    <w:semiHidden/>
    <w:rsid w:val="00BB207D"/>
    <w:pPr>
      <w:ind w:left="1800" w:hanging="200"/>
    </w:pPr>
  </w:style>
  <w:style w:type="paragraph" w:styleId="MacroText">
    <w:name w:val="macro"/>
    <w:link w:val="MacroTextChar"/>
    <w:unhideWhenUsed/>
    <w:rsid w:val="00BB207D"/>
    <w:pPr>
      <w:tabs>
        <w:tab w:val="left" w:pos="480"/>
        <w:tab w:val="left" w:pos="960"/>
        <w:tab w:val="left" w:pos="1440"/>
        <w:tab w:val="left" w:pos="1920"/>
        <w:tab w:val="left" w:pos="2400"/>
        <w:tab w:val="left" w:pos="2880"/>
        <w:tab w:val="left" w:pos="3360"/>
        <w:tab w:val="left" w:pos="3840"/>
        <w:tab w:val="left" w:pos="4320"/>
      </w:tabs>
      <w:spacing w:after="240" w:line="260" w:lineRule="exact"/>
      <w:jc w:val="both"/>
    </w:pPr>
    <w:rPr>
      <w:rFonts w:ascii="Courier New" w:eastAsia="Times New Roman" w:hAnsi="Courier New" w:cs="Courier New"/>
      <w:sz w:val="20"/>
      <w:szCs w:val="20"/>
      <w:lang w:eastAsia="en-AU"/>
    </w:rPr>
  </w:style>
  <w:style w:type="character" w:customStyle="1" w:styleId="MacroTextChar">
    <w:name w:val="Macro Text Char"/>
    <w:basedOn w:val="DefaultParagraphFont"/>
    <w:link w:val="MacroText"/>
    <w:rsid w:val="00BB207D"/>
    <w:rPr>
      <w:rFonts w:ascii="Courier New" w:eastAsia="Times New Roman" w:hAnsi="Courier New" w:cs="Courier New"/>
      <w:sz w:val="20"/>
      <w:szCs w:val="20"/>
      <w:lang w:eastAsia="en-AU"/>
    </w:rPr>
  </w:style>
  <w:style w:type="paragraph" w:styleId="NormalIndent">
    <w:name w:val="Normal Indent"/>
    <w:basedOn w:val="Normal"/>
    <w:rsid w:val="00BB207D"/>
    <w:pPr>
      <w:ind w:left="567"/>
    </w:pPr>
  </w:style>
  <w:style w:type="paragraph" w:customStyle="1" w:styleId="NoteTableHeading">
    <w:name w:val="Note Table Heading"/>
    <w:basedOn w:val="HeadingBase"/>
    <w:next w:val="Normal"/>
    <w:rsid w:val="00242479"/>
    <w:pPr>
      <w:spacing w:before="240"/>
    </w:pPr>
    <w:rPr>
      <w:b/>
      <w:sz w:val="20"/>
    </w:rPr>
  </w:style>
  <w:style w:type="paragraph" w:customStyle="1" w:styleId="OverviewParagraph">
    <w:name w:val="Overview Paragraph"/>
    <w:basedOn w:val="Normal"/>
    <w:rsid w:val="00BB207D"/>
    <w:pPr>
      <w:spacing w:before="120" w:after="120" w:line="240" w:lineRule="auto"/>
    </w:pPr>
  </w:style>
  <w:style w:type="character" w:styleId="PageNumber">
    <w:name w:val="page number"/>
    <w:basedOn w:val="DefaultParagraphFont"/>
    <w:rsid w:val="00BB207D"/>
    <w:rPr>
      <w:rFonts w:ascii="Arial" w:hAnsi="Arial" w:cs="Arial"/>
    </w:rPr>
  </w:style>
  <w:style w:type="paragraph" w:customStyle="1" w:styleId="SingleParagraph">
    <w:name w:val="Single Paragraph"/>
    <w:basedOn w:val="Normal"/>
    <w:rsid w:val="00E404C5"/>
    <w:pPr>
      <w:spacing w:before="0" w:after="0"/>
    </w:pPr>
  </w:style>
  <w:style w:type="paragraph" w:customStyle="1" w:styleId="Source">
    <w:name w:val="Source"/>
    <w:basedOn w:val="Normal"/>
    <w:rsid w:val="005642C7"/>
    <w:pPr>
      <w:tabs>
        <w:tab w:val="left" w:pos="709"/>
      </w:tabs>
      <w:spacing w:before="30" w:line="240" w:lineRule="auto"/>
      <w:ind w:left="709" w:hanging="709"/>
    </w:pPr>
    <w:rPr>
      <w:rFonts w:ascii="Arial" w:hAnsi="Arial"/>
      <w:sz w:val="16"/>
    </w:rPr>
  </w:style>
  <w:style w:type="paragraph" w:customStyle="1" w:styleId="TableColumnHeadingBase">
    <w:name w:val="Table Column Heading Base"/>
    <w:basedOn w:val="Normal"/>
    <w:rsid w:val="00242479"/>
    <w:pPr>
      <w:spacing w:before="40" w:after="40" w:line="240" w:lineRule="auto"/>
    </w:pPr>
    <w:rPr>
      <w:rFonts w:ascii="Arial Bold" w:hAnsi="Arial Bold"/>
      <w:b/>
      <w:sz w:val="16"/>
    </w:rPr>
  </w:style>
  <w:style w:type="paragraph" w:customStyle="1" w:styleId="TableColumnHeadingCentred">
    <w:name w:val="Table Column Heading Centred"/>
    <w:basedOn w:val="TableColumnHeadingBase"/>
    <w:next w:val="Normal"/>
    <w:rsid w:val="00242479"/>
    <w:pPr>
      <w:jc w:val="center"/>
    </w:pPr>
  </w:style>
  <w:style w:type="paragraph" w:customStyle="1" w:styleId="TableColumnHeadingLeft">
    <w:name w:val="Table Column Heading Left"/>
    <w:basedOn w:val="TableColumnHeadingBase"/>
    <w:next w:val="Normal"/>
    <w:rsid w:val="00242479"/>
  </w:style>
  <w:style w:type="paragraph" w:customStyle="1" w:styleId="TableColumnHeadingRight">
    <w:name w:val="Table Column Heading Right"/>
    <w:basedOn w:val="TableColumnHeadingBase"/>
    <w:next w:val="Normal"/>
    <w:rsid w:val="00242479"/>
    <w:pPr>
      <w:jc w:val="right"/>
    </w:pPr>
  </w:style>
  <w:style w:type="paragraph" w:customStyle="1" w:styleId="TableGraphic">
    <w:name w:val="Table Graphic"/>
    <w:basedOn w:val="Normal"/>
    <w:next w:val="Normal"/>
    <w:rsid w:val="00BB207D"/>
    <w:pPr>
      <w:spacing w:after="0" w:line="240" w:lineRule="auto"/>
      <w:ind w:right="-113"/>
    </w:pPr>
  </w:style>
  <w:style w:type="table" w:styleId="TableGrid">
    <w:name w:val="Table Grid"/>
    <w:basedOn w:val="TableNormal"/>
    <w:rsid w:val="00FA7D31"/>
    <w:pPr>
      <w:spacing w:after="240" w:line="260" w:lineRule="exact"/>
    </w:pPr>
    <w:rPr>
      <w:rFonts w:ascii="Arial" w:eastAsia="Times New Roman" w:hAnsi="Arial"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HeadingBase"/>
    <w:next w:val="TableGraphic"/>
    <w:link w:val="TableHeadingChar"/>
    <w:qFormat/>
    <w:rsid w:val="00242479"/>
    <w:pPr>
      <w:spacing w:before="120" w:after="20"/>
    </w:pPr>
    <w:rPr>
      <w:b/>
      <w:sz w:val="20"/>
    </w:rPr>
  </w:style>
  <w:style w:type="paragraph" w:customStyle="1" w:styleId="TableHeadingcontinued">
    <w:name w:val="Table Heading continued"/>
    <w:basedOn w:val="HeadingBase"/>
    <w:next w:val="TableGraphic"/>
    <w:rsid w:val="00242479"/>
    <w:pPr>
      <w:spacing w:before="120" w:after="20"/>
    </w:pPr>
    <w:rPr>
      <w:rFonts w:ascii="Arial Bold" w:hAnsi="Arial Bold"/>
      <w:b/>
      <w:sz w:val="20"/>
    </w:rPr>
  </w:style>
  <w:style w:type="paragraph" w:styleId="TableofFigures">
    <w:name w:val="table of figures"/>
    <w:basedOn w:val="Normal"/>
    <w:next w:val="Normal"/>
    <w:rsid w:val="00BB207D"/>
  </w:style>
  <w:style w:type="paragraph" w:customStyle="1" w:styleId="TableTextBase">
    <w:name w:val="Table Text Base"/>
    <w:basedOn w:val="Normal"/>
    <w:rsid w:val="00BB207D"/>
    <w:pPr>
      <w:spacing w:before="20" w:after="20" w:line="240" w:lineRule="auto"/>
    </w:pPr>
    <w:rPr>
      <w:rFonts w:ascii="Arial" w:hAnsi="Arial"/>
      <w:sz w:val="16"/>
    </w:rPr>
  </w:style>
  <w:style w:type="paragraph" w:customStyle="1" w:styleId="TableTextCentred">
    <w:name w:val="Table Text Centred"/>
    <w:basedOn w:val="TableTextBase"/>
    <w:rsid w:val="00BB207D"/>
    <w:pPr>
      <w:jc w:val="center"/>
    </w:pPr>
  </w:style>
  <w:style w:type="paragraph" w:customStyle="1" w:styleId="TableTextIndented">
    <w:name w:val="Table Text Indented"/>
    <w:basedOn w:val="TableTextBase"/>
    <w:rsid w:val="00BB207D"/>
    <w:pPr>
      <w:ind w:left="284"/>
    </w:pPr>
  </w:style>
  <w:style w:type="paragraph" w:customStyle="1" w:styleId="TableTextLeft">
    <w:name w:val="Table Text Left"/>
    <w:basedOn w:val="TableTextBase"/>
    <w:rsid w:val="00BB207D"/>
  </w:style>
  <w:style w:type="paragraph" w:customStyle="1" w:styleId="TableTextRight">
    <w:name w:val="Table Text Right"/>
    <w:basedOn w:val="TableTextBase"/>
    <w:rsid w:val="00BB207D"/>
    <w:pPr>
      <w:jc w:val="right"/>
    </w:pPr>
  </w:style>
  <w:style w:type="paragraph" w:styleId="TOAHeading">
    <w:name w:val="toa heading"/>
    <w:basedOn w:val="Normal"/>
    <w:next w:val="Normal"/>
    <w:rsid w:val="00BB207D"/>
    <w:pPr>
      <w:spacing w:before="120"/>
    </w:pPr>
    <w:rPr>
      <w:rFonts w:ascii="Arial" w:hAnsi="Arial" w:cs="Arial"/>
      <w:b/>
      <w:bCs/>
      <w:sz w:val="24"/>
      <w:szCs w:val="24"/>
    </w:rPr>
  </w:style>
  <w:style w:type="paragraph" w:styleId="TOC1">
    <w:name w:val="toc 1"/>
    <w:basedOn w:val="HeaderBase"/>
    <w:next w:val="Normal"/>
    <w:uiPriority w:val="2"/>
    <w:rsid w:val="00BB52EC"/>
    <w:pPr>
      <w:keepNext/>
      <w:tabs>
        <w:tab w:val="right" w:leader="dot" w:pos="7700"/>
      </w:tabs>
      <w:spacing w:before="240"/>
      <w:ind w:right="851"/>
    </w:pPr>
    <w:rPr>
      <w:rFonts w:ascii="Arial Bold" w:hAnsi="Arial Bold"/>
      <w:b/>
      <w:color w:val="auto"/>
      <w:sz w:val="20"/>
    </w:rPr>
  </w:style>
  <w:style w:type="paragraph" w:styleId="TOC2">
    <w:name w:val="toc 2"/>
    <w:basedOn w:val="HeadingBase"/>
    <w:next w:val="Normal"/>
    <w:uiPriority w:val="2"/>
    <w:rsid w:val="00BB52EC"/>
    <w:pPr>
      <w:keepNext w:val="0"/>
      <w:tabs>
        <w:tab w:val="left" w:pos="992"/>
        <w:tab w:val="right" w:leader="dot" w:pos="7700"/>
      </w:tabs>
      <w:spacing w:before="60" w:after="60"/>
      <w:ind w:left="851" w:right="851" w:hanging="851"/>
    </w:pPr>
    <w:rPr>
      <w:sz w:val="18"/>
    </w:rPr>
  </w:style>
  <w:style w:type="paragraph" w:styleId="TOC3">
    <w:name w:val="toc 3"/>
    <w:basedOn w:val="HeadingBase"/>
    <w:next w:val="Normal"/>
    <w:uiPriority w:val="2"/>
    <w:unhideWhenUsed/>
    <w:rsid w:val="00BB207D"/>
    <w:pPr>
      <w:tabs>
        <w:tab w:val="right" w:leader="dot" w:pos="7700"/>
      </w:tabs>
      <w:spacing w:before="40"/>
      <w:ind w:right="851"/>
    </w:pPr>
    <w:rPr>
      <w:sz w:val="20"/>
    </w:rPr>
  </w:style>
  <w:style w:type="paragraph" w:styleId="TOC4">
    <w:name w:val="toc 4"/>
    <w:basedOn w:val="HeadingBase"/>
    <w:next w:val="Normal"/>
    <w:uiPriority w:val="2"/>
    <w:unhideWhenUsed/>
    <w:rsid w:val="00BB207D"/>
    <w:pPr>
      <w:tabs>
        <w:tab w:val="right" w:leader="dot" w:pos="7700"/>
      </w:tabs>
      <w:spacing w:before="40"/>
      <w:ind w:right="851"/>
    </w:pPr>
    <w:rPr>
      <w:sz w:val="20"/>
    </w:rPr>
  </w:style>
  <w:style w:type="paragraph" w:styleId="TOC5">
    <w:name w:val="toc 5"/>
    <w:basedOn w:val="Normal"/>
    <w:next w:val="Normal"/>
    <w:autoRedefine/>
    <w:uiPriority w:val="2"/>
    <w:semiHidden/>
    <w:rsid w:val="00BB207D"/>
    <w:pPr>
      <w:tabs>
        <w:tab w:val="left" w:pos="851"/>
        <w:tab w:val="right" w:leader="dot" w:pos="7700"/>
      </w:tabs>
      <w:ind w:left="896" w:hanging="896"/>
    </w:pPr>
    <w:rPr>
      <w:rFonts w:ascii="Arial" w:hAnsi="Arial"/>
      <w:noProof/>
      <w:color w:val="002B54"/>
    </w:rPr>
  </w:style>
  <w:style w:type="paragraph" w:styleId="TOC6">
    <w:name w:val="toc 6"/>
    <w:basedOn w:val="TOC4"/>
    <w:next w:val="Normal"/>
    <w:uiPriority w:val="2"/>
    <w:semiHidden/>
    <w:rsid w:val="00BB207D"/>
    <w:pPr>
      <w:tabs>
        <w:tab w:val="left" w:pos="851"/>
      </w:tabs>
      <w:ind w:left="851" w:hanging="851"/>
    </w:pPr>
    <w:rPr>
      <w:color w:val="000000"/>
    </w:rPr>
  </w:style>
  <w:style w:type="paragraph" w:styleId="TOC7">
    <w:name w:val="toc 7"/>
    <w:basedOn w:val="Normal"/>
    <w:next w:val="Normal"/>
    <w:autoRedefine/>
    <w:uiPriority w:val="2"/>
    <w:semiHidden/>
    <w:rsid w:val="00BB207D"/>
    <w:pPr>
      <w:ind w:left="1200"/>
    </w:pPr>
  </w:style>
  <w:style w:type="paragraph" w:styleId="TOC8">
    <w:name w:val="toc 8"/>
    <w:basedOn w:val="Normal"/>
    <w:next w:val="Normal"/>
    <w:autoRedefine/>
    <w:uiPriority w:val="2"/>
    <w:semiHidden/>
    <w:rsid w:val="00BB207D"/>
    <w:pPr>
      <w:ind w:left="1400"/>
    </w:pPr>
  </w:style>
  <w:style w:type="paragraph" w:styleId="TOC9">
    <w:name w:val="toc 9"/>
    <w:basedOn w:val="Normal"/>
    <w:next w:val="Normal"/>
    <w:autoRedefine/>
    <w:uiPriority w:val="2"/>
    <w:semiHidden/>
    <w:rsid w:val="00BB207D"/>
    <w:pPr>
      <w:ind w:left="1600"/>
    </w:pPr>
  </w:style>
  <w:style w:type="paragraph" w:customStyle="1" w:styleId="TPHeading1">
    <w:name w:val="TP Heading 1"/>
    <w:basedOn w:val="HeadingBase"/>
    <w:semiHidden/>
    <w:rsid w:val="00242479"/>
    <w:pPr>
      <w:spacing w:before="60" w:after="60"/>
      <w:ind w:left="1134"/>
    </w:pPr>
    <w:rPr>
      <w:rFonts w:ascii="Arial Bold" w:hAnsi="Arial Bold"/>
      <w:b/>
      <w:caps/>
      <w:spacing w:val="-10"/>
      <w:sz w:val="28"/>
    </w:rPr>
  </w:style>
  <w:style w:type="paragraph" w:customStyle="1" w:styleId="TPHeading2">
    <w:name w:val="TP Heading 2"/>
    <w:basedOn w:val="HeadingBase"/>
    <w:semiHidden/>
    <w:rsid w:val="00242479"/>
    <w:pPr>
      <w:ind w:left="1134"/>
    </w:pPr>
    <w:rPr>
      <w:caps/>
      <w:spacing w:val="-10"/>
      <w:sz w:val="28"/>
    </w:rPr>
  </w:style>
  <w:style w:type="paragraph" w:customStyle="1" w:styleId="TPHeading3">
    <w:name w:val="TP Heading 3"/>
    <w:basedOn w:val="HeadingBase"/>
    <w:semiHidden/>
    <w:rsid w:val="00242479"/>
    <w:pPr>
      <w:ind w:left="1134"/>
    </w:pPr>
    <w:rPr>
      <w:caps/>
      <w:spacing w:val="-10"/>
    </w:rPr>
  </w:style>
  <w:style w:type="paragraph" w:customStyle="1" w:styleId="TPHeading3bold">
    <w:name w:val="TP Heading 3 bold"/>
    <w:basedOn w:val="TPHeading3"/>
    <w:semiHidden/>
    <w:rsid w:val="00242479"/>
    <w:rPr>
      <w:rFonts w:cs="Arial"/>
      <w:b/>
      <w:sz w:val="22"/>
      <w:szCs w:val="22"/>
    </w:rPr>
  </w:style>
  <w:style w:type="paragraph" w:customStyle="1" w:styleId="TPHEADING3boldspace">
    <w:name w:val="TP HEADING 3 bold space"/>
    <w:basedOn w:val="TPHeading3bold"/>
    <w:semiHidden/>
    <w:rsid w:val="00242479"/>
    <w:pPr>
      <w:spacing w:after="120"/>
    </w:pPr>
  </w:style>
  <w:style w:type="paragraph" w:customStyle="1" w:styleId="TPHEADING3space">
    <w:name w:val="TP HEADING 3 space"/>
    <w:basedOn w:val="TPHeading3"/>
    <w:semiHidden/>
    <w:rsid w:val="00242479"/>
    <w:pPr>
      <w:spacing w:before="120" w:after="120"/>
    </w:pPr>
    <w:rPr>
      <w:rFonts w:cs="Arial"/>
      <w:sz w:val="22"/>
      <w:szCs w:val="22"/>
    </w:rPr>
  </w:style>
  <w:style w:type="paragraph" w:customStyle="1" w:styleId="TPHeading4">
    <w:name w:val="TP Heading 4"/>
    <w:basedOn w:val="TPHeading3"/>
    <w:semiHidden/>
    <w:rsid w:val="00242479"/>
    <w:rPr>
      <w:sz w:val="20"/>
    </w:rPr>
  </w:style>
  <w:style w:type="paragraph" w:customStyle="1" w:styleId="TPHEADING4space">
    <w:name w:val="TP HEADING 4 space"/>
    <w:basedOn w:val="TPHEADING3space"/>
    <w:semiHidden/>
    <w:rsid w:val="00242479"/>
  </w:style>
  <w:style w:type="paragraph" w:customStyle="1" w:styleId="ChartLine">
    <w:name w:val="Chart Line"/>
    <w:basedOn w:val="Normal"/>
    <w:link w:val="ChartLineChar"/>
    <w:autoRedefine/>
    <w:qFormat/>
    <w:rsid w:val="00A9142B"/>
    <w:pPr>
      <w:pBdr>
        <w:bottom w:val="single" w:sz="4" w:space="2" w:color="626A77" w:themeColor="background2" w:themeShade="E6"/>
      </w:pBdr>
      <w:spacing w:before="0" w:line="240" w:lineRule="auto"/>
    </w:pPr>
    <w:rPr>
      <w:rFonts w:asciiTheme="majorHAnsi" w:hAnsiTheme="majorHAnsi" w:cstheme="majorHAnsi"/>
      <w:noProof/>
      <w:sz w:val="16"/>
      <w:szCs w:val="16"/>
    </w:rPr>
  </w:style>
  <w:style w:type="paragraph" w:customStyle="1" w:styleId="ChartMainHeading">
    <w:name w:val="Chart Main Heading"/>
    <w:basedOn w:val="Normal"/>
    <w:next w:val="ChartGraphic"/>
    <w:rsid w:val="00E70282"/>
    <w:pPr>
      <w:keepNext/>
      <w:spacing w:before="120" w:after="20" w:line="240" w:lineRule="auto"/>
    </w:pPr>
    <w:rPr>
      <w:rFonts w:asciiTheme="majorHAnsi" w:hAnsiTheme="majorHAnsi"/>
      <w:b/>
      <w:sz w:val="20"/>
    </w:rPr>
  </w:style>
  <w:style w:type="character" w:customStyle="1" w:styleId="BoxHeading-Continued">
    <w:name w:val="Box Heading - Continued"/>
    <w:uiPriority w:val="1"/>
    <w:qFormat/>
    <w:rsid w:val="00E404C5"/>
    <w:rPr>
      <w:sz w:val="16"/>
    </w:rPr>
  </w:style>
  <w:style w:type="paragraph" w:customStyle="1" w:styleId="Box-continuedon">
    <w:name w:val="Box - continued on"/>
    <w:basedOn w:val="Normal"/>
    <w:qFormat/>
    <w:rsid w:val="00E404C5"/>
    <w:pPr>
      <w:jc w:val="right"/>
    </w:pPr>
    <w:rPr>
      <w:rFonts w:asciiTheme="majorHAnsi" w:hAnsiTheme="majorHAnsi" w:cstheme="majorHAnsi"/>
      <w:i/>
      <w:iCs/>
      <w:sz w:val="18"/>
      <w:szCs w:val="24"/>
    </w:rPr>
  </w:style>
  <w:style w:type="paragraph" w:customStyle="1" w:styleId="BoxHeading2">
    <w:name w:val="Box Heading 2"/>
    <w:basedOn w:val="BoxHeading"/>
    <w:autoRedefine/>
    <w:rsid w:val="00242479"/>
    <w:pPr>
      <w:spacing w:after="0"/>
    </w:pPr>
    <w:rPr>
      <w:b w:val="0"/>
      <w:bCs/>
      <w:szCs w:val="14"/>
    </w:rPr>
  </w:style>
  <w:style w:type="character" w:customStyle="1" w:styleId="Heading9Char">
    <w:name w:val="Heading 9 Char"/>
    <w:basedOn w:val="DefaultParagraphFont"/>
    <w:link w:val="Heading9"/>
    <w:uiPriority w:val="9"/>
    <w:rsid w:val="00242479"/>
    <w:rPr>
      <w:rFonts w:ascii="Cambria" w:eastAsia="Times New Roman" w:hAnsi="Cambria" w:cs="Times New Roman"/>
      <w:lang w:eastAsia="en-AU"/>
    </w:rPr>
  </w:style>
  <w:style w:type="paragraph" w:customStyle="1" w:styleId="GhostLine">
    <w:name w:val="Ghost Line"/>
    <w:basedOn w:val="NoSpacing"/>
    <w:qFormat/>
    <w:rsid w:val="009D44CF"/>
    <w:pPr>
      <w:jc w:val="both"/>
    </w:pPr>
    <w:rPr>
      <w:rFonts w:ascii="Book Antiqua" w:hAnsi="Book Antiqua"/>
      <w:sz w:val="2"/>
    </w:rPr>
  </w:style>
  <w:style w:type="paragraph" w:styleId="NoSpacing">
    <w:name w:val="No Spacing"/>
    <w:uiPriority w:val="1"/>
    <w:qFormat/>
    <w:rsid w:val="009D44CF"/>
    <w:pPr>
      <w:spacing w:after="0" w:line="240" w:lineRule="auto"/>
    </w:pPr>
    <w:rPr>
      <w:rFonts w:eastAsia="Times New Roman" w:cs="Times New Roman"/>
      <w:sz w:val="19"/>
      <w:szCs w:val="20"/>
      <w:lang w:eastAsia="en-AU"/>
    </w:rPr>
  </w:style>
  <w:style w:type="character" w:customStyle="1" w:styleId="TableHeadingChar">
    <w:name w:val="Table Heading Char"/>
    <w:link w:val="TableHeading"/>
    <w:rsid w:val="00E50CB8"/>
    <w:rPr>
      <w:rFonts w:ascii="Arial" w:eastAsia="Times New Roman" w:hAnsi="Arial" w:cs="Times New Roman"/>
      <w:b/>
      <w:sz w:val="20"/>
      <w:szCs w:val="20"/>
      <w:lang w:eastAsia="en-AU"/>
    </w:rPr>
  </w:style>
  <w:style w:type="paragraph" w:styleId="Revision">
    <w:name w:val="Revision"/>
    <w:hidden/>
    <w:uiPriority w:val="99"/>
    <w:semiHidden/>
    <w:rsid w:val="00E50CB8"/>
    <w:pPr>
      <w:spacing w:after="0" w:line="240" w:lineRule="auto"/>
    </w:pPr>
    <w:rPr>
      <w:rFonts w:eastAsia="Times New Roman" w:cs="Times New Roman"/>
      <w:sz w:val="19"/>
      <w:szCs w:val="20"/>
      <w:lang w:eastAsia="en-AU"/>
    </w:rPr>
  </w:style>
  <w:style w:type="paragraph" w:styleId="ListParagraph">
    <w:name w:val="List Paragraph"/>
    <w:basedOn w:val="Normal"/>
    <w:uiPriority w:val="34"/>
    <w:qFormat/>
    <w:rsid w:val="00E50CB8"/>
    <w:pPr>
      <w:ind w:left="720"/>
      <w:contextualSpacing/>
    </w:pPr>
  </w:style>
  <w:style w:type="paragraph" w:styleId="NormalWeb">
    <w:name w:val="Normal (Web)"/>
    <w:basedOn w:val="Normal"/>
    <w:uiPriority w:val="99"/>
    <w:semiHidden/>
    <w:unhideWhenUsed/>
    <w:rsid w:val="00E50CB8"/>
    <w:pPr>
      <w:spacing w:before="100" w:beforeAutospacing="1" w:after="100" w:afterAutospacing="1" w:line="240" w:lineRule="auto"/>
    </w:pPr>
    <w:rPr>
      <w:rFonts w:ascii="Times New Roman" w:hAnsi="Times New Roman"/>
      <w:sz w:val="24"/>
      <w:szCs w:val="24"/>
    </w:rPr>
  </w:style>
  <w:style w:type="paragraph" w:customStyle="1" w:styleId="OutlineNumbered1">
    <w:name w:val="Outline Numbered 1"/>
    <w:basedOn w:val="Normal"/>
    <w:link w:val="OutlineNumbered1Char"/>
    <w:rsid w:val="00E50CB8"/>
    <w:pPr>
      <w:numPr>
        <w:numId w:val="27"/>
      </w:numPr>
    </w:pPr>
    <w:rPr>
      <w:noProof/>
    </w:rPr>
  </w:style>
  <w:style w:type="character" w:customStyle="1" w:styleId="ChartLineChar">
    <w:name w:val="Chart Line Char"/>
    <w:basedOn w:val="DefaultParagraphFont"/>
    <w:link w:val="ChartLine"/>
    <w:rsid w:val="00A9142B"/>
    <w:rPr>
      <w:rFonts w:asciiTheme="majorHAnsi" w:eastAsia="Times New Roman" w:hAnsiTheme="majorHAnsi" w:cstheme="majorHAnsi"/>
      <w:noProof/>
      <w:sz w:val="16"/>
      <w:szCs w:val="16"/>
      <w:lang w:eastAsia="en-AU"/>
    </w:rPr>
  </w:style>
  <w:style w:type="character" w:customStyle="1" w:styleId="OutlineNumbered1Char">
    <w:name w:val="Outline Numbered 1 Char"/>
    <w:basedOn w:val="ChartLineChar"/>
    <w:link w:val="OutlineNumbered1"/>
    <w:rsid w:val="00E50CB8"/>
    <w:rPr>
      <w:rFonts w:ascii="Book Antiqua" w:eastAsia="Times New Roman" w:hAnsi="Book Antiqua" w:cs="Times New Roman"/>
      <w:noProof/>
      <w:sz w:val="19"/>
      <w:szCs w:val="20"/>
      <w:lang w:eastAsia="en-AU"/>
    </w:rPr>
  </w:style>
  <w:style w:type="paragraph" w:customStyle="1" w:styleId="OutlineNumbered2">
    <w:name w:val="Outline Numbered 2"/>
    <w:basedOn w:val="Normal"/>
    <w:link w:val="OutlineNumbered2Char"/>
    <w:rsid w:val="00E50CB8"/>
    <w:pPr>
      <w:numPr>
        <w:ilvl w:val="1"/>
        <w:numId w:val="27"/>
      </w:numPr>
    </w:pPr>
    <w:rPr>
      <w:noProof/>
    </w:rPr>
  </w:style>
  <w:style w:type="character" w:customStyle="1" w:styleId="OutlineNumbered2Char">
    <w:name w:val="Outline Numbered 2 Char"/>
    <w:basedOn w:val="ChartLineChar"/>
    <w:link w:val="OutlineNumbered2"/>
    <w:rsid w:val="00E50CB8"/>
    <w:rPr>
      <w:rFonts w:ascii="Book Antiqua" w:eastAsia="Times New Roman" w:hAnsi="Book Antiqua" w:cs="Times New Roman"/>
      <w:noProof/>
      <w:sz w:val="19"/>
      <w:szCs w:val="20"/>
      <w:lang w:eastAsia="en-AU"/>
    </w:rPr>
  </w:style>
  <w:style w:type="paragraph" w:customStyle="1" w:styleId="OutlineNumbered3">
    <w:name w:val="Outline Numbered 3"/>
    <w:basedOn w:val="Normal"/>
    <w:link w:val="OutlineNumbered3Char"/>
    <w:rsid w:val="00E50CB8"/>
    <w:pPr>
      <w:numPr>
        <w:ilvl w:val="2"/>
        <w:numId w:val="27"/>
      </w:numPr>
    </w:pPr>
    <w:rPr>
      <w:noProof/>
    </w:rPr>
  </w:style>
  <w:style w:type="character" w:customStyle="1" w:styleId="OutlineNumbered3Char">
    <w:name w:val="Outline Numbered 3 Char"/>
    <w:basedOn w:val="ChartLineChar"/>
    <w:link w:val="OutlineNumbered3"/>
    <w:rsid w:val="00E50CB8"/>
    <w:rPr>
      <w:rFonts w:ascii="Book Antiqua" w:eastAsia="Times New Roman" w:hAnsi="Book Antiqua" w:cs="Times New Roman"/>
      <w:noProof/>
      <w:sz w:val="19"/>
      <w:szCs w:val="20"/>
      <w:lang w:eastAsia="en-AU"/>
    </w:rPr>
  </w:style>
  <w:style w:type="character" w:styleId="CommentReference">
    <w:name w:val="annotation reference"/>
    <w:basedOn w:val="DefaultParagraphFont"/>
    <w:semiHidden/>
    <w:unhideWhenUsed/>
    <w:rsid w:val="006666D7"/>
    <w:rPr>
      <w:sz w:val="16"/>
      <w:szCs w:val="16"/>
    </w:rPr>
  </w:style>
  <w:style w:type="character" w:styleId="Emphasis">
    <w:name w:val="Emphasis"/>
    <w:basedOn w:val="DefaultParagraphFont"/>
    <w:uiPriority w:val="20"/>
    <w:qFormat/>
    <w:rsid w:val="00685ADA"/>
    <w:rPr>
      <w:i/>
      <w:iCs/>
    </w:rPr>
  </w:style>
  <w:style w:type="character" w:styleId="UnresolvedMention">
    <w:name w:val="Unresolved Mention"/>
    <w:basedOn w:val="DefaultParagraphFont"/>
    <w:uiPriority w:val="99"/>
    <w:semiHidden/>
    <w:unhideWhenUsed/>
    <w:rsid w:val="009033C3"/>
    <w:rPr>
      <w:color w:val="605E5C"/>
      <w:shd w:val="clear" w:color="auto" w:fill="E1DFDD"/>
    </w:rPr>
  </w:style>
  <w:style w:type="character" w:styleId="FollowedHyperlink">
    <w:name w:val="FollowedHyperlink"/>
    <w:basedOn w:val="DefaultParagraphFont"/>
    <w:uiPriority w:val="99"/>
    <w:semiHidden/>
    <w:unhideWhenUsed/>
    <w:rsid w:val="009033C3"/>
    <w:rPr>
      <w:color w:val="E61E2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Treasury\Workgroup%20Templates\Budget\Budget%20Template.dotm" TargetMode="External"/></Relationships>
</file>

<file path=word/theme/theme1.xml><?xml version="1.0" encoding="utf-8"?>
<a:theme xmlns:a="http://schemas.openxmlformats.org/drawingml/2006/main" name="Office Theme">
  <a:themeElements>
    <a:clrScheme name="Budget">
      <a:dk1>
        <a:sysClr val="windowText" lastClr="000000"/>
      </a:dk1>
      <a:lt1>
        <a:sysClr val="window" lastClr="FFFFFF"/>
      </a:lt1>
      <a:dk2>
        <a:srgbClr val="002A54"/>
      </a:dk2>
      <a:lt2>
        <a:srgbClr val="6D7684"/>
      </a:lt2>
      <a:accent1>
        <a:srgbClr val="0364C3"/>
      </a:accent1>
      <a:accent2>
        <a:srgbClr val="BE5154"/>
      </a:accent2>
      <a:accent3>
        <a:srgbClr val="844D9E"/>
      </a:accent3>
      <a:accent4>
        <a:srgbClr val="00818F"/>
      </a:accent4>
      <a:accent5>
        <a:srgbClr val="213657"/>
      </a:accent5>
      <a:accent6>
        <a:srgbClr val="02843D"/>
      </a:accent6>
      <a:hlink>
        <a:srgbClr val="3A6FAF"/>
      </a:hlink>
      <a:folHlink>
        <a:srgbClr val="E61E26"/>
      </a:folHlink>
    </a:clrScheme>
    <a:fontScheme name="Budget">
      <a:majorFont>
        <a:latin typeface="Arial"/>
        <a:ea typeface=""/>
        <a:cs typeface=""/>
      </a:majorFont>
      <a:minorFont>
        <a:latin typeface="Book Antiqu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4EFA3CD0C9384883E202483A01CFD0" ma:contentTypeVersion="28" ma:contentTypeDescription="Create a new document." ma:contentTypeScope="" ma:versionID="7571fde376dbe1ffea08831cec20a6be">
  <xsd:schema xmlns:xsd="http://www.w3.org/2001/XMLSchema" xmlns:xs="http://www.w3.org/2001/XMLSchema" xmlns:p="http://schemas.microsoft.com/office/2006/metadata/properties" xmlns:ns1="http://schemas.microsoft.com/sharepoint/v3" xmlns:ns2="9115ddca-c623-419f-a3c0-6a1c58c4dac8" xmlns:ns3="244fe85f-b655-4145-9b20-543b75dc1c24" targetNamespace="http://schemas.microsoft.com/office/2006/metadata/properties" ma:root="true" ma:fieldsID="3b7f4dd7f9a17a6f45efef350b3b244b" ns1:_="" ns2:_="" ns3:_="">
    <xsd:import namespace="http://schemas.microsoft.com/sharepoint/v3"/>
    <xsd:import namespace="9115ddca-c623-419f-a3c0-6a1c58c4dac8"/>
    <xsd:import namespace="244fe85f-b655-4145-9b20-543b75dc1c24"/>
    <xsd:element name="properties">
      <xsd:complexType>
        <xsd:sequence>
          <xsd:element name="documentManagement">
            <xsd:complexType>
              <xsd:all>
                <xsd:element ref="ns2:Image" minOccurs="0"/>
                <xsd:element ref="ns2:MediaServiceMetadata" minOccurs="0"/>
                <xsd:element ref="ns2:MediaServiceFastMetadata" minOccurs="0"/>
                <xsd:element ref="ns2:MediaServiceAutoKeyPoints" minOccurs="0"/>
                <xsd:element ref="ns2:MediaServiceKeyPoints" minOccurs="0"/>
                <xsd:element ref="ns2:Status" minOccurs="0"/>
                <xsd:element ref="ns2:Notes" minOccurs="0"/>
                <xsd:element ref="ns3:SharedWithUsers" minOccurs="0"/>
                <xsd:element ref="ns3:SharedWithDetails" minOccurs="0"/>
                <xsd:element ref="ns1:_ip_UnifiedCompliancePolicyProperties" minOccurs="0"/>
                <xsd:element ref="ns1:_ip_UnifiedCompliancePolicyUIAction"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_Flow_SignoffStatus" minOccurs="0"/>
                <xsd:element ref="ns2:MediaLengthInSeconds" minOccurs="0"/>
                <xsd:element ref="ns2:lcf76f155ced4ddcb4097134ff3c332f" minOccurs="0"/>
                <xsd:element ref="ns3:TaxCatchAll" minOccurs="0"/>
                <xsd:element ref="ns3:Date_x005f_x0020_of_x005f_x0020_Creation" minOccurs="0"/>
                <xsd:element ref="ns2:MediaServiceObjectDetectorVersions" minOccurs="0"/>
                <xsd:element ref="ns2:MediaServiceSearchProperties" minOccurs="0"/>
                <xsd:element ref="ns2:MudmapEVID" minOccurs="0"/>
                <xsd:element ref="ns2:Letter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ma:readOnly="false">
      <xsd:simpleType>
        <xsd:restriction base="dms:Note"/>
      </xsd:simpleType>
    </xsd:element>
    <xsd:element name="_ip_UnifiedCompliancePolicyUIAction" ma:index="17"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15ddca-c623-419f-a3c0-6a1c58c4dac8" elementFormDefault="qualified">
    <xsd:import namespace="http://schemas.microsoft.com/office/2006/documentManagement/types"/>
    <xsd:import namespace="http://schemas.microsoft.com/office/infopath/2007/PartnerControls"/>
    <xsd:element name="Image" ma:index="3" nillable="true" ma:displayName="Image" ma:format="Thumbnail" ma:internalName="Image" ma:readOnly="false">
      <xsd:simpleType>
        <xsd:restriction base="dms:Unknow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Status" ma:index="12" nillable="true" ma:displayName="Status" ma:format="Dropdown" ma:hidden="true" ma:internalName="Status" ma:readOnly="false">
      <xsd:simpleType>
        <xsd:restriction base="dms:Choice">
          <xsd:enumeration value="With drafter"/>
          <xsd:enumeration value="With EB for comment"/>
          <xsd:enumeration value="With TO for comment"/>
          <xsd:enumeration value="With EB for final review"/>
          <xsd:enumeration value="With TO for final review"/>
          <xsd:enumeration value="With Treasurer for final review"/>
          <xsd:enumeration value="In sandy"/>
          <xsd:enumeration value="In hard close"/>
        </xsd:restriction>
      </xsd:simpleType>
    </xsd:element>
    <xsd:element name="Notes" ma:index="13" nillable="true" ma:displayName="Notes" ma:format="Dropdown" ma:hidden="true" ma:internalName="Notes" ma:readOnly="false">
      <xsd:simpleType>
        <xsd:restriction base="dms:Note"/>
      </xsd:simpleType>
    </xsd:element>
    <xsd:element name="MediaServiceAutoTags" ma:index="18" nillable="true" ma:displayName="Tags" ma:hidden="true"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OCR" ma:index="22" nillable="true" ma:displayName="Extracted Text" ma:hidden="true" ma:internalName="MediaServiceOCR" ma:readOnly="true">
      <xsd:simpleType>
        <xsd:restriction base="dms:Note"/>
      </xsd:simpleType>
    </xsd:element>
    <xsd:element name="MediaServiceLocation" ma:index="23" nillable="true" ma:displayName="Location" ma:hidden="true" ma:internalName="MediaServiceLocation" ma:readOnly="true">
      <xsd:simpleType>
        <xsd:restriction base="dms:Text"/>
      </xsd:simpleType>
    </xsd:element>
    <xsd:element name="_Flow_SignoffStatus" ma:index="24" nillable="true" ma:displayName="Sign-off status" ma:format="Dropdown" ma:hidden="true" ma:internalName="Sign_x002d_off_x0020_status">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218240cd-c75f-40bd-87f4-262ac964b2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udmapEVID" ma:index="33" nillable="true" ma:displayName="Mudmap EV ID" ma:description="This is the ID in column A of the live Mudmap" ma:format="Dropdown" ma:internalName="MudmapEVID">
      <xsd:simpleType>
        <xsd:restriction base="dms:Text">
          <xsd:maxLength value="255"/>
        </xsd:restriction>
      </xsd:simpleType>
    </xsd:element>
    <xsd:element name="LetterID" ma:index="34" nillable="true" ma:displayName="Letter ID" ma:format="Dropdown" ma:internalName="Letter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4fe85f-b655-4145-9b20-543b75dc1c24"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8" nillable="true" ma:displayName="Taxonomy Catch All Column" ma:hidden="true" ma:list="{eed413a1-1c23-4ed2-af48-854dd5cd0a31}" ma:internalName="TaxCatchAll" ma:readOnly="false" ma:showField="CatchAllData" ma:web="244fe85f-b655-4145-9b20-543b75dc1c24">
      <xsd:complexType>
        <xsd:complexContent>
          <xsd:extension base="dms:MultiChoiceLookup">
            <xsd:sequence>
              <xsd:element name="Value" type="dms:Lookup" maxOccurs="unbounded" minOccurs="0" nillable="true"/>
            </xsd:sequence>
          </xsd:extension>
        </xsd:complexContent>
      </xsd:complexType>
    </xsd:element>
    <xsd:element name="Date_x005f_x0020_of_x005f_x0020_Creation" ma:index="30" nillable="true" ma:displayName="Date of Creation" ma:format="DateOnly" ma:internalName="Date_x0020_of_x0020_Creation"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244fe85f-b655-4145-9b20-543b75dc1c24" xsi:nil="true"/>
    <lcf76f155ced4ddcb4097134ff3c332f xmlns="9115ddca-c623-419f-a3c0-6a1c58c4dac8">
      <Terms xmlns="http://schemas.microsoft.com/office/infopath/2007/PartnerControls"/>
    </lcf76f155ced4ddcb4097134ff3c332f>
    <_ip_UnifiedCompliancePolicyUIAction xmlns="http://schemas.microsoft.com/sharepoint/v3" xsi:nil="true"/>
    <_Flow_SignoffStatus xmlns="9115ddca-c623-419f-a3c0-6a1c58c4dac8" xsi:nil="true"/>
    <_ip_UnifiedCompliancePolicyProperties xmlns="http://schemas.microsoft.com/sharepoint/v3" xsi:nil="true"/>
    <MudmapEVID xmlns="9115ddca-c623-419f-a3c0-6a1c58c4dac8" xsi:nil="true"/>
    <Status xmlns="9115ddca-c623-419f-a3c0-6a1c58c4dac8" xsi:nil="true"/>
    <LetterID xmlns="9115ddca-c623-419f-a3c0-6a1c58c4dac8" xsi:nil="true"/>
    <Notes xmlns="9115ddca-c623-419f-a3c0-6a1c58c4dac8" xsi:nil="true"/>
    <Date_x005f_x0020_of_x005f_x0020_Creation xmlns="244fe85f-b655-4145-9b20-543b75dc1c24" xsi:nil="true"/>
    <Image xmlns="9115ddca-c623-419f-a3c0-6a1c58c4dac8" xsi:nil="true"/>
  </documentManagement>
</p:properties>
</file>

<file path=customXml/itemProps1.xml><?xml version="1.0" encoding="utf-8"?>
<ds:datastoreItem xmlns:ds="http://schemas.openxmlformats.org/officeDocument/2006/customXml" ds:itemID="{28E3B494-7205-4309-A58C-9FF2D971EF03}">
  <ds:schemaRefs>
    <ds:schemaRef ds:uri="http://schemas.openxmlformats.org/officeDocument/2006/bibliography"/>
  </ds:schemaRefs>
</ds:datastoreItem>
</file>

<file path=customXml/itemProps2.xml><?xml version="1.0" encoding="utf-8"?>
<ds:datastoreItem xmlns:ds="http://schemas.openxmlformats.org/officeDocument/2006/customXml" ds:itemID="{AE9587B5-B210-47D2-A61D-4555355966BB}">
  <ds:schemaRefs>
    <ds:schemaRef ds:uri="http://schemas.microsoft.com/sharepoint/v3/contenttype/forms"/>
  </ds:schemaRefs>
</ds:datastoreItem>
</file>

<file path=customXml/itemProps3.xml><?xml version="1.0" encoding="utf-8"?>
<ds:datastoreItem xmlns:ds="http://schemas.openxmlformats.org/officeDocument/2006/customXml" ds:itemID="{8417D1B8-5ABB-40D9-8EA4-03756E654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115ddca-c623-419f-a3c0-6a1c58c4dac8"/>
    <ds:schemaRef ds:uri="244fe85f-b655-4145-9b20-543b75dc1c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74E13F-BF65-462D-8BF0-47F8D496109C}">
  <ds:schemaRefs>
    <ds:schemaRef ds:uri="9115ddca-c623-419f-a3c0-6a1c58c4dac8"/>
    <ds:schemaRef ds:uri="http://purl.org/dc/elements/1.1/"/>
    <ds:schemaRef ds:uri="244fe85f-b655-4145-9b20-543b75dc1c24"/>
    <ds:schemaRef ds:uri="http://schemas.microsoft.com/sharepoint/v3"/>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Budget Template.dotm</Template>
  <TotalTime>820</TotalTime>
  <Pages>14</Pages>
  <Words>3575</Words>
  <Characters>20246</Characters>
  <Application>Microsoft Office Word</Application>
  <DocSecurity>0</DocSecurity>
  <Lines>583</Lines>
  <Paragraphs>345</Paragraphs>
  <ScaleCrop>false</ScaleCrop>
  <HeadingPairs>
    <vt:vector size="2" baseType="variant">
      <vt:variant>
        <vt:lpstr>Title</vt:lpstr>
      </vt:variant>
      <vt:variant>
        <vt:i4>1</vt:i4>
      </vt:variant>
    </vt:vector>
  </HeadingPairs>
  <TitlesOfParts>
    <vt:vector size="1" baseType="lpstr">
      <vt:lpstr>Budget Paper No. 1</vt:lpstr>
    </vt:vector>
  </TitlesOfParts>
  <Company/>
  <LinksUpToDate>false</LinksUpToDate>
  <CharactersWithSpaces>23628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Paper No. 1</dc:title>
  <dc:subject>Statement 10: Australian Government Budget Financial Statements - Appendix B</dc:subject>
  <dc:creator>Australian Government</dc:creator>
  <cp:keywords/>
  <dc:description/>
  <cp:lastModifiedBy>Hill, Christine</cp:lastModifiedBy>
  <cp:revision>476</cp:revision>
  <cp:lastPrinted>2024-05-12T01:48:00Z</cp:lastPrinted>
  <dcterms:created xsi:type="dcterms:W3CDTF">2024-04-23T16:56:00Z</dcterms:created>
  <dcterms:modified xsi:type="dcterms:W3CDTF">2024-05-13T04:40:00Z</dcterms:modified>
  <cp:category/>
</cp:coreProperties>
</file>