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27821" w14:textId="77777777" w:rsidR="00EA57B2" w:rsidRDefault="00621C2A" w:rsidP="00EA57B2">
      <w:pPr>
        <w:jc w:val="center"/>
        <w:rPr>
          <w:rFonts w:ascii="Arial" w:hAnsi="Arial" w:cs="Arial"/>
          <w:sz w:val="22"/>
          <w:szCs w:val="22"/>
        </w:rPr>
      </w:pPr>
      <w:r w:rsidRPr="00EA57B2">
        <w:rPr>
          <w:rFonts w:ascii="Arial" w:hAnsi="Arial" w:cs="Arial"/>
          <w:sz w:val="22"/>
          <w:szCs w:val="22"/>
        </w:rPr>
        <w:t>​</w:t>
      </w:r>
      <w:r w:rsidR="00EA57B2" w:rsidRPr="00EA57B2">
        <w:rPr>
          <w:rFonts w:ascii="Arial" w:hAnsi="Arial" w:cs="Arial"/>
          <w:b/>
          <w:bCs/>
          <w:sz w:val="22"/>
          <w:szCs w:val="22"/>
        </w:rPr>
        <w:t>ITGlue Ingestion and Sync Guide</w:t>
      </w:r>
      <w:r w:rsidR="00EA57B2" w:rsidRPr="00EA57B2">
        <w:rPr>
          <w:rFonts w:ascii="Arial" w:hAnsi="Arial" w:cs="Arial"/>
          <w:b/>
          <w:bCs/>
          <w:sz w:val="22"/>
          <w:szCs w:val="22"/>
        </w:rPr>
        <w:br/>
      </w:r>
    </w:p>
    <w:p w14:paraId="7727B3C4" w14:textId="16C4DA53" w:rsidR="00621C2A" w:rsidRPr="00EA57B2" w:rsidRDefault="002B1C8B" w:rsidP="00EA57B2">
      <w:pPr>
        <w:rPr>
          <w:sz w:val="22"/>
          <w:szCs w:val="22"/>
        </w:rPr>
      </w:pPr>
      <w:r w:rsidRPr="00EA57B2">
        <w:rPr>
          <w:rFonts w:cs="Arial"/>
          <w:b/>
          <w:bCs/>
          <w:sz w:val="22"/>
          <w:szCs w:val="22"/>
        </w:rPr>
        <w:t>ITGlue account</w:t>
      </w:r>
      <w:r w:rsidR="00EA57B2" w:rsidRPr="00EA57B2">
        <w:rPr>
          <w:rFonts w:cs="Arial"/>
          <w:b/>
          <w:bCs/>
          <w:sz w:val="22"/>
          <w:szCs w:val="22"/>
        </w:rPr>
        <w:t>(s)</w:t>
      </w:r>
      <w:r w:rsidRPr="00EA57B2">
        <w:rPr>
          <w:rFonts w:cs="Arial"/>
          <w:b/>
          <w:bCs/>
          <w:sz w:val="22"/>
          <w:szCs w:val="22"/>
        </w:rPr>
        <w:t xml:space="preserve"> access</w:t>
      </w:r>
      <w:r w:rsidR="00EA57B2">
        <w:rPr>
          <w:rFonts w:cs="Arial"/>
          <w:b/>
          <w:bCs/>
          <w:sz w:val="22"/>
          <w:szCs w:val="22"/>
        </w:rPr>
        <w:t>:</w:t>
      </w:r>
      <w:r w:rsidRPr="00EA57B2">
        <w:rPr>
          <w:rFonts w:cs="Arial"/>
          <w:sz w:val="22"/>
          <w:szCs w:val="22"/>
        </w:rPr>
        <w:br/>
      </w:r>
      <w:r w:rsidRPr="00EA57B2">
        <w:rPr>
          <w:rFonts w:cs="Arial"/>
          <w:sz w:val="22"/>
          <w:szCs w:val="22"/>
        </w:rPr>
        <w:br/>
      </w:r>
      <w:r w:rsidR="00EC44B6" w:rsidRPr="00EC44B6">
        <w:rPr>
          <w:rFonts w:cs="Arial"/>
          <w:sz w:val="22"/>
          <w:szCs w:val="22"/>
        </w:rPr>
        <w:t>A.</w:t>
      </w:r>
      <w:r w:rsidR="00EC44B6">
        <w:rPr>
          <w:rFonts w:cs="Arial"/>
          <w:b/>
          <w:bCs/>
          <w:sz w:val="22"/>
          <w:szCs w:val="22"/>
        </w:rPr>
        <w:t xml:space="preserve"> </w:t>
      </w:r>
      <w:r w:rsidR="00621C2A" w:rsidRPr="00EA57B2">
        <w:rPr>
          <w:rFonts w:cs="Arial"/>
          <w:sz w:val="22"/>
          <w:szCs w:val="22"/>
        </w:rPr>
        <w:t>Create 2 ITGlue support accounts for Rezolve.ai</w:t>
      </w:r>
      <w:r w:rsidR="00621C2A" w:rsidRPr="00EA57B2">
        <w:rPr>
          <w:sz w:val="22"/>
          <w:szCs w:val="22"/>
        </w:rPr>
        <w:br/>
      </w:r>
      <w:r w:rsidR="00621C2A" w:rsidRPr="00EA57B2">
        <w:rPr>
          <w:sz w:val="22"/>
          <w:szCs w:val="22"/>
        </w:rPr>
        <w:br/>
        <w:t>1. One ITGlue account for Support and Testing.</w:t>
      </w:r>
      <w:r w:rsidR="00621C2A" w:rsidRPr="00EA57B2">
        <w:rPr>
          <w:sz w:val="22"/>
          <w:szCs w:val="22"/>
        </w:rPr>
        <w:br/>
        <w:t>This ITGlue account would have UI access so that it can see the Organization page of ITGlue, which shows the MSP Internal folder as well as the MSP’s client folders. The unique ID</w:t>
      </w:r>
      <w:r w:rsidRPr="00EA57B2">
        <w:rPr>
          <w:sz w:val="22"/>
          <w:szCs w:val="22"/>
        </w:rPr>
        <w:t xml:space="preserve"> of the folder is something like this: </w:t>
      </w:r>
      <w:hyperlink r:id="rId4" w:history="1">
        <w:r w:rsidR="008F39C1" w:rsidRPr="00F30068">
          <w:rPr>
            <w:rStyle w:val="Hyperlink"/>
            <w:sz w:val="22"/>
            <w:szCs w:val="22"/>
          </w:rPr>
          <w:t>https://abc.itglue.com/XXXXXXX</w:t>
        </w:r>
      </w:hyperlink>
      <w:r w:rsidR="00621C2A" w:rsidRPr="00EA57B2">
        <w:rPr>
          <w:sz w:val="22"/>
          <w:szCs w:val="22"/>
        </w:rPr>
        <w:br/>
      </w:r>
      <w:r w:rsidR="00621C2A" w:rsidRPr="00EA57B2">
        <w:rPr>
          <w:sz w:val="22"/>
          <w:szCs w:val="22"/>
        </w:rPr>
        <w:br/>
        <w:t>The account should be MFA-enabled and whitelisted for these IP Addresses:</w:t>
      </w:r>
    </w:p>
    <w:p w14:paraId="00208EE1" w14:textId="50AE0E3C" w:rsidR="00621C2A" w:rsidRPr="00621C2A" w:rsidRDefault="00621C2A" w:rsidP="00EA57B2">
      <w:pPr>
        <w:spacing w:line="240" w:lineRule="auto"/>
        <w:rPr>
          <w:sz w:val="22"/>
          <w:szCs w:val="22"/>
        </w:rPr>
      </w:pPr>
      <w:r w:rsidRPr="00621C2A">
        <w:rPr>
          <w:sz w:val="22"/>
          <w:szCs w:val="22"/>
        </w:rPr>
        <w:t>13.68.137.219:3389</w:t>
      </w:r>
      <w:r w:rsidR="00EA57B2">
        <w:rPr>
          <w:sz w:val="22"/>
          <w:szCs w:val="22"/>
        </w:rPr>
        <w:br/>
      </w:r>
      <w:r w:rsidR="00EA57B2">
        <w:rPr>
          <w:sz w:val="22"/>
          <w:szCs w:val="22"/>
        </w:rPr>
        <w:br/>
      </w:r>
      <w:r w:rsidRPr="00621C2A">
        <w:rPr>
          <w:sz w:val="22"/>
          <w:szCs w:val="22"/>
        </w:rPr>
        <w:t>40.87.44.153 </w:t>
      </w:r>
      <w:r w:rsidR="00EA57B2">
        <w:rPr>
          <w:sz w:val="22"/>
          <w:szCs w:val="22"/>
        </w:rPr>
        <w:br/>
      </w:r>
      <w:r w:rsidR="00EA57B2">
        <w:rPr>
          <w:sz w:val="22"/>
          <w:szCs w:val="22"/>
        </w:rPr>
        <w:br/>
      </w:r>
      <w:r w:rsidRPr="00621C2A">
        <w:rPr>
          <w:sz w:val="22"/>
          <w:szCs w:val="22"/>
        </w:rPr>
        <w:t>20.245.205.149  </w:t>
      </w:r>
      <w:r w:rsidR="00EA57B2">
        <w:rPr>
          <w:sz w:val="22"/>
          <w:szCs w:val="22"/>
        </w:rPr>
        <w:br/>
      </w:r>
      <w:r w:rsidR="00EA57B2">
        <w:rPr>
          <w:sz w:val="22"/>
          <w:szCs w:val="22"/>
        </w:rPr>
        <w:br/>
      </w:r>
      <w:r w:rsidRPr="00621C2A">
        <w:rPr>
          <w:sz w:val="22"/>
          <w:szCs w:val="22"/>
        </w:rPr>
        <w:t>20.245.211.150 </w:t>
      </w:r>
      <w:r w:rsidR="00EA57B2">
        <w:rPr>
          <w:sz w:val="22"/>
          <w:szCs w:val="22"/>
        </w:rPr>
        <w:br/>
      </w:r>
      <w:r w:rsidR="00EA57B2">
        <w:rPr>
          <w:sz w:val="22"/>
          <w:szCs w:val="22"/>
        </w:rPr>
        <w:br/>
      </w:r>
      <w:r w:rsidRPr="00621C2A">
        <w:rPr>
          <w:sz w:val="22"/>
          <w:szCs w:val="22"/>
        </w:rPr>
        <w:t>20.253.209.34 </w:t>
      </w:r>
      <w:r w:rsidR="00EA57B2">
        <w:rPr>
          <w:sz w:val="22"/>
          <w:szCs w:val="22"/>
        </w:rPr>
        <w:br/>
      </w:r>
      <w:r w:rsidR="00EA57B2">
        <w:rPr>
          <w:sz w:val="22"/>
          <w:szCs w:val="22"/>
        </w:rPr>
        <w:br/>
      </w:r>
      <w:r w:rsidRPr="00621C2A">
        <w:rPr>
          <w:sz w:val="22"/>
          <w:szCs w:val="22"/>
        </w:rPr>
        <w:t>40.78.19.73 </w:t>
      </w:r>
    </w:p>
    <w:p w14:paraId="04E4389E" w14:textId="18F86704" w:rsidR="00EA57B2" w:rsidRDefault="00621C2A" w:rsidP="00EA57B2">
      <w:pPr>
        <w:spacing w:line="240" w:lineRule="auto"/>
        <w:rPr>
          <w:rFonts w:cs="Arial"/>
          <w:b/>
          <w:bCs/>
          <w:sz w:val="22"/>
          <w:szCs w:val="22"/>
        </w:rPr>
      </w:pPr>
      <w:r w:rsidRPr="00EA57B2">
        <w:rPr>
          <w:sz w:val="22"/>
          <w:szCs w:val="22"/>
        </w:rPr>
        <w:br/>
      </w:r>
      <w:r w:rsidRPr="00EA57B2">
        <w:rPr>
          <w:sz w:val="22"/>
          <w:szCs w:val="22"/>
        </w:rPr>
        <w:br/>
        <w:t>2. One ITGlue account dedicated to Ingestion</w:t>
      </w:r>
      <w:r w:rsidR="002B1C8B" w:rsidRPr="00EA57B2">
        <w:rPr>
          <w:sz w:val="22"/>
          <w:szCs w:val="22"/>
        </w:rPr>
        <w:t>/Sync</w:t>
      </w:r>
      <w:r w:rsidRPr="00EA57B2">
        <w:rPr>
          <w:sz w:val="22"/>
          <w:szCs w:val="22"/>
        </w:rPr>
        <w:t xml:space="preserve"> and cannot view the UI to test.</w:t>
      </w:r>
      <w:r w:rsidRPr="00EA57B2">
        <w:rPr>
          <w:sz w:val="22"/>
          <w:szCs w:val="22"/>
        </w:rPr>
        <w:br/>
        <w:t>Please make sure this ITGlue accoun</w:t>
      </w:r>
      <w:r w:rsidR="002B1C8B" w:rsidRPr="00EA57B2">
        <w:rPr>
          <w:sz w:val="22"/>
          <w:szCs w:val="22"/>
        </w:rPr>
        <w:t xml:space="preserve">t has access to the folders MSP Internal folder as well as the MSP’s client folders. The unique ID of the folder is something like this: </w:t>
      </w:r>
      <w:hyperlink r:id="rId5" w:history="1">
        <w:r w:rsidR="000B7A31" w:rsidRPr="00F30068">
          <w:rPr>
            <w:rStyle w:val="Hyperlink"/>
            <w:sz w:val="22"/>
            <w:szCs w:val="22"/>
          </w:rPr>
          <w:t>https://abc.itglue.com/XXXXXXX</w:t>
        </w:r>
      </w:hyperlink>
      <w:r w:rsidR="002B1C8B" w:rsidRPr="00EA57B2">
        <w:rPr>
          <w:sz w:val="22"/>
          <w:szCs w:val="22"/>
        </w:rPr>
        <w:br/>
      </w:r>
      <w:r w:rsidR="002B1C8B" w:rsidRPr="00EA57B2">
        <w:rPr>
          <w:sz w:val="22"/>
          <w:szCs w:val="22"/>
        </w:rPr>
        <w:br/>
      </w:r>
      <w:r w:rsidRPr="00EA57B2">
        <w:rPr>
          <w:sz w:val="22"/>
          <w:szCs w:val="22"/>
        </w:rPr>
        <w:br/>
      </w:r>
      <w:r w:rsidRPr="00EA57B2">
        <w:rPr>
          <w:rFonts w:ascii="Arial" w:hAnsi="Arial" w:cs="Arial"/>
          <w:sz w:val="22"/>
          <w:szCs w:val="22"/>
        </w:rPr>
        <w:t>​</w:t>
      </w:r>
      <w:r w:rsidRPr="00EA57B2">
        <w:rPr>
          <w:sz w:val="22"/>
          <w:szCs w:val="22"/>
        </w:rPr>
        <w:t xml:space="preserve">MFA for this account would </w:t>
      </w:r>
      <w:r w:rsidR="002B1C8B" w:rsidRPr="00EA57B2">
        <w:rPr>
          <w:sz w:val="22"/>
          <w:szCs w:val="22"/>
        </w:rPr>
        <w:t xml:space="preserve">need to </w:t>
      </w:r>
      <w:r w:rsidRPr="00EA57B2">
        <w:rPr>
          <w:sz w:val="22"/>
          <w:szCs w:val="22"/>
        </w:rPr>
        <w:t>be disabled.</w:t>
      </w:r>
      <w:r w:rsidRPr="00EA57B2">
        <w:rPr>
          <w:rFonts w:ascii="Arial" w:hAnsi="Arial" w:cs="Arial"/>
          <w:sz w:val="22"/>
          <w:szCs w:val="22"/>
        </w:rPr>
        <w:t>​</w:t>
      </w:r>
      <w:r w:rsidRPr="00EA57B2">
        <w:rPr>
          <w:rFonts w:cs="Arial"/>
          <w:sz w:val="22"/>
          <w:szCs w:val="22"/>
        </w:rPr>
        <w:br/>
      </w:r>
      <w:r w:rsidRPr="00EA57B2">
        <w:rPr>
          <w:sz w:val="22"/>
          <w:szCs w:val="22"/>
        </w:rPr>
        <w:br/>
        <w:t>This account would only be accessible by 1 IP Address:</w:t>
      </w:r>
      <w:r w:rsidRPr="00EA57B2">
        <w:rPr>
          <w:rFonts w:ascii="Arial" w:hAnsi="Arial" w:cs="Arial"/>
          <w:sz w:val="22"/>
          <w:szCs w:val="22"/>
        </w:rPr>
        <w:t>​</w:t>
      </w:r>
      <w:r w:rsidR="00EA57B2">
        <w:rPr>
          <w:rFonts w:ascii="Arial" w:hAnsi="Arial" w:cs="Arial"/>
          <w:sz w:val="22"/>
          <w:szCs w:val="22"/>
        </w:rPr>
        <w:br/>
      </w:r>
      <w:r w:rsidRPr="00EA57B2">
        <w:rPr>
          <w:sz w:val="22"/>
          <w:szCs w:val="22"/>
        </w:rPr>
        <w:br/>
        <w:t>13.68.137.219:3389</w:t>
      </w:r>
      <w:r w:rsidRPr="00EA57B2">
        <w:rPr>
          <w:rFonts w:ascii="Arial" w:hAnsi="Arial" w:cs="Arial"/>
          <w:sz w:val="22"/>
          <w:szCs w:val="22"/>
        </w:rPr>
        <w:t>​</w:t>
      </w:r>
      <w:r w:rsidRPr="00EA57B2">
        <w:rPr>
          <w:sz w:val="22"/>
          <w:szCs w:val="22"/>
        </w:rPr>
        <w:br/>
      </w:r>
      <w:r w:rsidRPr="00EA57B2">
        <w:rPr>
          <w:rFonts w:ascii="Arial" w:hAnsi="Arial" w:cs="Arial"/>
          <w:sz w:val="22"/>
          <w:szCs w:val="22"/>
        </w:rPr>
        <w:t>​</w:t>
      </w:r>
      <w:r w:rsidRPr="00EA57B2">
        <w:rPr>
          <w:sz w:val="22"/>
          <w:szCs w:val="22"/>
        </w:rPr>
        <w:br/>
      </w:r>
      <w:r w:rsidRPr="00EA57B2">
        <w:rPr>
          <w:rFonts w:cs="Arial"/>
          <w:sz w:val="22"/>
          <w:szCs w:val="22"/>
        </w:rPr>
        <w:br/>
      </w:r>
    </w:p>
    <w:p w14:paraId="3FF69BEB" w14:textId="77777777" w:rsidR="00EC44B6" w:rsidRDefault="00EC44B6" w:rsidP="00EA57B2">
      <w:pPr>
        <w:spacing w:line="240" w:lineRule="auto"/>
        <w:rPr>
          <w:rFonts w:cs="Arial"/>
          <w:b/>
          <w:bCs/>
          <w:sz w:val="22"/>
          <w:szCs w:val="22"/>
        </w:rPr>
      </w:pPr>
    </w:p>
    <w:p w14:paraId="0BE92BC0" w14:textId="77777777" w:rsidR="00EC44B6" w:rsidRPr="00621C2A" w:rsidRDefault="00EC44B6" w:rsidP="00EA57B2">
      <w:pPr>
        <w:spacing w:line="240" w:lineRule="auto"/>
        <w:rPr>
          <w:sz w:val="22"/>
          <w:szCs w:val="22"/>
        </w:rPr>
      </w:pPr>
    </w:p>
    <w:p w14:paraId="47ACB6AF" w14:textId="0310C8E6" w:rsidR="00621C2A" w:rsidRPr="00621C2A" w:rsidRDefault="002B1C8B" w:rsidP="00EA57B2">
      <w:pPr>
        <w:rPr>
          <w:sz w:val="22"/>
          <w:szCs w:val="22"/>
        </w:rPr>
      </w:pPr>
      <w:r w:rsidRPr="00EA57B2">
        <w:rPr>
          <w:rFonts w:cs="Arial"/>
          <w:sz w:val="22"/>
          <w:szCs w:val="22"/>
        </w:rPr>
        <w:lastRenderedPageBreak/>
        <w:br/>
      </w:r>
      <w:r w:rsidR="00EA57B2" w:rsidRPr="00EA57B2">
        <w:rPr>
          <w:rFonts w:cs="Arial"/>
          <w:b/>
          <w:bCs/>
          <w:sz w:val="22"/>
          <w:szCs w:val="22"/>
        </w:rPr>
        <w:t>Ingestion/Sync Steps:</w:t>
      </w:r>
      <w:r w:rsidR="002F15B9">
        <w:rPr>
          <w:rFonts w:cs="Arial"/>
          <w:b/>
          <w:bCs/>
          <w:sz w:val="22"/>
          <w:szCs w:val="22"/>
        </w:rPr>
        <w:br/>
      </w:r>
      <w:r w:rsidR="002F15B9">
        <w:rPr>
          <w:rFonts w:cs="Arial"/>
          <w:b/>
          <w:bCs/>
          <w:sz w:val="22"/>
          <w:szCs w:val="22"/>
        </w:rPr>
        <w:br/>
      </w:r>
      <w:r w:rsidR="002F15B9" w:rsidRPr="002F15B9">
        <w:rPr>
          <w:rFonts w:cs="Arial"/>
          <w:sz w:val="22"/>
          <w:szCs w:val="22"/>
        </w:rPr>
        <w:t>Until ITGlue is in the UI</w:t>
      </w:r>
      <w:r w:rsidR="00EC44B6">
        <w:rPr>
          <w:rFonts w:cs="Arial"/>
          <w:sz w:val="22"/>
          <w:szCs w:val="22"/>
        </w:rPr>
        <w:t xml:space="preserve"> of the console</w:t>
      </w:r>
      <w:r w:rsidR="002F15B9" w:rsidRPr="002F15B9">
        <w:rPr>
          <w:rFonts w:cs="Arial"/>
          <w:sz w:val="22"/>
          <w:szCs w:val="22"/>
        </w:rPr>
        <w:t>, these are the steps to do back-end ingestion and sync -</w:t>
      </w:r>
      <w:r w:rsidRPr="002F15B9">
        <w:rPr>
          <w:rFonts w:cs="Arial"/>
          <w:sz w:val="22"/>
          <w:szCs w:val="22"/>
        </w:rPr>
        <w:br/>
      </w:r>
      <w:r w:rsidRPr="00EA57B2">
        <w:rPr>
          <w:rFonts w:cs="Arial"/>
          <w:sz w:val="22"/>
          <w:szCs w:val="22"/>
        </w:rPr>
        <w:br/>
        <w:t>Here is the step-by-step of ITGlue Ingestion and Sync</w:t>
      </w:r>
      <w:r w:rsidR="00EA57B2" w:rsidRPr="00EA57B2">
        <w:rPr>
          <w:rFonts w:cs="Arial"/>
          <w:sz w:val="22"/>
          <w:szCs w:val="22"/>
        </w:rPr>
        <w:t xml:space="preserve"> (after the account has been set up above. Note that the ingestion account needs to be MFA-disabled)</w:t>
      </w:r>
      <w:r w:rsidRPr="00EA57B2">
        <w:rPr>
          <w:rFonts w:cs="Arial"/>
          <w:sz w:val="22"/>
          <w:szCs w:val="22"/>
        </w:rPr>
        <w:t>:</w:t>
      </w:r>
      <w:r w:rsidRPr="00EA57B2">
        <w:rPr>
          <w:rFonts w:cs="Arial"/>
          <w:sz w:val="22"/>
          <w:szCs w:val="22"/>
        </w:rPr>
        <w:br/>
        <w:t>1. Client provides the Rezolve’s ITGlue account(s) access to the folders on the Organization page of ITGlue.</w:t>
      </w:r>
      <w:r w:rsidRPr="00EA57B2">
        <w:rPr>
          <w:rFonts w:cs="Arial"/>
          <w:sz w:val="22"/>
          <w:szCs w:val="22"/>
        </w:rPr>
        <w:br/>
        <w:t>2. Rezolve/pod would create a unique Audience/Content Restriction ID for each folder, which would include MSP Internal and each of their MSP Clients.</w:t>
      </w:r>
      <w:r w:rsidRPr="00EA57B2">
        <w:rPr>
          <w:rFonts w:cs="Arial"/>
          <w:sz w:val="22"/>
          <w:szCs w:val="22"/>
        </w:rPr>
        <w:br/>
        <w:t xml:space="preserve">3. CSM/Pod fill out a spreadsheet that </w:t>
      </w:r>
      <w:r w:rsidR="002F15B9">
        <w:rPr>
          <w:rFonts w:cs="Arial"/>
          <w:sz w:val="22"/>
          <w:szCs w:val="22"/>
        </w:rPr>
        <w:t>Ingestion Team</w:t>
      </w:r>
      <w:r w:rsidRPr="00EA57B2">
        <w:rPr>
          <w:rFonts w:cs="Arial"/>
          <w:sz w:val="22"/>
          <w:szCs w:val="22"/>
        </w:rPr>
        <w:t xml:space="preserve"> has which has 2 columns (Organization ID and Audience ID.</w:t>
      </w:r>
      <w:r w:rsidR="00EA57B2" w:rsidRPr="00EA57B2">
        <w:rPr>
          <w:rFonts w:cs="Arial"/>
          <w:sz w:val="22"/>
          <w:szCs w:val="22"/>
        </w:rPr>
        <w:t>)</w:t>
      </w:r>
      <w:r w:rsidR="00EA57B2" w:rsidRPr="00EA57B2">
        <w:rPr>
          <w:rFonts w:cs="Arial"/>
          <w:sz w:val="22"/>
          <w:szCs w:val="22"/>
        </w:rPr>
        <w:br/>
        <w:t>The Organization ID is the unique ITGlue ID for the client folder. It’s the XXXXXX after the itglue.com/ link.</w:t>
      </w:r>
      <w:r w:rsidR="00EA57B2" w:rsidRPr="00EA57B2">
        <w:rPr>
          <w:rFonts w:cs="Arial"/>
          <w:sz w:val="22"/>
          <w:szCs w:val="22"/>
        </w:rPr>
        <w:br/>
        <w:t xml:space="preserve">4. Ingestion </w:t>
      </w:r>
      <w:r w:rsidR="002F15B9">
        <w:rPr>
          <w:rFonts w:cs="Arial"/>
          <w:sz w:val="22"/>
          <w:szCs w:val="22"/>
        </w:rPr>
        <w:t>Te</w:t>
      </w:r>
      <w:r w:rsidR="00EA57B2" w:rsidRPr="00EA57B2">
        <w:rPr>
          <w:rFonts w:cs="Arial"/>
          <w:sz w:val="22"/>
          <w:szCs w:val="22"/>
        </w:rPr>
        <w:t>am would do the ingestion and then the sync.</w:t>
      </w:r>
      <w:r w:rsidR="00EA57B2" w:rsidRPr="00EA57B2">
        <w:rPr>
          <w:rFonts w:cs="Arial"/>
          <w:sz w:val="22"/>
          <w:szCs w:val="22"/>
        </w:rPr>
        <w:br/>
      </w:r>
      <w:r w:rsidR="00EA57B2" w:rsidRPr="00EA57B2">
        <w:rPr>
          <w:rFonts w:cs="Arial"/>
          <w:sz w:val="22"/>
          <w:szCs w:val="22"/>
        </w:rPr>
        <w:br/>
      </w:r>
      <w:r w:rsidR="00EA57B2" w:rsidRPr="00EA57B2">
        <w:rPr>
          <w:rFonts w:cs="Arial"/>
          <w:b/>
          <w:bCs/>
          <w:sz w:val="22"/>
          <w:szCs w:val="22"/>
        </w:rPr>
        <w:t>Note:</w:t>
      </w:r>
      <w:r w:rsidR="00EA57B2" w:rsidRPr="00EA57B2">
        <w:rPr>
          <w:rFonts w:cs="Arial"/>
          <w:sz w:val="22"/>
          <w:szCs w:val="22"/>
        </w:rPr>
        <w:br/>
        <w:t>a. Consider doing the rollout to clients in a few batches so that there is enough time for testing. Also, the</w:t>
      </w:r>
      <w:r w:rsidR="00CE5637">
        <w:rPr>
          <w:rFonts w:cs="Arial"/>
          <w:sz w:val="22"/>
          <w:szCs w:val="22"/>
        </w:rPr>
        <w:t xml:space="preserve"> regular 2-3 days </w:t>
      </w:r>
      <w:r w:rsidR="00EA57B2" w:rsidRPr="00EA57B2">
        <w:rPr>
          <w:rFonts w:cs="Arial"/>
          <w:sz w:val="22"/>
          <w:szCs w:val="22"/>
        </w:rPr>
        <w:t>sync may need to be paused in between the rollout of each batch.</w:t>
      </w:r>
      <w:r w:rsidR="00EA57B2" w:rsidRPr="00EA57B2">
        <w:rPr>
          <w:rFonts w:cs="Arial"/>
          <w:sz w:val="22"/>
          <w:szCs w:val="22"/>
        </w:rPr>
        <w:br/>
        <w:t>b. The most manual part of the process is currently genera</w:t>
      </w:r>
      <w:r w:rsidR="000B7A31">
        <w:rPr>
          <w:rFonts w:cs="Arial"/>
          <w:sz w:val="22"/>
          <w:szCs w:val="22"/>
        </w:rPr>
        <w:t>t</w:t>
      </w:r>
      <w:r w:rsidR="00EA57B2" w:rsidRPr="00EA57B2">
        <w:rPr>
          <w:rFonts w:cs="Arial"/>
          <w:sz w:val="22"/>
          <w:szCs w:val="22"/>
        </w:rPr>
        <w:t>ing the Audience/Content Restriction ID. We’ll need to work on this as part of MSP Product Enhancement.</w:t>
      </w:r>
      <w:r w:rsidR="00EA57B2" w:rsidRPr="00EA57B2">
        <w:rPr>
          <w:rFonts w:cs="Arial"/>
          <w:sz w:val="22"/>
          <w:szCs w:val="22"/>
        </w:rPr>
        <w:br/>
      </w:r>
      <w:r w:rsidR="00621C2A" w:rsidRPr="00EA57B2">
        <w:rPr>
          <w:rFonts w:cs="Arial"/>
          <w:sz w:val="22"/>
          <w:szCs w:val="22"/>
        </w:rPr>
        <w:br/>
      </w:r>
      <w:r w:rsidR="00E83161">
        <w:rPr>
          <w:sz w:val="22"/>
          <w:szCs w:val="22"/>
        </w:rPr>
        <w:t>---</w:t>
      </w:r>
      <w:r w:rsidR="00E83161">
        <w:rPr>
          <w:sz w:val="22"/>
          <w:szCs w:val="22"/>
        </w:rPr>
        <w:br/>
        <w:t>For ingestion beyond Documents, Rezolve will need the API Key for IT Glue. Please see the Retrieving IT Glue Guide.</w:t>
      </w:r>
      <w:r w:rsidR="00621C2A" w:rsidRPr="00EA57B2">
        <w:rPr>
          <w:sz w:val="22"/>
          <w:szCs w:val="22"/>
        </w:rPr>
        <w:t> </w:t>
      </w:r>
    </w:p>
    <w:p w14:paraId="75743A67" w14:textId="47E931F0" w:rsidR="00621C2A" w:rsidRPr="00EA57B2" w:rsidRDefault="00621C2A">
      <w:pPr>
        <w:rPr>
          <w:sz w:val="22"/>
          <w:szCs w:val="22"/>
        </w:rPr>
      </w:pPr>
      <w:r w:rsidRPr="00EA57B2">
        <w:rPr>
          <w:sz w:val="22"/>
          <w:szCs w:val="22"/>
        </w:rPr>
        <w:br/>
      </w:r>
    </w:p>
    <w:sectPr w:rsidR="00621C2A" w:rsidRPr="00EA57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C2A"/>
    <w:rsid w:val="000B7A31"/>
    <w:rsid w:val="002B1C8B"/>
    <w:rsid w:val="002C3C4C"/>
    <w:rsid w:val="002F15B9"/>
    <w:rsid w:val="00472C2A"/>
    <w:rsid w:val="00621C2A"/>
    <w:rsid w:val="008F39C1"/>
    <w:rsid w:val="00BE4506"/>
    <w:rsid w:val="00C451C1"/>
    <w:rsid w:val="00CE5637"/>
    <w:rsid w:val="00D53EFC"/>
    <w:rsid w:val="00E83161"/>
    <w:rsid w:val="00EA57B2"/>
    <w:rsid w:val="00EC44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72143"/>
  <w15:chartTrackingRefBased/>
  <w15:docId w15:val="{9FCF7CAE-F05E-4549-B6B5-4E184F339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1C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1C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1C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1C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1C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1C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1C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1C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1C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1C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1C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1C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1C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1C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1C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1C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1C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1C2A"/>
    <w:rPr>
      <w:rFonts w:eastAsiaTheme="majorEastAsia" w:cstheme="majorBidi"/>
      <w:color w:val="272727" w:themeColor="text1" w:themeTint="D8"/>
    </w:rPr>
  </w:style>
  <w:style w:type="paragraph" w:styleId="Title">
    <w:name w:val="Title"/>
    <w:basedOn w:val="Normal"/>
    <w:next w:val="Normal"/>
    <w:link w:val="TitleChar"/>
    <w:uiPriority w:val="10"/>
    <w:qFormat/>
    <w:rsid w:val="00621C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1C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1C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1C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1C2A"/>
    <w:pPr>
      <w:spacing w:before="160"/>
      <w:jc w:val="center"/>
    </w:pPr>
    <w:rPr>
      <w:i/>
      <w:iCs/>
      <w:color w:val="404040" w:themeColor="text1" w:themeTint="BF"/>
    </w:rPr>
  </w:style>
  <w:style w:type="character" w:customStyle="1" w:styleId="QuoteChar">
    <w:name w:val="Quote Char"/>
    <w:basedOn w:val="DefaultParagraphFont"/>
    <w:link w:val="Quote"/>
    <w:uiPriority w:val="29"/>
    <w:rsid w:val="00621C2A"/>
    <w:rPr>
      <w:i/>
      <w:iCs/>
      <w:color w:val="404040" w:themeColor="text1" w:themeTint="BF"/>
    </w:rPr>
  </w:style>
  <w:style w:type="paragraph" w:styleId="ListParagraph">
    <w:name w:val="List Paragraph"/>
    <w:basedOn w:val="Normal"/>
    <w:uiPriority w:val="34"/>
    <w:qFormat/>
    <w:rsid w:val="00621C2A"/>
    <w:pPr>
      <w:ind w:left="720"/>
      <w:contextualSpacing/>
    </w:pPr>
  </w:style>
  <w:style w:type="character" w:styleId="IntenseEmphasis">
    <w:name w:val="Intense Emphasis"/>
    <w:basedOn w:val="DefaultParagraphFont"/>
    <w:uiPriority w:val="21"/>
    <w:qFormat/>
    <w:rsid w:val="00621C2A"/>
    <w:rPr>
      <w:i/>
      <w:iCs/>
      <w:color w:val="0F4761" w:themeColor="accent1" w:themeShade="BF"/>
    </w:rPr>
  </w:style>
  <w:style w:type="paragraph" w:styleId="IntenseQuote">
    <w:name w:val="Intense Quote"/>
    <w:basedOn w:val="Normal"/>
    <w:next w:val="Normal"/>
    <w:link w:val="IntenseQuoteChar"/>
    <w:uiPriority w:val="30"/>
    <w:qFormat/>
    <w:rsid w:val="00621C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1C2A"/>
    <w:rPr>
      <w:i/>
      <w:iCs/>
      <w:color w:val="0F4761" w:themeColor="accent1" w:themeShade="BF"/>
    </w:rPr>
  </w:style>
  <w:style w:type="character" w:styleId="IntenseReference">
    <w:name w:val="Intense Reference"/>
    <w:basedOn w:val="DefaultParagraphFont"/>
    <w:uiPriority w:val="32"/>
    <w:qFormat/>
    <w:rsid w:val="00621C2A"/>
    <w:rPr>
      <w:b/>
      <w:bCs/>
      <w:smallCaps/>
      <w:color w:val="0F4761" w:themeColor="accent1" w:themeShade="BF"/>
      <w:spacing w:val="5"/>
    </w:rPr>
  </w:style>
  <w:style w:type="paragraph" w:styleId="NormalWeb">
    <w:name w:val="Normal (Web)"/>
    <w:basedOn w:val="Normal"/>
    <w:uiPriority w:val="99"/>
    <w:semiHidden/>
    <w:unhideWhenUsed/>
    <w:rsid w:val="00621C2A"/>
    <w:rPr>
      <w:rFonts w:ascii="Times New Roman" w:hAnsi="Times New Roman" w:cs="Times New Roman"/>
    </w:rPr>
  </w:style>
  <w:style w:type="character" w:styleId="Hyperlink">
    <w:name w:val="Hyperlink"/>
    <w:basedOn w:val="DefaultParagraphFont"/>
    <w:uiPriority w:val="99"/>
    <w:unhideWhenUsed/>
    <w:rsid w:val="002B1C8B"/>
    <w:rPr>
      <w:color w:val="467886" w:themeColor="hyperlink"/>
      <w:u w:val="single"/>
    </w:rPr>
  </w:style>
  <w:style w:type="character" w:styleId="UnresolvedMention">
    <w:name w:val="Unresolved Mention"/>
    <w:basedOn w:val="DefaultParagraphFont"/>
    <w:uiPriority w:val="99"/>
    <w:semiHidden/>
    <w:unhideWhenUsed/>
    <w:rsid w:val="002B1C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464380">
      <w:bodyDiv w:val="1"/>
      <w:marLeft w:val="0"/>
      <w:marRight w:val="0"/>
      <w:marTop w:val="0"/>
      <w:marBottom w:val="0"/>
      <w:divBdr>
        <w:top w:val="none" w:sz="0" w:space="0" w:color="auto"/>
        <w:left w:val="none" w:sz="0" w:space="0" w:color="auto"/>
        <w:bottom w:val="none" w:sz="0" w:space="0" w:color="auto"/>
        <w:right w:val="none" w:sz="0" w:space="0" w:color="auto"/>
      </w:divBdr>
    </w:div>
    <w:div w:id="2052341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abc.itglue.com/XXXXXXX" TargetMode="External"/><Relationship Id="rId4" Type="http://schemas.openxmlformats.org/officeDocument/2006/relationships/hyperlink" Target="https://abc.itglue.com/XXXXXX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358</Words>
  <Characters>2045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Tracy Vo</dc:creator>
  <cp:keywords/>
  <dc:description/>
  <cp:lastModifiedBy>Tracy Vo</cp:lastModifiedBy>
  <cp:revision>3</cp:revision>
  <dcterms:created xsi:type="dcterms:W3CDTF">2025-10-03T22:59:00Z</dcterms:created>
  <dcterms:modified xsi:type="dcterms:W3CDTF">2025-10-03T23:00:00Z</dcterms:modified>
</cp:coreProperties>
</file>