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Specification</w:t>
      </w:r>
    </w:p>
    <w:p>
      <w:r>
        <w:t>This document outlines the technical requirements for the new data pipeline.</w:t>
      </w:r>
    </w:p>
    <w:p>
      <w:pPr>
        <w:pStyle w:val="Heading2"/>
      </w:pPr>
      <w:r>
        <w:t>1. Overview</w:t>
      </w:r>
    </w:p>
    <w:p>
      <w:r>
        <w:t>The pipeline ingests raw event data from multiple sources, transforms it, and loads it into the data warehouse on an hourly schedule.</w:t>
      </w:r>
    </w:p>
    <w:p>
      <w:pPr>
        <w:pStyle w:val="Heading2"/>
      </w:pPr>
      <w:r>
        <w:t>2. Architecture</w:t>
      </w:r>
    </w:p>
    <w:p>
      <w:r>
        <w:t>Components involved:</w:t>
      </w:r>
    </w:p>
    <w:p>
      <w:pPr>
        <w:pStyle w:val="ListBullet"/>
      </w:pPr>
      <w:r>
        <w:t>Apache Kafka (ingestion)</w:t>
      </w:r>
    </w:p>
    <w:p>
      <w:pPr>
        <w:pStyle w:val="ListBullet"/>
      </w:pPr>
      <w:r>
        <w:t>Apache Spark (transformation)</w:t>
      </w:r>
    </w:p>
    <w:p>
      <w:pPr>
        <w:pStyle w:val="ListBullet"/>
      </w:pPr>
      <w:r>
        <w:t>Snowflake (storage)</w:t>
      </w:r>
    </w:p>
    <w:p>
      <w:pPr>
        <w:pStyle w:val="Heading2"/>
      </w:pPr>
      <w:r>
        <w:t>3. SLAs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  <w:tc>
          <w:tcPr>
            <w:tcW w:type="dxa" w:w="2880"/>
          </w:tcPr>
          <w:p>
            <w:r>
              <w:t>Current</w:t>
            </w:r>
          </w:p>
        </w:tc>
      </w:tr>
      <w:tr>
        <w:tc>
          <w:tcPr>
            <w:tcW w:type="dxa" w:w="2880"/>
          </w:tcPr>
          <w:p>
            <w:r>
              <w:t>Latency</w:t>
            </w:r>
          </w:p>
        </w:tc>
        <w:tc>
          <w:tcPr>
            <w:tcW w:type="dxa" w:w="2880"/>
          </w:tcPr>
          <w:p>
            <w:r>
              <w:t>&lt; 5 min</w:t>
            </w:r>
          </w:p>
        </w:tc>
        <w:tc>
          <w:tcPr>
            <w:tcW w:type="dxa" w:w="2880"/>
          </w:tcPr>
          <w:p>
            <w:r>
              <w:t>3.2 min</w:t>
            </w:r>
          </w:p>
        </w:tc>
      </w:tr>
      <w:tr>
        <w:tc>
          <w:tcPr>
            <w:tcW w:type="dxa" w:w="2880"/>
          </w:tcPr>
          <w:p>
            <w:r>
              <w:t>Throughput</w:t>
            </w:r>
          </w:p>
        </w:tc>
        <w:tc>
          <w:tcPr>
            <w:tcW w:type="dxa" w:w="2880"/>
          </w:tcPr>
          <w:p>
            <w:r>
              <w:t>&gt; 10K/s</w:t>
            </w:r>
          </w:p>
        </w:tc>
        <w:tc>
          <w:tcPr>
            <w:tcW w:type="dxa" w:w="2880"/>
          </w:tcPr>
          <w:p>
            <w:r>
              <w:t>12.4K/s</w:t>
            </w:r>
          </w:p>
        </w:tc>
      </w:tr>
      <w:tr>
        <w:tc>
          <w:tcPr>
            <w:tcW w:type="dxa" w:w="2880"/>
          </w:tcPr>
          <w:p>
            <w:r>
              <w:t>Error rate</w:t>
            </w:r>
          </w:p>
        </w:tc>
        <w:tc>
          <w:tcPr>
            <w:tcW w:type="dxa" w:w="2880"/>
          </w:tcPr>
          <w:p>
            <w:r>
              <w:t>&lt; 0.1%</w:t>
            </w:r>
          </w:p>
        </w:tc>
        <w:tc>
          <w:tcPr>
            <w:tcW w:type="dxa" w:w="2880"/>
          </w:tcPr>
          <w:p>
            <w:r>
              <w:t>0.04%</w:t>
            </w:r>
          </w:p>
        </w:tc>
      </w:tr>
    </w:tbl>
    <w:p>
      <w:pPr>
        <w:pStyle w:val="Heading2"/>
      </w:pPr>
      <w:r>
        <w:t>4. Next Steps</w:t>
      </w:r>
    </w:p>
    <w:p>
      <w:r>
        <w:t>Review and sign off on this spec by end of sprint.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