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anual-de-operação-ravena-modular-v3"/>
      <w:r>
        <w:t xml:space="preserve">Manual de Operação — Ravena Modular V3</w:t>
      </w:r>
      <w:bookmarkEnd w:id="20"/>
    </w:p>
    <w:p>
      <w:pPr>
        <w:pStyle w:val="Heading2"/>
      </w:pPr>
      <w:bookmarkStart w:id="21" w:name="introdução"/>
      <w:r>
        <w:t xml:space="preserve">1. Introdução</w:t>
      </w:r>
      <w:bookmarkEnd w:id="21"/>
    </w:p>
    <w:p>
      <w:pPr>
        <w:pStyle w:val="FirstParagraph"/>
      </w:pPr>
      <w:r>
        <w:t xml:space="preserve">Este manual fornece as diretrizes operacionais para o sistema Ravena Modular V3, garantindo a independência do projeto e a correta utilização de seus componentes.</w:t>
      </w:r>
    </w:p>
    <w:p>
      <w:pPr>
        <w:pStyle w:val="Heading2"/>
      </w:pPr>
      <w:bookmarkStart w:id="22" w:name="arquitetura-do-core-sota"/>
      <w:r>
        <w:t xml:space="preserve">2. Arquitetura do Core (SOTA)</w:t>
      </w:r>
      <w:bookmarkEnd w:id="22"/>
    </w:p>
    <w:p>
      <w:pPr>
        <w:pStyle w:val="FirstParagraph"/>
      </w:pPr>
      <w:r>
        <w:t xml:space="preserve">A Ravena V3 utiliza como núcleo os modelos</w:t>
      </w:r>
      <w:r>
        <w:t xml:space="preserve"> </w:t>
      </w:r>
      <w:r>
        <w:rPr>
          <w:b/>
        </w:rPr>
        <w:t xml:space="preserve">Llama 3.1</w:t>
      </w:r>
      <w:r>
        <w:t xml:space="preserve"> </w:t>
      </w:r>
      <w:r>
        <w:t xml:space="preserve">e variantes</w:t>
      </w:r>
      <w:r>
        <w:t xml:space="preserve"> </w:t>
      </w:r>
      <w:r>
        <w:rPr>
          <w:b/>
        </w:rPr>
        <w:t xml:space="preserve">NVIDIA</w:t>
      </w:r>
      <w:r>
        <w:t xml:space="preserve">, otimizados para execução na infraestrutura Oracle Cloud.</w:t>
      </w:r>
    </w:p>
    <w:p>
      <w:pPr>
        <w:pStyle w:val="Heading3"/>
      </w:pPr>
      <w:bookmarkStart w:id="23" w:name="componentes-principais"/>
      <w:r>
        <w:t xml:space="preserve">2.1. Componentes Principais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OmegaCore:</w:t>
      </w:r>
      <w:r>
        <w:t xml:space="preserve"> </w:t>
      </w:r>
      <w:r>
        <w:t xml:space="preserve">Orquestrador central que gerencia segurança, RAG e execução de missões.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RavenaChatAgent:</w:t>
      </w:r>
      <w:r>
        <w:t xml:space="preserve"> </w:t>
      </w:r>
      <w:r>
        <w:t xml:space="preserve">Interface de diálogo fluido com herança do orquestrador e gerenciamento de contexto dinâmico.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SecurityV3:</w:t>
      </w:r>
      <w:r>
        <w:t xml:space="preserve"> </w:t>
      </w:r>
      <w:r>
        <w:t xml:space="preserve">Implementação do Protocolo Zero Trust e Dashboard de monitoramento.</w:t>
      </w:r>
    </w:p>
    <w:p>
      <w:pPr>
        <w:pStyle w:val="Heading2"/>
      </w:pPr>
      <w:bookmarkStart w:id="24" w:name="procedimentos-operacionais"/>
      <w:r>
        <w:t xml:space="preserve">3. Procedimentos Operacionais</w:t>
      </w:r>
      <w:bookmarkEnd w:id="24"/>
    </w:p>
    <w:p>
      <w:pPr>
        <w:pStyle w:val="Heading3"/>
      </w:pPr>
      <w:bookmarkStart w:id="25" w:name="inicialização-do-sistema"/>
      <w:r>
        <w:t xml:space="preserve">3.1. Inicialização do Sistema</w:t>
      </w:r>
      <w:bookmarkEnd w:id="25"/>
    </w:p>
    <w:p>
      <w:pPr>
        <w:pStyle w:val="FirstParagraph"/>
      </w:pPr>
      <w:r>
        <w:t xml:space="preserve">Para inicializar a infraestrutura, utilize o script de setup: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setup_ravena_oci.sh</w:t>
      </w:r>
    </w:p>
    <w:p>
      <w:pPr>
        <w:pStyle w:val="Heading3"/>
      </w:pPr>
      <w:bookmarkStart w:id="26" w:name="interação-com-o-chat"/>
      <w:r>
        <w:t xml:space="preserve">3.2. Interação com o Chat</w:t>
      </w:r>
      <w:bookmarkEnd w:id="26"/>
    </w:p>
    <w:p>
      <w:pPr>
        <w:pStyle w:val="FirstParagraph"/>
      </w:pPr>
      <w:r>
        <w:t xml:space="preserve">A classe</w:t>
      </w:r>
      <w:r>
        <w:t xml:space="preserve"> </w:t>
      </w:r>
      <w:r>
        <w:rPr>
          <w:rStyle w:val="VerbatimChar"/>
        </w:rPr>
        <w:t xml:space="preserve">RavenaChatAgent</w:t>
      </w:r>
      <w:r>
        <w:t xml:space="preserve"> </w:t>
      </w:r>
      <w:r>
        <w:t xml:space="preserve">deve ser instanciada para iniciar diálogos técnicos. Ela realiza automaticamente o roteamento de intenção para especialistas (Day Trade ou Busca 360).</w:t>
      </w:r>
    </w:p>
    <w:p>
      <w:pPr>
        <w:pStyle w:val="Heading3"/>
      </w:pPr>
      <w:bookmarkStart w:id="27" w:name="monitoramento-de-segurança"/>
      <w:r>
        <w:t xml:space="preserve">3.3. Monitoramento de Segurança</w:t>
      </w:r>
      <w:bookmarkEnd w:id="27"/>
    </w:p>
    <w:p>
      <w:pPr>
        <w:pStyle w:val="FirstParagraph"/>
      </w:pPr>
      <w:r>
        <w:t xml:space="preserve">O Dashboard de Controle fornece métricas em tempo real. Alertas de segurança (Zero Trust) são registrados automaticamente e podem ser visualizados via: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(security.dashboard.obter_status_visual())</w:t>
      </w:r>
    </w:p>
    <w:p>
      <w:pPr>
        <w:pStyle w:val="Heading2"/>
      </w:pPr>
      <w:bookmarkStart w:id="28" w:name="gestão-de-conhecimento-e-organização"/>
      <w:r>
        <w:t xml:space="preserve">4. Gestão de Conhecimento e Organização</w:t>
      </w:r>
      <w:bookmarkEnd w:id="28"/>
    </w:p>
    <w:p>
      <w:pPr>
        <w:pStyle w:val="FirstParagraph"/>
      </w:pPr>
      <w:r>
        <w:t xml:space="preserve">Todas as alterações devem seguir o mapeamento de pastas da V3: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src/orchestration/</w:t>
      </w:r>
      <w:r>
        <w:t xml:space="preserve">: Lógica central e agentes.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src/security/</w:t>
      </w:r>
      <w:r>
        <w:t xml:space="preserve">: Protocolos de segurança e auditoria.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src/rag/</w:t>
      </w:r>
      <w:r>
        <w:t xml:space="preserve">: Base de conhecimento e memória.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: Parâmetros e prompts de sistema.</w:t>
      </w:r>
    </w:p>
    <w:p>
      <w:pPr>
        <w:pStyle w:val="Heading2"/>
      </w:pPr>
      <w:bookmarkStart w:id="29" w:name="prevenção-de-alucinações"/>
      <w:r>
        <w:t xml:space="preserve">5. Prevenção de Alucinações</w:t>
      </w:r>
      <w:bookmarkEnd w:id="29"/>
    </w:p>
    <w:p>
      <w:pPr>
        <w:pStyle w:val="FirstParagraph"/>
      </w:pPr>
      <w:r>
        <w:t xml:space="preserve">O sistema conta com uma camada de validação anti-alucinação que confronta as respostas geradas com os dados recuperados do RAG antes da exibição ao usuário final.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Versão:</w:t>
      </w:r>
      <w:r>
        <w:t xml:space="preserve"> </w:t>
      </w:r>
      <w:r>
        <w:t xml:space="preserve">3.0.0</w:t>
      </w:r>
      <w:r>
        <w:t xml:space="preserve"> </w:t>
      </w:r>
      <w:r>
        <w:rPr>
          <w:b/>
        </w:rPr>
        <w:t xml:space="preserve">Data de Atualização:</w:t>
      </w:r>
      <w:r>
        <w:t xml:space="preserve"> </w:t>
      </w:r>
      <w:r>
        <w:t xml:space="preserve">19 de Abril de 2026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2026-04-19T20:36:04Z</dcterms:created>
  <dcterms:modified xsi:type="dcterms:W3CDTF">2026-04-19T20:36:04Z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