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p>
      <w:pPr>
        <w:spacing w:after="160"/>
      </w:pPr>
    </w:p>
    <w:p>
      <w:pPr>
        <w:jc w:val="center"/>
      </w:pPr>
      <w:r>
        <w:rPr>
          <w:rFonts w:ascii="Arial" w:cs="Arial" w:eastAsia="Arial" w:hAnsi="Arial"/>
          <w:b/>
          <w:bCs/>
          <w:color w:val="6C3FC5"/>
          <w:sz w:val="72"/>
          <w:szCs w:val="72"/>
        </w:rPr>
        <w:t xml:space="preserve">RAVENA AI</w:t>
      </w:r>
    </w:p>
    <w:p>
      <w:pPr>
        <w:spacing w:after="80"/>
        <w:jc w:val="center"/>
      </w:pPr>
      <w:r>
        <w:rPr>
          <w:rFonts w:ascii="Arial" w:cs="Arial" w:eastAsia="Arial" w:hAnsi="Arial"/>
          <w:color w:val="1E293B"/>
          <w:sz w:val="36"/>
          <w:szCs w:val="36"/>
        </w:rPr>
        <w:t xml:space="preserve">Adendo à Fase 3 — Protocolo de Lockdown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Revisão: V2.2 — Custódia Supervisionada</w:t>
      </w:r>
    </w:p>
    <w:p>
      <w:pPr>
        <w:spacing w:after="4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Diretriz: Transição de Execução Automática para Custódia Supervisionada</w:t>
      </w:r>
    </w:p>
    <w:p>
      <w:pPr>
        <w:pBdr>
          <w:bottom w:val="single" w:color="6C3FC5" w:sz="6" w:space="1"/>
        </w:pBdr>
        <w:spacing w:after="200" w:before="200"/>
      </w:pPr>
    </w:p>
    <w:p>
      <w:pPr>
        <w:spacing w:after="80"/>
        <w:jc w:val="center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Versão: 2.2  ·  Status: Fechado  ·  Abril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DC2626"/>
          <w:sz w:val="18"/>
          <w:szCs w:val="18"/>
        </w:rPr>
        <w:t xml:space="preserve">Ambiente: Uso Interno — Arquiteto Único</w:t>
      </w:r>
    </w:p>
    <w:p>
      <w:pPr>
        <w:spacing w:after="160"/>
      </w:pPr>
    </w:p>
    <w:p>
      <w:pPr>
        <w:spacing w:after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Contexto e Motivação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versão V2.1 do Protocolo de Lockdown previa execução automática do Nível 0 (destruição e sequestro de dados) ao detectar violações de segurança. A V2.2 substitui esse modelo por Custódia Supervisionada: o sistema congela e preserva, mas apenas o Arquiteto executa o permanente.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Esta decisão também endereça o gargalo jurídico identificado: sem precedente legal consolidado para lockdown automático de dados por IA, a soberania da decisão final permanece humana.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FC5" w:sz="4"/>
              <w:left w:val="single" w:color="6C3FC5" w:sz="4"/>
              <w:bottom w:val="single" w:color="6C3FC5" w:sz="4"/>
              <w:right w:val="single" w:color="6C3FC5" w:sz="4"/>
            </w:tcBorders>
            <w:shd w:fill="EDE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FC5"/>
                <w:sz w:val="22"/>
                <w:szCs w:val="22"/>
              </w:rPr>
              <w:t xml:space="preserve">Princípio Central da V2.2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sistema detecta, congela e notifica. Só o Arquiteto destrói ou restaura.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Nenhuma ação permanente é executada sem confirmação humana explícita.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Todo evento gera log de auditoria imutável antes de qualquer outra ação.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1. Limiares de Decisão Calibrados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Os limiares foram definidos com base em calibração empírica (Relatório de Calibração V2.1, Manus AI, Abril 2026), com 58 testes e 100% de sucesso.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6C3FC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61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6C3FC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do Sistema</w:t>
            </w:r>
          </w:p>
        </w:tc>
      </w:tr>
      <w:tr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Score &gt; 0.60</w:t>
            </w:r>
          </w:p>
        </w:tc>
        <w:tc>
          <w:tcPr>
            <w:tcW w:type="dxa" w:w="6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BLOQUEADO — Processo suspenso. Dados em Read-Only. Notificação imediata ao Arquiteto.</w:t>
            </w:r>
          </w:p>
        </w:tc>
      </w:tr>
      <w:tr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Score &gt; 0.55</w:t>
            </w:r>
          </w:p>
        </w:tc>
        <w:tc>
          <w:tcPr>
            <w:tcW w:type="dxa" w:w="6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ALERTA — Entrada processada com aviso. Contador de violações incrementado.</w:t>
            </w:r>
          </w:p>
        </w:tc>
      </w:tr>
      <w:tr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Violações ≥ 3</w:t>
            </w:r>
          </w:p>
        </w:tc>
        <w:tc>
          <w:tcPr>
            <w:tcW w:type="dxa" w:w="6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EMERGÊNCIA — Protocolo Nível 0 acionado. Aguarda confirmação do Arquiteto.</w:t>
            </w:r>
          </w:p>
        </w:tc>
      </w:tr>
      <w:tr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Abaixo de 0.55</w:t>
            </w:r>
          </w:p>
        </w:tc>
        <w:tc>
          <w:tcPr>
            <w:tcW w:type="dxa" w:w="6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APROVADO — Fluxo normal. Sem restrições.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Nota de Calibração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Há sobreposição entre categorias nos scores (0.48–0.72). Os limiares equilibram falsos positivos e negativos,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priorizando contenção sem derrubar fluxos legítimos. Revisão recomendada a cada 90 dias com novos dados reais.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2. O Gatilho de Contenção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Ao atingir score &gt; 0.60, o sistema executa imediatamente e nesta ordem: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Congela o processo suspeito em tempo real (sem derrubar o sistema inteiro).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Coloca os bancos de dados críticos em modo Read-Only — leitura permitida, escrita e exportação bloqueadas.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Registra o evento no log de auditoria imutável com timestamp, score, input origem e estado do sistema.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Dispara notificação out-of-band ao Arquiteto (ver Seção 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Aguarda. Nenhuma destruição ou lockdown permanente ocorre automaticamente.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O que NÃO acontece automaticamente na V2.2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Destruição de dados (trituration). Exige confirmação do Arquiteto.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Derrubada permanente de conta. Exige confirmação do Arquiteto.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Nível 0 Final. Exige confirmação do Arquiteto via comando autenticado PQC.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3. Canal de Notificação (Out-of-Band)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disparo de notificação é imediato e separado da infraestrutura principal para não ser comprometido junto com o sistema.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Conteúdo do Alerta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SCORE_VETORIAL: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Valor exato do score de ameaça detectado.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INPUT_ORIGEM: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Texto ou comando exato que disparou o alarme (prova forense).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STATUS_SISTEMA: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Confirmação de que os dados estão em Custódia de Segurança (Read-Only).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TIMESTAMP: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Data, hora e contexto técnico integral do evento.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AÇÕES_DISPONÍVEIS: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Códigos válidos para o Arquiteto responder ao evento.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Recomendação de Canal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Canal primário: e-mail de emergência dedicado (emergencia.ravena@...).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Canal secundário recomendado para escala futura: webhook externo (Telegram Bot, SMS ou similar).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Motivo: e-mail está na mesma infraestrutura digital. Canal alternativo garante recebimento mesmo sob ataque.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4. A Chave de Anistia — Soberania do Arquiteto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Arquiteto tem autoridade total sobre o desfecho de qualquer evento de contenção. Dois comandos estão disponíveis: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6C3FC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1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6C3FC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Efeito</w:t>
            </w:r>
          </w:p>
        </w:tc>
      </w:tr>
      <w:tr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RESTAURAR_FLUXO</w:t>
            </w:r>
          </w:p>
        </w:tc>
        <w:tc>
          <w:tcPr>
            <w:tcW w:type="dxa" w:w="6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Libera o congelamento, limpa o cache do Juiz e registra o evento como falso positivo. O Juiz aprende com a correção.</w:t>
            </w:r>
          </w:p>
        </w:tc>
      </w:tr>
      <w:tr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CONFIRMAR_NIVEL_0</w:t>
            </w:r>
          </w:p>
        </w:tc>
        <w:tc>
          <w:tcPr>
            <w:tcW w:type="dxa" w:w="6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Executa o Lockdown Permanente: bloqueio total, retenção por 30 dias e trituration após o prazo.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Segurança dos Comandos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Ambos os comandos exigem assinatura criptográfica PQC (ML-KEM) para validação.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Cada token de comando é de uso único — não pode ser reutilizado ou replicado.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Token fixo ou hardcoded é considerado violação de segurança e anula o próprio comando.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Canal de envio do comando deve ser separado do canal de notificação.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5. Cláusula de Transparência Automática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cada evento de contenção, o sistema gera automaticamente um log de auditoria externa com a justificativa: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Texto do Log de Auditoria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“Operação suspensa preventivamente sob a Diretriz de Preservação Ravena AI V2.2.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Dados em Custódia de Segurança (Read-Only). Aguardando validação do Arquiteto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para restauração (RESTAURAR_FLUXO) ou bloqueio definitivo (CONFIRMAR_NIVEL_0).”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Objetivo: transforma juridicamente o ato de contenção de “sequestro de dados” em “manutenção corretiva de segurança supervisionada”, com trilha auditável e decisão humana documentada.</w:t>
      </w:r>
    </w:p>
    <w:p>
      <w:pPr>
        <w:spacing w:after="160"/>
      </w:pPr>
    </w:p>
    <w:p>
      <w:pPr>
        <w:spacing w:after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75569"/>
          <w:sz w:val="36"/>
          <w:szCs w:val="36"/>
        </w:rPr>
        <w:t xml:space="preserve">6. Cláusulas Latentes — Escala Futura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 cláusulas abaixo existem neste documento mas permanecem INATIVAS até ativação explícita pelo Arquiteto ao migrar para ambiente multiusuário.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2"/>
                <w:szCs w:val="22"/>
              </w:rPr>
              <w:t xml:space="preserve">STATUS: INATIVO — Ambiente Interno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Termo de uso com cláusula de lockdown assinado por usuários externos.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Limiares diferenciados por perfil: user_type internal | external.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Nível 0 automático desabilitado para externos — sempre Custódia Supervisionada.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 legal LGPD documentada no ROPA (registro de atividades de tratamento).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Canal out-of-band secundário obrigatório (webhook externo além de e-mail).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Auditoria externa com hash imutável por blockchain ou notarização digital.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Bdr>
          <w:bottom w:val="single" w:color="6C3FC5" w:sz="6" w:space="1"/>
        </w:pBdr>
        <w:spacing w:after="200" w:before="200"/>
      </w:pPr>
    </w:p>
    <w:p>
      <w:pPr>
        <w:spacing w:before="160"/>
        <w:jc w:val="center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Ravena AI  ·  Adendo V2.2  ·  Fechado  ·  Abril 2026  ·  Uso Interno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2026-04-01T16:53:07.157Z</dcterms:created>
  <dcterms:modified xsi:type="dcterms:W3CDTF">2026-04-01T16:53:07.158Z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