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440"/>
        <w:jc w:val="left"/>
      </w:pPr>
      <w:r>
        <w:drawing>
          <wp:inline>
            <wp:extent cx="1097280" cy="80208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cras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80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Open Sans" w:hAnsi="Open Sans"/>
          <w:b/>
          <w:color w:val="64748B"/>
          <w:sz w:val="22"/>
        </w:rPr>
        <w:t>DOCUMENTAÇÃO TÉCNICA</w:t>
      </w:r>
    </w:p>
    <w:p>
      <w:pPr>
        <w:pStyle w:val="Title"/>
        <w:spacing w:after="360"/>
      </w:pPr>
      <w:r>
        <w:t>Componente Curricular</w:t>
        <w:br/>
        <w:t>de ASG e ODS</w:t>
      </w:r>
    </w:p>
    <w:p>
      <w:pPr>
        <w:pStyle w:val="Subtitle"/>
        <w:spacing w:after="500"/>
      </w:pPr>
      <w:r>
        <w:t>Portal institucional e manifestação de interesse</w:t>
      </w:r>
    </w:p>
    <w:p>
      <w:pPr>
        <w:spacing w:after="520"/>
        <w:jc w:val="left"/>
      </w:pPr>
      <w:r>
        <w:rPr>
          <w:color w:val="233B82"/>
          <w:sz w:val="24"/>
        </w:rPr>
        <w:t>Conselho Regional de Administração de São Paulo</w:t>
        <w:br/>
        <w:t>CRA-SP</w:t>
      </w:r>
    </w:p>
    <w:p>
      <w:pPr>
        <w:spacing w:after="140"/>
        <w:jc w:val="left"/>
      </w:pPr>
      <w:r>
        <w:rPr>
          <w:sz w:val="19"/>
        </w:rPr>
        <w:t>Edição 1.0 · 13 de outubro de 2026</w:t>
      </w:r>
    </w:p>
    <w:p>
      <w:pPr>
        <w:spacing w:after="140"/>
        <w:jc w:val="left"/>
      </w:pPr>
      <w:r>
        <w:rPr>
          <w:sz w:val="19"/>
        </w:rPr>
        <w:t>Repositório: desenvolvimentoprofissional-oss/asg-ods</w:t>
      </w:r>
    </w:p>
    <w:p>
      <w:pPr>
        <w:spacing w:after="140"/>
        <w:jc w:val="left"/>
      </w:pPr>
      <w:r>
        <w:rPr>
          <w:sz w:val="19"/>
        </w:rPr>
        <w:t>Código de referência: main · 9a126c6</w:t>
      </w:r>
    </w:p>
    <w:p>
      <w:pPr>
        <w:spacing w:after="140"/>
        <w:jc w:val="left"/>
      </w:pPr>
      <w:r>
        <w:rPr>
          <w:sz w:val="19"/>
        </w:rPr>
        <w:t>Revisão completa: 9a126c65ba902e19b31bc695be0ccc172df7167f</w:t>
      </w:r>
    </w:p>
    <w:p>
      <w:r>
        <w:br w:type="page"/>
      </w:r>
    </w:p>
    <w:p>
      <w:pPr>
        <w:pStyle w:val="Title"/>
        <w:spacing w:after="360"/>
      </w:pPr>
      <w:r>
        <w:t>Sumário</w:t>
      </w:r>
    </w:p>
    <w:p w:rsidR="00000001">
      <w:pPr>
        <w:pStyle w:val="DocTOC1"/>
        <w:tabs>
          <w:tab w:pos="9383" w:val="right" w:leader="dot"/>
        </w:tabs>
      </w:pPr>
      <w:hyperlink w:anchor="docsec_001" w:history="1">
        <w:r>
          <w:rPr>
            <w:color w:val="233B82"/>
          </w:rPr>
          <w:t>1. Resultados externos e identificação do documento</w:t>
        </w:r>
        <w:r>
          <w:tab/>
        </w:r>
        <w:r>
          <w:t>4</w:t>
        </w:r>
      </w:hyperlink>
    </w:p>
    <w:p w:rsidR="00000002">
      <w:pPr>
        <w:pStyle w:val="DocTOC2"/>
        <w:tabs>
          <w:tab w:pos="9383" w:val="right" w:leader="dot"/>
        </w:tabs>
        <w:ind w:left="255"/>
      </w:pPr>
      <w:hyperlink w:anchor="docsec_002" w:history="1">
        <w:r>
          <w:rPr>
            <w:color w:val="233B82"/>
          </w:rPr>
          <w:t>1.1 Quadro de resultados dos scanners</w:t>
        </w:r>
        <w:r>
          <w:tab/>
        </w:r>
        <w:r>
          <w:t>4</w:t>
        </w:r>
      </w:hyperlink>
    </w:p>
    <w:p w:rsidR="00000003">
      <w:pPr>
        <w:pStyle w:val="DocTOC2"/>
        <w:tabs>
          <w:tab w:pos="9383" w:val="right" w:leader="dot"/>
        </w:tabs>
        <w:ind w:left="255"/>
      </w:pPr>
      <w:hyperlink w:anchor="docsec_003" w:history="1">
        <w:r>
          <w:rPr>
            <w:color w:val="233B82"/>
          </w:rPr>
          <w:t>1.2 Indicadores complementares apresentados</w:t>
        </w:r>
        <w:r>
          <w:tab/>
        </w:r>
        <w:r>
          <w:t>4</w:t>
        </w:r>
      </w:hyperlink>
    </w:p>
    <w:p w:rsidR="00000004">
      <w:pPr>
        <w:pStyle w:val="DocTOC2"/>
        <w:tabs>
          <w:tab w:pos="9383" w:val="right" w:leader="dot"/>
        </w:tabs>
        <w:ind w:left="255"/>
      </w:pPr>
      <w:hyperlink w:anchor="docsec_004" w:history="1">
        <w:r>
          <w:rPr>
            <w:color w:val="233B82"/>
          </w:rPr>
          <w:t>1.3 Identificação e metodologia documental</w:t>
        </w:r>
        <w:r>
          <w:tab/>
        </w:r>
        <w:r>
          <w:t>5</w:t>
        </w:r>
      </w:hyperlink>
    </w:p>
    <w:p w:rsidR="00000005">
      <w:pPr>
        <w:pStyle w:val="DocTOC1"/>
        <w:tabs>
          <w:tab w:pos="9383" w:val="right" w:leader="dot"/>
        </w:tabs>
      </w:pPr>
      <w:hyperlink w:anchor="docsec_005" w:history="1">
        <w:r>
          <w:rPr>
            <w:color w:val="233B82"/>
          </w:rPr>
          <w:t>2. Visão do produto e arquitetura</w:t>
        </w:r>
        <w:r>
          <w:tab/>
        </w:r>
        <w:r>
          <w:t>6</w:t>
        </w:r>
      </w:hyperlink>
    </w:p>
    <w:p w:rsidR="00000006">
      <w:pPr>
        <w:pStyle w:val="DocTOC2"/>
        <w:tabs>
          <w:tab w:pos="9383" w:val="right" w:leader="dot"/>
        </w:tabs>
        <w:ind w:left="255"/>
      </w:pPr>
      <w:hyperlink w:anchor="docsec_006" w:history="1">
        <w:r>
          <w:rPr>
            <w:color w:val="233B82"/>
          </w:rPr>
          <w:t>2.1 Finalidade e público</w:t>
        </w:r>
        <w:r>
          <w:tab/>
        </w:r>
        <w:r>
          <w:t>6</w:t>
        </w:r>
      </w:hyperlink>
    </w:p>
    <w:p w:rsidR="00000007">
      <w:pPr>
        <w:pStyle w:val="DocTOC2"/>
        <w:tabs>
          <w:tab w:pos="9383" w:val="right" w:leader="dot"/>
        </w:tabs>
        <w:ind w:left="255"/>
      </w:pPr>
      <w:hyperlink w:anchor="docsec_007" w:history="1">
        <w:r>
          <w:rPr>
            <w:color w:val="233B82"/>
          </w:rPr>
          <w:t>2.2 Estrutura do componente curricular</w:t>
        </w:r>
        <w:r>
          <w:tab/>
        </w:r>
        <w:r>
          <w:t>6</w:t>
        </w:r>
      </w:hyperlink>
    </w:p>
    <w:p w:rsidR="00000008">
      <w:pPr>
        <w:pStyle w:val="DocTOC2"/>
        <w:tabs>
          <w:tab w:pos="9383" w:val="right" w:leader="dot"/>
        </w:tabs>
        <w:ind w:left="255"/>
      </w:pPr>
      <w:hyperlink w:anchor="docsec_008" w:history="1">
        <w:r>
          <w:rPr>
            <w:color w:val="233B82"/>
          </w:rPr>
          <w:t>2.3 Mapa de páginas e percurso de navegação</w:t>
        </w:r>
        <w:r>
          <w:tab/>
        </w:r>
        <w:r>
          <w:t>7</w:t>
        </w:r>
      </w:hyperlink>
    </w:p>
    <w:p w:rsidR="00000009">
      <w:pPr>
        <w:pStyle w:val="DocTOC2"/>
        <w:tabs>
          <w:tab w:pos="9383" w:val="right" w:leader="dot"/>
        </w:tabs>
        <w:ind w:left="255"/>
      </w:pPr>
      <w:hyperlink w:anchor="docsec_009" w:history="1">
        <w:r>
          <w:rPr>
            <w:color w:val="233B82"/>
          </w:rPr>
          <w:t>2.4 Composição da interface</w:t>
        </w:r>
        <w:r>
          <w:tab/>
        </w:r>
        <w:r>
          <w:t>8</w:t>
        </w:r>
      </w:hyperlink>
    </w:p>
    <w:p w:rsidR="0000000A">
      <w:pPr>
        <w:pStyle w:val="DocTOC2"/>
        <w:tabs>
          <w:tab w:pos="9383" w:val="right" w:leader="dot"/>
        </w:tabs>
        <w:ind w:left="255"/>
      </w:pPr>
      <w:hyperlink w:anchor="docsec_010" w:history="1">
        <w:r>
          <w:rPr>
            <w:color w:val="233B82"/>
          </w:rPr>
          <w:t>2.5 Catálogos, textos e identidade visual</w:t>
        </w:r>
        <w:r>
          <w:tab/>
        </w:r>
        <w:r>
          <w:t>9</w:t>
        </w:r>
      </w:hyperlink>
    </w:p>
    <w:p w:rsidR="0000000B">
      <w:pPr>
        <w:pStyle w:val="DocTOC2"/>
        <w:tabs>
          <w:tab w:pos="9383" w:val="right" w:leader="dot"/>
        </w:tabs>
        <w:ind w:left="255"/>
      </w:pPr>
      <w:hyperlink w:anchor="docsec_011" w:history="1">
        <w:r>
          <w:rPr>
            <w:color w:val="233B82"/>
          </w:rPr>
          <w:t>2.6 Interações de conteúdo e recursos globais</w:t>
        </w:r>
        <w:r>
          <w:tab/>
        </w:r>
        <w:r>
          <w:t>9</w:t>
        </w:r>
      </w:hyperlink>
    </w:p>
    <w:p w:rsidR="0000000C">
      <w:pPr>
        <w:pStyle w:val="DocTOC2"/>
        <w:tabs>
          <w:tab w:pos="9383" w:val="right" w:leader="dot"/>
        </w:tabs>
        <w:ind w:left="255"/>
      </w:pPr>
      <w:hyperlink w:anchor="docsec_012" w:history="1">
        <w:r>
          <w:rPr>
            <w:color w:val="233B82"/>
          </w:rPr>
          <w:t>2.7 Fronteira entre navegador e servidor</w:t>
        </w:r>
        <w:r>
          <w:tab/>
        </w:r>
        <w:r>
          <w:t>9</w:t>
        </w:r>
      </w:hyperlink>
    </w:p>
    <w:p w:rsidR="0000000D">
      <w:pPr>
        <w:pStyle w:val="DocTOC2"/>
        <w:tabs>
          <w:tab w:pos="9383" w:val="right" w:leader="dot"/>
        </w:tabs>
        <w:ind w:left="255"/>
      </w:pPr>
      <w:hyperlink w:anchor="docsec_013" w:history="1">
        <w:r>
          <w:rPr>
            <w:color w:val="233B82"/>
          </w:rPr>
          <w:t>2.8 Manifestação de interesse como ligação entre as camadas</w:t>
        </w:r>
        <w:r>
          <w:tab/>
        </w:r>
        <w:r>
          <w:t>10</w:t>
        </w:r>
      </w:hyperlink>
    </w:p>
    <w:p w:rsidR="0000000E">
      <w:pPr>
        <w:pStyle w:val="DocTOC1"/>
        <w:tabs>
          <w:tab w:pos="9383" w:val="right" w:leader="dot"/>
        </w:tabs>
      </w:pPr>
      <w:hyperlink w:anchor="docsec_014" w:history="1">
        <w:r>
          <w:rPr>
            <w:color w:val="233B82"/>
          </w:rPr>
          <w:t>3. Interface web, navegação e interação</w:t>
        </w:r>
        <w:r>
          <w:tab/>
        </w:r>
        <w:r>
          <w:t>11</w:t>
        </w:r>
      </w:hyperlink>
    </w:p>
    <w:p w:rsidR="0000000F">
      <w:pPr>
        <w:pStyle w:val="DocTOC2"/>
        <w:tabs>
          <w:tab w:pos="9383" w:val="right" w:leader="dot"/>
        </w:tabs>
        <w:ind w:left="255"/>
      </w:pPr>
      <w:hyperlink w:anchor="docsec_015" w:history="1">
        <w:r>
          <w:rPr>
            <w:color w:val="233B82"/>
          </w:rPr>
          <w:t>3.1 Montagem e composição da aplicação</w:t>
        </w:r>
        <w:r>
          <w:tab/>
        </w:r>
        <w:r>
          <w:t>11</w:t>
        </w:r>
      </w:hyperlink>
    </w:p>
    <w:p w:rsidR="00000010">
      <w:pPr>
        <w:pStyle w:val="DocTOC2"/>
        <w:tabs>
          <w:tab w:pos="9383" w:val="right" w:leader="dot"/>
        </w:tabs>
        <w:ind w:left="255"/>
      </w:pPr>
      <w:hyperlink w:anchor="docsec_016" w:history="1">
        <w:r>
          <w:rPr>
            <w:color w:val="233B82"/>
          </w:rPr>
          <w:t>3.2 Rotas e páginas</w:t>
        </w:r>
        <w:r>
          <w:tab/>
        </w:r>
        <w:r>
          <w:t>11</w:t>
        </w:r>
      </w:hyperlink>
    </w:p>
    <w:p w:rsidR="00000011">
      <w:pPr>
        <w:pStyle w:val="DocTOC2"/>
        <w:tabs>
          <w:tab w:pos="9383" w:val="right" w:leader="dot"/>
        </w:tabs>
        <w:ind w:left="255"/>
      </w:pPr>
      <w:hyperlink w:anchor="docsec_017" w:history="1">
        <w:r>
          <w:rPr>
            <w:color w:val="233B82"/>
          </w:rPr>
          <w:t>3.3 Layouts e navegação institucional</w:t>
        </w:r>
        <w:r>
          <w:tab/>
        </w:r>
        <w:r>
          <w:t>12</w:t>
        </w:r>
      </w:hyperlink>
    </w:p>
    <w:p w:rsidR="00000012">
      <w:pPr>
        <w:pStyle w:val="DocTOC2"/>
        <w:tabs>
          <w:tab w:pos="9383" w:val="right" w:leader="dot"/>
        </w:tabs>
        <w:ind w:left="255"/>
      </w:pPr>
      <w:hyperlink w:anchor="docsec_018" w:history="1">
        <w:r>
          <w:rPr>
            <w:color w:val="233B82"/>
          </w:rPr>
          <w:t>3.4 Formulário e seus componentes</w:t>
        </w:r>
        <w:r>
          <w:tab/>
        </w:r>
        <w:r>
          <w:t>12</w:t>
        </w:r>
      </w:hyperlink>
    </w:p>
    <w:p w:rsidR="00000013">
      <w:pPr>
        <w:pStyle w:val="DocTOC2"/>
        <w:tabs>
          <w:tab w:pos="9383" w:val="right" w:leader="dot"/>
        </w:tabs>
        <w:ind w:left="255"/>
      </w:pPr>
      <w:hyperlink w:anchor="docsec_019" w:history="1">
        <w:r>
          <w:rPr>
            <w:color w:val="233B82"/>
          </w:rPr>
          <w:t>3.5 Envio, mensagens e confirmação</w:t>
        </w:r>
        <w:r>
          <w:tab/>
        </w:r>
        <w:r>
          <w:t>13</w:t>
        </w:r>
      </w:hyperlink>
    </w:p>
    <w:p w:rsidR="00000014">
      <w:pPr>
        <w:pStyle w:val="DocTOC2"/>
        <w:tabs>
          <w:tab w:pos="9383" w:val="right" w:leader="dot"/>
        </w:tabs>
        <w:ind w:left="255"/>
      </w:pPr>
      <w:hyperlink w:anchor="docsec_020" w:history="1">
        <w:r>
          <w:rPr>
            <w:color w:val="233B82"/>
          </w:rPr>
          <w:t>3.6 Preferências de acessibilidade e sincronização visual</w:t>
        </w:r>
        <w:r>
          <w:tab/>
        </w:r>
        <w:r>
          <w:t>14</w:t>
        </w:r>
      </w:hyperlink>
    </w:p>
    <w:p w:rsidR="00000015">
      <w:pPr>
        <w:pStyle w:val="DocTOC2"/>
        <w:tabs>
          <w:tab w:pos="9383" w:val="right" w:leader="dot"/>
        </w:tabs>
        <w:ind w:left="255"/>
      </w:pPr>
      <w:hyperlink w:anchor="docsec_021" w:history="1">
        <w:r>
          <w:rPr>
            <w:color w:val="233B82"/>
          </w:rPr>
          <w:t>3.7 Diálogo de governança e privacidade</w:t>
        </w:r>
        <w:r>
          <w:tab/>
        </w:r>
        <w:r>
          <w:t>14</w:t>
        </w:r>
      </w:hyperlink>
    </w:p>
    <w:p w:rsidR="00000016">
      <w:pPr>
        <w:pStyle w:val="DocTOC2"/>
        <w:tabs>
          <w:tab w:pos="9383" w:val="right" w:leader="dot"/>
        </w:tabs>
        <w:ind w:left="255"/>
      </w:pPr>
      <w:hyperlink w:anchor="docsec_022" w:history="1">
        <w:r>
          <w:rPr>
            <w:color w:val="233B82"/>
          </w:rPr>
          <w:t>3.8 Navegação por teclado para apresentação</w:t>
        </w:r>
        <w:r>
          <w:tab/>
        </w:r>
        <w:r>
          <w:t>14</w:t>
        </w:r>
      </w:hyperlink>
    </w:p>
    <w:p w:rsidR="00000017">
      <w:pPr>
        <w:pStyle w:val="DocTOC2"/>
        <w:tabs>
          <w:tab w:pos="9383" w:val="right" w:leader="dot"/>
        </w:tabs>
        <w:ind w:left="255"/>
      </w:pPr>
      <w:hyperlink w:anchor="docsec_023" w:history="1">
        <w:r>
          <w:rPr>
            <w:color w:val="233B82"/>
          </w:rPr>
          <w:t>3.9 Inventário funcional de componentes</w:t>
        </w:r>
        <w:r>
          <w:tab/>
        </w:r>
        <w:r>
          <w:t>15</w:t>
        </w:r>
      </w:hyperlink>
    </w:p>
    <w:p w:rsidR="00000018">
      <w:pPr>
        <w:pStyle w:val="DocTOC1"/>
        <w:tabs>
          <w:tab w:pos="9383" w:val="right" w:leader="dot"/>
        </w:tabs>
      </w:pPr>
      <w:hyperlink w:anchor="docsec_024" w:history="1">
        <w:r>
          <w:rPr>
            <w:color w:val="233B82"/>
          </w:rPr>
          <w:t>4. Backend, API e processamento das requisições</w:t>
        </w:r>
        <w:r>
          <w:tab/>
        </w:r>
        <w:r>
          <w:t>16</w:t>
        </w:r>
      </w:hyperlink>
    </w:p>
    <w:p w:rsidR="00000019">
      <w:pPr>
        <w:pStyle w:val="DocTOC2"/>
        <w:tabs>
          <w:tab w:pos="9383" w:val="right" w:leader="dot"/>
        </w:tabs>
        <w:ind w:left="255"/>
      </w:pPr>
      <w:hyperlink w:anchor="docsec_025" w:history="1">
        <w:r>
          <w:rPr>
            <w:color w:val="233B82"/>
          </w:rPr>
          <w:t>4.1 Organização do servidor</w:t>
        </w:r>
        <w:r>
          <w:tab/>
        </w:r>
        <w:r>
          <w:t>16</w:t>
        </w:r>
      </w:hyperlink>
    </w:p>
    <w:p w:rsidR="0000001A">
      <w:pPr>
        <w:pStyle w:val="DocTOC2"/>
        <w:tabs>
          <w:tab w:pos="9383" w:val="right" w:leader="dot"/>
        </w:tabs>
        <w:ind w:left="255"/>
      </w:pPr>
      <w:hyperlink w:anchor="docsec_026" w:history="1">
        <w:r>
          <w:rPr>
            <w:color w:val="233B82"/>
          </w:rPr>
          <w:t>4.2 Ordem dos middlewares</w:t>
        </w:r>
        <w:r>
          <w:tab/>
        </w:r>
        <w:r>
          <w:t>16</w:t>
        </w:r>
      </w:hyperlink>
    </w:p>
    <w:p w:rsidR="0000001B">
      <w:pPr>
        <w:pStyle w:val="DocTOC2"/>
        <w:tabs>
          <w:tab w:pos="9383" w:val="right" w:leader="dot"/>
        </w:tabs>
        <w:ind w:left="255"/>
      </w:pPr>
      <w:hyperlink w:anchor="docsec_027" w:history="1">
        <w:r>
          <w:rPr>
            <w:color w:val="233B82"/>
          </w:rPr>
          <w:t>4.3 Rotas e entrega de arquivos</w:t>
        </w:r>
        <w:r>
          <w:tab/>
        </w:r>
        <w:r>
          <w:t>17</w:t>
        </w:r>
      </w:hyperlink>
    </w:p>
    <w:p w:rsidR="0000001C">
      <w:pPr>
        <w:pStyle w:val="DocTOC2"/>
        <w:tabs>
          <w:tab w:pos="9383" w:val="right" w:leader="dot"/>
        </w:tabs>
        <w:ind w:left="255"/>
      </w:pPr>
      <w:hyperlink w:anchor="docsec_028" w:history="1">
        <w:r>
          <w:rPr>
            <w:color w:val="233B82"/>
          </w:rPr>
          <w:t>4.4 Contrato de entrada do cadastro</w:t>
        </w:r>
        <w:r>
          <w:tab/>
        </w:r>
        <w:r>
          <w:t>17</w:t>
        </w:r>
      </w:hyperlink>
    </w:p>
    <w:p w:rsidR="0000001D">
      <w:pPr>
        <w:pStyle w:val="DocTOC2"/>
        <w:tabs>
          <w:tab w:pos="9383" w:val="right" w:leader="dot"/>
        </w:tabs>
        <w:ind w:left="255"/>
      </w:pPr>
      <w:hyperlink w:anchor="docsec_029" w:history="1">
        <w:r>
          <w:rPr>
            <w:color w:val="233B82"/>
          </w:rPr>
          <w:t>4.5 Respostas HTTP e integração com o cliente</w:t>
        </w:r>
        <w:r>
          <w:tab/>
        </w:r>
        <w:r>
          <w:t>17</w:t>
        </w:r>
      </w:hyperlink>
    </w:p>
    <w:p w:rsidR="0000001E">
      <w:pPr>
        <w:pStyle w:val="DocTOC2"/>
        <w:tabs>
          <w:tab w:pos="9383" w:val="right" w:leader="dot"/>
        </w:tabs>
        <w:ind w:left="255"/>
      </w:pPr>
      <w:hyperlink w:anchor="docsec_030" w:history="1">
        <w:r>
          <w:rPr>
            <w:color w:val="233B82"/>
          </w:rPr>
          <w:t>4.6 Caminho completo de uma manifestação</w:t>
        </w:r>
        <w:r>
          <w:tab/>
        </w:r>
        <w:r>
          <w:t>18</w:t>
        </w:r>
      </w:hyperlink>
    </w:p>
    <w:p w:rsidR="0000001F">
      <w:pPr>
        <w:pStyle w:val="DocTOC1"/>
        <w:tabs>
          <w:tab w:pos="9383" w:val="right" w:leader="dot"/>
        </w:tabs>
      </w:pPr>
      <w:hyperlink w:anchor="docsec_031" w:history="1">
        <w:r>
          <w:rPr>
            <w:color w:val="233B82"/>
          </w:rPr>
          <w:t>5. Configuração Firebase, organização dos dados e criptografia</w:t>
        </w:r>
        <w:r>
          <w:tab/>
        </w:r>
        <w:r>
          <w:t>19</w:t>
        </w:r>
      </w:hyperlink>
    </w:p>
    <w:p w:rsidR="00000020">
      <w:pPr>
        <w:pStyle w:val="DocTOC2"/>
        <w:tabs>
          <w:tab w:pos="9383" w:val="right" w:leader="dot"/>
        </w:tabs>
        <w:ind w:left="255"/>
      </w:pPr>
      <w:hyperlink w:anchor="docsec_032" w:history="1">
        <w:r>
          <w:rPr>
            <w:color w:val="233B82"/>
          </w:rPr>
          <w:t>5.1 Seleção do projeto e da base Firestore</w:t>
        </w:r>
        <w:r>
          <w:tab/>
        </w:r>
        <w:r>
          <w:t>19</w:t>
        </w:r>
      </w:hyperlink>
    </w:p>
    <w:p w:rsidR="00000021">
      <w:pPr>
        <w:pStyle w:val="DocTOC2"/>
        <w:tabs>
          <w:tab w:pos="9383" w:val="right" w:leader="dot"/>
        </w:tabs>
        <w:ind w:left="255"/>
      </w:pPr>
      <w:hyperlink w:anchor="docsec_033" w:history="1">
        <w:r>
          <w:rPr>
            <w:color w:val="233B82"/>
          </w:rPr>
          <w:t>5.2 Coleções e vínculos entre registros</w:t>
        </w:r>
        <w:r>
          <w:tab/>
        </w:r>
        <w:r>
          <w:t>19</w:t>
        </w:r>
      </w:hyperlink>
    </w:p>
    <w:p w:rsidR="00000022">
      <w:pPr>
        <w:pStyle w:val="DocTOC2"/>
        <w:tabs>
          <w:tab w:pos="9383" w:val="right" w:leader="dot"/>
        </w:tabs>
        <w:ind w:left="255"/>
      </w:pPr>
      <w:hyperlink w:anchor="docsec_034" w:history="1">
        <w:r>
          <w:rPr>
            <w:color w:val="233B82"/>
          </w:rPr>
          <w:t>5.3 Documentos agregadores e cálculo de capacidade</w:t>
        </w:r>
        <w:r>
          <w:tab/>
        </w:r>
        <w:r>
          <w:t>20</w:t>
        </w:r>
      </w:hyperlink>
    </w:p>
    <w:p w:rsidR="00000023">
      <w:pPr>
        <w:pStyle w:val="DocTOC2"/>
        <w:tabs>
          <w:tab w:pos="9383" w:val="right" w:leader="dot"/>
        </w:tabs>
        <w:ind w:left="255"/>
      </w:pPr>
      <w:hyperlink w:anchor="docsec_035" w:history="1">
        <w:r>
          <w:rPr>
            <w:color w:val="233B82"/>
          </w:rPr>
          <w:t>5.4 Transação, unicidade e reconstrução do índice</w:t>
        </w:r>
        <w:r>
          <w:tab/>
        </w:r>
        <w:r>
          <w:t>21</w:t>
        </w:r>
      </w:hyperlink>
    </w:p>
    <w:p w:rsidR="00000024">
      <w:pPr>
        <w:pStyle w:val="DocTOC2"/>
        <w:tabs>
          <w:tab w:pos="9383" w:val="right" w:leader="dot"/>
        </w:tabs>
        <w:ind w:left="255"/>
      </w:pPr>
      <w:hyperlink w:anchor="docsec_036" w:history="1">
        <w:r>
          <w:rPr>
            <w:color w:val="233B82"/>
          </w:rPr>
          <w:t>5.5 HMAC, cifragem e formato do cofre</w:t>
        </w:r>
        <w:r>
          <w:tab/>
        </w:r>
        <w:r>
          <w:t>21</w:t>
        </w:r>
      </w:hyperlink>
    </w:p>
    <w:p w:rsidR="00000025">
      <w:pPr>
        <w:pStyle w:val="DocTOC2"/>
        <w:tabs>
          <w:tab w:pos="9383" w:val="right" w:leader="dot"/>
        </w:tabs>
        <w:ind w:left="255"/>
      </w:pPr>
      <w:hyperlink w:anchor="docsec_037" w:history="1">
        <w:r>
          <w:rPr>
            <w:color w:val="233B82"/>
          </w:rPr>
          <w:t>5.6 Mensagens operacionais e sanitização</w:t>
        </w:r>
        <w:r>
          <w:tab/>
        </w:r>
        <w:r>
          <w:t>21</w:t>
        </w:r>
      </w:hyperlink>
    </w:p>
    <w:p w:rsidR="00000026">
      <w:pPr>
        <w:pStyle w:val="DocTOC1"/>
        <w:tabs>
          <w:tab w:pos="9383" w:val="right" w:leader="dot"/>
        </w:tabs>
      </w:pPr>
      <w:hyperlink w:anchor="docsec_038" w:history="1">
        <w:r>
          <w:rPr>
            <w:color w:val="233B82"/>
          </w:rPr>
          <w:t>6. Protocolos HTTP e recursos de distribuição</w:t>
        </w:r>
        <w:r>
          <w:tab/>
        </w:r>
        <w:r>
          <w:t>23</w:t>
        </w:r>
      </w:hyperlink>
    </w:p>
    <w:p w:rsidR="00000027">
      <w:pPr>
        <w:pStyle w:val="DocTOC2"/>
        <w:tabs>
          <w:tab w:pos="9383" w:val="right" w:leader="dot"/>
        </w:tabs>
        <w:ind w:left="255"/>
      </w:pPr>
      <w:hyperlink w:anchor="docsec_039" w:history="1">
        <w:r>
          <w:rPr>
            <w:color w:val="233B82"/>
          </w:rPr>
          <w:t>6.1 Cabeçalhos definidos pelo backend</w:t>
        </w:r>
        <w:r>
          <w:tab/>
        </w:r>
        <w:r>
          <w:t>23</w:t>
        </w:r>
      </w:hyperlink>
    </w:p>
    <w:p w:rsidR="00000028">
      <w:pPr>
        <w:pStyle w:val="DocTOC2"/>
        <w:tabs>
          <w:tab w:pos="9383" w:val="right" w:leader="dot"/>
        </w:tabs>
        <w:ind w:left="255"/>
      </w:pPr>
      <w:hyperlink w:anchor="docsec_040" w:history="1">
        <w:r>
          <w:rPr>
            <w:color w:val="233B82"/>
          </w:rPr>
          <w:t>6.2 Organização da Content Security Policy</w:t>
        </w:r>
        <w:r>
          <w:tab/>
        </w:r>
        <w:r>
          <w:t>23</w:t>
        </w:r>
      </w:hyperlink>
    </w:p>
    <w:p w:rsidR="00000029">
      <w:pPr>
        <w:pStyle w:val="DocTOC2"/>
        <w:tabs>
          <w:tab w:pos="9383" w:val="right" w:leader="dot"/>
        </w:tabs>
        <w:ind w:left="255"/>
      </w:pPr>
      <w:hyperlink w:anchor="docsec_041" w:history="1">
        <w:r>
          <w:rPr>
            <w:color w:val="233B82"/>
          </w:rPr>
          <w:t>6.3 Integridade dos assets e distribuição estática</w:t>
        </w:r>
        <w:r>
          <w:tab/>
        </w:r>
        <w:r>
          <w:t>24</w:t>
        </w:r>
      </w:hyperlink>
    </w:p>
    <w:p w:rsidR="0000002A">
      <w:pPr>
        <w:pStyle w:val="DocTOC2"/>
        <w:tabs>
          <w:tab w:pos="9383" w:val="right" w:leader="dot"/>
        </w:tabs>
        <w:ind w:left="255"/>
      </w:pPr>
      <w:hyperlink w:anchor="docsec_042" w:history="1">
        <w:r>
          <w:rPr>
            <w:color w:val="233B82"/>
          </w:rPr>
          <w:t>6.4 Manifestos e endereços públicos</w:t>
        </w:r>
        <w:r>
          <w:tab/>
        </w:r>
        <w:r>
          <w:t>24</w:t>
        </w:r>
      </w:hyperlink>
    </w:p>
    <w:p w:rsidR="0000002B">
      <w:pPr>
        <w:pStyle w:val="DocTOC1"/>
        <w:tabs>
          <w:tab w:pos="9383" w:val="right" w:leader="dot"/>
        </w:tabs>
      </w:pPr>
      <w:hyperlink w:anchor="docsec_043" w:history="1">
        <w:r>
          <w:rPr>
            <w:color w:val="233B82"/>
          </w:rPr>
          <w:t>7. Operação, configuração e testes</w:t>
        </w:r>
        <w:r>
          <w:tab/>
        </w:r>
        <w:r>
          <w:t>25</w:t>
        </w:r>
      </w:hyperlink>
    </w:p>
    <w:p w:rsidR="0000002C">
      <w:pPr>
        <w:pStyle w:val="DocTOC2"/>
        <w:tabs>
          <w:tab w:pos="9383" w:val="right" w:leader="dot"/>
        </w:tabs>
        <w:ind w:left="255"/>
      </w:pPr>
      <w:hyperlink w:anchor="docsec_044" w:history="1">
        <w:r>
          <w:rPr>
            <w:color w:val="233B82"/>
          </w:rPr>
          <w:t>7.1 Runtime e instalação</w:t>
        </w:r>
        <w:r>
          <w:tab/>
        </w:r>
        <w:r>
          <w:t>25</w:t>
        </w:r>
      </w:hyperlink>
    </w:p>
    <w:p w:rsidR="0000002D">
      <w:pPr>
        <w:pStyle w:val="DocTOC2"/>
        <w:tabs>
          <w:tab w:pos="9383" w:val="right" w:leader="dot"/>
        </w:tabs>
        <w:ind w:left="255"/>
      </w:pPr>
      <w:hyperlink w:anchor="docsec_045" w:history="1">
        <w:r>
          <w:rPr>
            <w:color w:val="233B82"/>
          </w:rPr>
          <w:t>7.2 Comandos disponíveis</w:t>
        </w:r>
        <w:r>
          <w:tab/>
        </w:r>
        <w:r>
          <w:t>25</w:t>
        </w:r>
      </w:hyperlink>
    </w:p>
    <w:p w:rsidR="0000002E">
      <w:pPr>
        <w:pStyle w:val="DocTOC2"/>
        <w:tabs>
          <w:tab w:pos="9383" w:val="right" w:leader="dot"/>
        </w:tabs>
        <w:ind w:left="255"/>
      </w:pPr>
      <w:hyperlink w:anchor="docsec_046" w:history="1">
        <w:r>
          <w:rPr>
            <w:color w:val="233B82"/>
          </w:rPr>
          <w:t>7.3 Desenvolvimento, build e produção</w:t>
        </w:r>
        <w:r>
          <w:tab/>
        </w:r>
        <w:r>
          <w:t>26</w:t>
        </w:r>
      </w:hyperlink>
    </w:p>
    <w:p w:rsidR="0000002F">
      <w:pPr>
        <w:pStyle w:val="DocTOC2"/>
        <w:tabs>
          <w:tab w:pos="9383" w:val="right" w:leader="dot"/>
        </w:tabs>
        <w:ind w:left="255"/>
      </w:pPr>
      <w:hyperlink w:anchor="docsec_047" w:history="1">
        <w:r>
          <w:rPr>
            <w:color w:val="233B82"/>
          </w:rPr>
          <w:t>7.4 Firebase Hosting e Cloud Run</w:t>
        </w:r>
        <w:r>
          <w:tab/>
        </w:r>
        <w:r>
          <w:t>26</w:t>
        </w:r>
      </w:hyperlink>
    </w:p>
    <w:p w:rsidR="00000030">
      <w:pPr>
        <w:pStyle w:val="DocTOC2"/>
        <w:tabs>
          <w:tab w:pos="9383" w:val="right" w:leader="dot"/>
        </w:tabs>
        <w:ind w:left="255"/>
      </w:pPr>
      <w:hyperlink w:anchor="docsec_048" w:history="1">
        <w:r>
          <w:rPr>
            <w:color w:val="233B82"/>
          </w:rPr>
          <w:t>7.5 Variáveis e credenciais</w:t>
        </w:r>
        <w:r>
          <w:tab/>
        </w:r>
        <w:r>
          <w:t>27</w:t>
        </w:r>
      </w:hyperlink>
    </w:p>
    <w:p w:rsidR="00000031">
      <w:pPr>
        <w:pStyle w:val="DocTOC2"/>
        <w:tabs>
          <w:tab w:pos="9383" w:val="right" w:leader="dot"/>
        </w:tabs>
        <w:ind w:left="255"/>
      </w:pPr>
      <w:hyperlink w:anchor="docsec_049" w:history="1">
        <w:r>
          <w:rPr>
            <w:color w:val="233B82"/>
          </w:rPr>
          <w:t>7.6 Organização dos testes</w:t>
        </w:r>
        <w:r>
          <w:tab/>
        </w:r>
        <w:r>
          <w:t>28</w:t>
        </w:r>
      </w:hyperlink>
    </w:p>
    <w:p w:rsidR="00000032">
      <w:pPr>
        <w:pStyle w:val="DocTOC2"/>
        <w:tabs>
          <w:tab w:pos="9383" w:val="right" w:leader="dot"/>
        </w:tabs>
        <w:ind w:left="255"/>
      </w:pPr>
      <w:hyperlink w:anchor="docsec_050" w:history="1">
        <w:r>
          <w:rPr>
            <w:color w:val="233B82"/>
          </w:rPr>
          <w:t>7.7 Métricas e geração de relatórios</w:t>
        </w:r>
        <w:r>
          <w:tab/>
        </w:r>
        <w:r>
          <w:t>28</w:t>
        </w:r>
      </w:hyperlink>
    </w:p>
    <w:p w:rsidR="00000033">
      <w:pPr>
        <w:pStyle w:val="DocTOC2"/>
        <w:tabs>
          <w:tab w:pos="9383" w:val="right" w:leader="dot"/>
        </w:tabs>
        <w:ind w:left="255"/>
      </w:pPr>
      <w:hyperlink w:anchor="docsec_051" w:history="1">
        <w:r>
          <w:rPr>
            <w:color w:val="233B82"/>
          </w:rPr>
          <w:t>7.8 Agregado de código e arquivos públicos</w:t>
        </w:r>
        <w:r>
          <w:tab/>
        </w:r>
        <w:r>
          <w:t>29</w:t>
        </w:r>
      </w:hyperlink>
    </w:p>
    <w:p w:rsidR="00000034">
      <w:pPr>
        <w:pStyle w:val="DocTOC2"/>
        <w:tabs>
          <w:tab w:pos="9383" w:val="right" w:leader="dot"/>
        </w:tabs>
        <w:ind w:left="255"/>
      </w:pPr>
      <w:hyperlink w:anchor="docsec_052" w:history="1">
        <w:r>
          <w:rPr>
            <w:color w:val="233B82"/>
          </w:rPr>
          <w:t>7.9 Catálogo operacional de arquivos</w:t>
        </w:r>
        <w:r>
          <w:tab/>
        </w:r>
        <w:r>
          <w:t>29</w:t>
        </w:r>
      </w:hyperlink>
    </w:p>
    <w:p w:rsidR="00000035">
      <w:pPr>
        <w:pStyle w:val="DocTOC1"/>
        <w:tabs>
          <w:tab w:pos="9383" w:val="right" w:leader="dot"/>
        </w:tabs>
      </w:pPr>
      <w:hyperlink w:anchor="docsec_053" w:history="1">
        <w:r>
          <w:rPr>
            <w:color w:val="233B82"/>
          </w:rPr>
          <w:t>8. Glossário e referências de implementação</w:t>
        </w:r>
        <w:r>
          <w:tab/>
        </w:r>
        <w:r>
          <w:t>31</w:t>
        </w:r>
      </w:hyperlink>
    </w:p>
    <w:p w:rsidR="00000036">
      <w:pPr>
        <w:pStyle w:val="DocTOC2"/>
        <w:tabs>
          <w:tab w:pos="9383" w:val="right" w:leader="dot"/>
        </w:tabs>
        <w:ind w:left="255"/>
      </w:pPr>
      <w:hyperlink w:anchor="docsec_054" w:history="1">
        <w:r>
          <w:rPr>
            <w:color w:val="233B82"/>
          </w:rPr>
          <w:t>8.1 Termos utilizados</w:t>
        </w:r>
        <w:r>
          <w:tab/>
        </w:r>
        <w:r>
          <w:t>31</w:t>
        </w:r>
      </w:hyperlink>
    </w:p>
    <w:p w:rsidR="00000037">
      <w:pPr>
        <w:pStyle w:val="DocTOC2"/>
        <w:tabs>
          <w:tab w:pos="9383" w:val="right" w:leader="dot"/>
        </w:tabs>
        <w:ind w:left="255"/>
      </w:pPr>
      <w:hyperlink w:anchor="docsec_055" w:history="1">
        <w:r>
          <w:rPr>
            <w:color w:val="233B82"/>
          </w:rPr>
          <w:t>8.2 Fontes de implementação</w:t>
        </w:r>
        <w:r>
          <w:tab/>
        </w:r>
        <w:r>
          <w:t>31</w:t>
        </w:r>
      </w:hyperlink>
    </w:p>
    <w:p w:rsidR="00000038">
      <w:pPr>
        <w:pStyle w:val="DocTOC2"/>
        <w:tabs>
          <w:tab w:pos="9383" w:val="right" w:leader="dot"/>
        </w:tabs>
        <w:ind w:left="255"/>
      </w:pPr>
      <w:hyperlink w:anchor="docsec_056" w:history="1">
        <w:r>
          <w:rPr>
            <w:color w:val="233B82"/>
          </w:rPr>
          <w:t>8.3 Referências das ferramentas externas</w:t>
        </w:r>
        <w:r>
          <w:tab/>
        </w:r>
        <w:r>
          <w:t>32</w:t>
        </w:r>
      </w:hyperlink>
    </w:p>
    <w:p w:rsidR="00000039">
      <w:pPr>
        <w:pStyle w:val="DocTOC1"/>
        <w:tabs>
          <w:tab w:pos="9383" w:val="right" w:leader="dot"/>
        </w:tabs>
      </w:pPr>
      <w:hyperlink w:anchor="docsec_057" w:history="1">
        <w:r>
          <w:rPr>
            <w:color w:val="233B82"/>
          </w:rPr>
          <w:t>Anexo A. Páginas da aplicação — desktop</w:t>
        </w:r>
        <w:r>
          <w:tab/>
        </w:r>
        <w:r>
          <w:t>33</w:t>
        </w:r>
      </w:hyperlink>
    </w:p>
    <w:p w:rsidR="0000003A">
      <w:pPr>
        <w:pStyle w:val="DocTOC2"/>
        <w:tabs>
          <w:tab w:pos="9383" w:val="right" w:leader="dot"/>
        </w:tabs>
        <w:ind w:left="255"/>
      </w:pPr>
      <w:hyperlink w:anchor="docsec_058" w:history="1">
        <w:r>
          <w:rPr>
            <w:color w:val="233B82"/>
          </w:rPr>
          <w:t>A.1 Página inicial</w:t>
        </w:r>
        <w:r>
          <w:tab/>
        </w:r>
        <w:r>
          <w:t>33</w:t>
        </w:r>
      </w:hyperlink>
    </w:p>
    <w:p w:rsidR="0000003B">
      <w:pPr>
        <w:pStyle w:val="DocTOC2"/>
        <w:tabs>
          <w:tab w:pos="9383" w:val="right" w:leader="dot"/>
        </w:tabs>
        <w:ind w:left="255"/>
      </w:pPr>
      <w:hyperlink w:anchor="docsec_059" w:history="1">
        <w:r>
          <w:rPr>
            <w:color w:val="233B82"/>
          </w:rPr>
          <w:t>A.2 Chancela institucional</w:t>
        </w:r>
        <w:r>
          <w:tab/>
        </w:r>
        <w:r>
          <w:t>34</w:t>
        </w:r>
      </w:hyperlink>
    </w:p>
    <w:p w:rsidR="0000003C">
      <w:pPr>
        <w:pStyle w:val="DocTOC2"/>
        <w:tabs>
          <w:tab w:pos="9383" w:val="right" w:leader="dot"/>
        </w:tabs>
        <w:ind w:left="255"/>
      </w:pPr>
      <w:hyperlink w:anchor="docsec_060" w:history="1">
        <w:r>
          <w:rPr>
            <w:color w:val="233B82"/>
          </w:rPr>
          <w:t>A.3 Metodologia dinâmica</w:t>
        </w:r>
        <w:r>
          <w:tab/>
        </w:r>
        <w:r>
          <w:t>35</w:t>
        </w:r>
      </w:hyperlink>
    </w:p>
    <w:p w:rsidR="0000003D">
      <w:pPr>
        <w:pStyle w:val="DocTOC2"/>
        <w:tabs>
          <w:tab w:pos="9383" w:val="right" w:leader="dot"/>
        </w:tabs>
        <w:ind w:left="255"/>
      </w:pPr>
      <w:hyperlink w:anchor="docsec_061" w:history="1">
        <w:r>
          <w:rPr>
            <w:color w:val="233B82"/>
          </w:rPr>
          <w:t>A.4 Objetivos de aprendizagem</w:t>
        </w:r>
        <w:r>
          <w:tab/>
        </w:r>
        <w:r>
          <w:t>36</w:t>
        </w:r>
      </w:hyperlink>
    </w:p>
    <w:p w:rsidR="0000003E">
      <w:pPr>
        <w:pStyle w:val="DocTOC2"/>
        <w:tabs>
          <w:tab w:pos="9383" w:val="right" w:leader="dot"/>
        </w:tabs>
        <w:ind w:left="255"/>
      </w:pPr>
      <w:hyperlink w:anchor="docsec_062" w:history="1">
        <w:r>
          <w:rPr>
            <w:color w:val="233B82"/>
          </w:rPr>
          <w:t>A.5 Manifestação de interesse</w:t>
        </w:r>
        <w:r>
          <w:tab/>
        </w:r>
        <w:r>
          <w:t>37</w:t>
        </w:r>
      </w:hyperlink>
    </w:p>
    <w:p w:rsidR="0000003F">
      <w:pPr>
        <w:pStyle w:val="DocTOC1"/>
        <w:tabs>
          <w:tab w:pos="9383" w:val="right" w:leader="dot"/>
        </w:tabs>
      </w:pPr>
      <w:hyperlink w:anchor="docsec_063" w:history="1">
        <w:r>
          <w:rPr>
            <w:color w:val="233B82"/>
          </w:rPr>
          <w:t>Anexo B. Páginas da aplicação — mobile</w:t>
        </w:r>
        <w:r>
          <w:tab/>
        </w:r>
        <w:r>
          <w:t>38</w:t>
        </w:r>
      </w:hyperlink>
    </w:p>
    <w:p w:rsidR="00000040">
      <w:pPr>
        <w:pStyle w:val="DocTOC2"/>
        <w:tabs>
          <w:tab w:pos="9383" w:val="right" w:leader="dot"/>
        </w:tabs>
        <w:ind w:left="255"/>
      </w:pPr>
      <w:hyperlink w:anchor="docsec_064" w:history="1">
        <w:r>
          <w:rPr>
            <w:color w:val="233B82"/>
          </w:rPr>
          <w:t>B.1 Página inicial e Chancela institucional</w:t>
        </w:r>
        <w:r>
          <w:tab/>
        </w:r>
        <w:r>
          <w:t>38</w:t>
        </w:r>
      </w:hyperlink>
    </w:p>
    <w:p w:rsidR="00000041">
      <w:pPr>
        <w:pStyle w:val="DocTOC2"/>
        <w:tabs>
          <w:tab w:pos="9383" w:val="right" w:leader="dot"/>
        </w:tabs>
        <w:ind w:left="255"/>
      </w:pPr>
      <w:hyperlink w:anchor="docsec_065" w:history="1">
        <w:r>
          <w:rPr>
            <w:color w:val="233B82"/>
          </w:rPr>
          <w:t>B.2 Metodologia dinâmica e Objetivos de aprendizagem</w:t>
        </w:r>
        <w:r>
          <w:tab/>
        </w:r>
        <w:r>
          <w:t>39</w:t>
        </w:r>
      </w:hyperlink>
    </w:p>
    <w:p w:rsidR="00000042">
      <w:pPr>
        <w:pStyle w:val="DocTOC2"/>
        <w:tabs>
          <w:tab w:pos="9383" w:val="right" w:leader="dot"/>
        </w:tabs>
        <w:ind w:left="255"/>
      </w:pPr>
      <w:hyperlink w:anchor="docsec_066" w:history="1">
        <w:r>
          <w:rPr>
            <w:color w:val="233B82"/>
          </w:rPr>
          <w:t>B.3 Manifestação de interesse</w:t>
        </w:r>
        <w:r>
          <w:tab/>
        </w:r>
        <w:r>
          <w:t>40</w:t>
        </w:r>
      </w:hyperlink>
    </w:p>
    <w:bookmarkStart w:id="23" w:name="X3f49f035782da5ffa4945f4d98907e2f837ceda"/>
    <w:p>
      <w:pPr>
        <w:pStyle w:val="Heading1"/>
      </w:pPr>
      <w:bookmarkStart w:id="10001" w:name="docsec_001"/>
      <w:r>
        <w:t xml:space="preserve">1. Resultados externos e identificação do documento</w:t>
      </w:r>
      <w:bookmarkEnd w:id="10001"/>
    </w:p>
    <w:bookmarkStart w:id="20" w:name="quadro-de-resultados-dos-scanners"/>
    <w:p>
      <w:pPr>
        <w:pStyle w:val="Heading2"/>
      </w:pPr>
      <w:bookmarkStart w:id="10002" w:name="docsec_002"/>
      <w:r>
        <w:t xml:space="preserve">1.1 Quadro de resultados dos scanners</w:t>
      </w:r>
      <w:bookmarkEnd w:id="10002"/>
    </w:p>
    <w:p>
      <w:pPr>
        <w:pStyle w:val="FirstParagraph"/>
      </w:pPr>
      <w:r>
        <w:t xml:space="preserve">O quadro reúne os resultados apresentados nas capturas fornecidas pelo responsável pelo projeto. O endereço avaliado é</w:t>
      </w:r>
      <w:r>
        <w:t xml:space="preserve"> </w:t>
      </w:r>
      <w:r>
        <w:rPr>
          <w:b/>
          <w:bCs/>
        </w:rPr>
        <w:t xml:space="preserve">https://asg-ods.ai.studio/</w:t>
      </w:r>
      <w:r>
        <w:t xml:space="preserve">. As classificações e os indicadores foram transcritos com suas unidades e identificação de ferramenta; as datas distinguem criação de relatório e captura de tela.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DCE3ED"/>
          <w:left w:val="single" w:sz="4" w:color="DCE3ED"/>
          <w:bottom w:val="single" w:sz="4" w:color="DCE3ED"/>
          <w:right w:val="single" w:sz="4" w:color="DCE3ED"/>
          <w:insideH w:val="single" w:sz="4" w:color="DCE3ED"/>
          <w:insideV w:val="single" w:sz="4" w:color="DCE3ED"/>
        </w:tblBorders>
      </w:tblPr>
      <w:tblGrid>
        <w:gridCol w:w="2381"/>
        <w:gridCol w:w="4762"/>
        <w:gridCol w:w="2381"/>
      </w:tblGrid>
      <w:tr>
        <w:trPr>
          <w:tblHeader w:val="on"/>
          <w:cantSplit/>
        </w:trPr>
        <w:tc>
          <w:tcPr>
            <w:tcW w:type="dxa" w:w="2381"/>
            <w:shd w:fill="233B82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Ferramenta e modalidade</w:t>
            </w:r>
          </w:p>
        </w:tc>
        <w:tc>
          <w:tcPr>
            <w:tcW w:type="dxa" w:w="4762"/>
            <w:shd w:fill="233B82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Resultado apresentado</w:t>
            </w:r>
          </w:p>
        </w:tc>
        <w:tc>
          <w:tcPr>
            <w:tcW w:type="dxa" w:w="2381"/>
            <w:shd w:fill="233B82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Data de referência</w:t>
            </w:r>
          </w:p>
        </w:tc>
      </w:tr>
      <w:tr>
        <w:trPr>
          <w:cantSplit/>
        </w:trPr>
        <w:tc>
          <w:tcPr>
            <w:tcW w:type="dxa" w:w="2381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MDN HTTP Observatory</w:t>
            </w:r>
          </w:p>
        </w:tc>
        <w:tc>
          <w:tcPr>
            <w:tcW w:type="dxa" w:w="4762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b/>
                <w:bCs/>
                <w:sz w:val="18"/>
              </w:rPr>
              <w:t xml:space="preserve">A+</w:t>
            </w:r>
            <w:r>
              <w:rPr>
                <w:sz w:val="18"/>
              </w:rPr>
              <w:t xml:space="preserve">; score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150/100</w:t>
            </w:r>
            <w:r>
              <w:rPr>
                <w:sz w:val="18"/>
              </w:rPr>
              <w:t xml:space="preserve">;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11/12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testes aprovados.</w:t>
            </w:r>
          </w:p>
        </w:tc>
        <w:tc>
          <w:tcPr>
            <w:tcW w:type="dxa" w:w="2381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Captura: 13/10/2026.</w:t>
            </w:r>
          </w:p>
        </w:tc>
      </w:tr>
      <w:tr>
        <w:trPr>
          <w:cantSplit/>
        </w:trPr>
        <w:tc>
          <w:tcPr>
            <w:tcW w:type="dxa" w:w="2381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PageSpeed Insights — mobile</w:t>
            </w:r>
          </w:p>
        </w:tc>
        <w:tc>
          <w:tcPr>
            <w:tcW w:type="dxa" w:w="4762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Desempenho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99</w:t>
            </w:r>
            <w:r>
              <w:rPr>
                <w:sz w:val="18"/>
              </w:rPr>
              <w:t xml:space="preserve">; acessibilidade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100</w:t>
            </w:r>
            <w:r>
              <w:rPr>
                <w:sz w:val="18"/>
              </w:rPr>
              <w:t xml:space="preserve">; práticas recomendadas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96</w:t>
            </w:r>
            <w:r>
              <w:rPr>
                <w:sz w:val="18"/>
              </w:rPr>
              <w:t xml:space="preserve">; SEO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100</w:t>
            </w:r>
            <w:r>
              <w:rPr>
                <w:sz w:val="18"/>
              </w:rPr>
              <w:t xml:space="preserve">; navegação agêntica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4/4</w:t>
            </w:r>
            <w:r>
              <w:rPr>
                <w:sz w:val="18"/>
              </w:rPr>
              <w:t xml:space="preserve">.</w:t>
            </w:r>
          </w:p>
        </w:tc>
        <w:tc>
          <w:tcPr>
            <w:tcW w:type="dxa" w:w="2381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Relatório: 13/10/2026, 15:41:05.</w:t>
            </w:r>
          </w:p>
        </w:tc>
      </w:tr>
      <w:tr>
        <w:trPr>
          <w:cantSplit/>
        </w:trPr>
        <w:tc>
          <w:tcPr>
            <w:tcW w:type="dxa" w:w="2381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PageSpeed Insights — desktop</w:t>
            </w:r>
          </w:p>
        </w:tc>
        <w:tc>
          <w:tcPr>
            <w:tcW w:type="dxa" w:w="4762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Desempenho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100</w:t>
            </w:r>
            <w:r>
              <w:rPr>
                <w:sz w:val="18"/>
              </w:rPr>
              <w:t xml:space="preserve">; acessibilidade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100</w:t>
            </w:r>
            <w:r>
              <w:rPr>
                <w:sz w:val="18"/>
              </w:rPr>
              <w:t xml:space="preserve">; práticas recomendadas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96</w:t>
            </w:r>
            <w:r>
              <w:rPr>
                <w:sz w:val="18"/>
              </w:rPr>
              <w:t xml:space="preserve">; SEO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100</w:t>
            </w:r>
            <w:r>
              <w:rPr>
                <w:sz w:val="18"/>
              </w:rPr>
              <w:t xml:space="preserve">; navegação agêntica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4/4</w:t>
            </w:r>
            <w:r>
              <w:rPr>
                <w:sz w:val="18"/>
              </w:rPr>
              <w:t xml:space="preserve">.</w:t>
            </w:r>
          </w:p>
        </w:tc>
        <w:tc>
          <w:tcPr>
            <w:tcW w:type="dxa" w:w="2381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Relatório: 13/10/2026, 15:41:05.</w:t>
            </w:r>
          </w:p>
        </w:tc>
      </w:tr>
      <w:tr>
        <w:trPr>
          <w:cantSplit/>
        </w:trPr>
        <w:tc>
          <w:tcPr>
            <w:tcW w:type="dxa" w:w="2381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SecurityHeaders</w:t>
            </w:r>
          </w:p>
        </w:tc>
        <w:tc>
          <w:tcPr>
            <w:tcW w:type="dxa" w:w="4762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b/>
                <w:bCs/>
                <w:sz w:val="18"/>
              </w:rPr>
              <w:t xml:space="preserve">A+</w:t>
            </w:r>
            <w:r>
              <w:rPr>
                <w:sz w:val="18"/>
              </w:rPr>
              <w:t xml:space="preserve">. O resumo apresenta HSTS, X-Content-Type-Options, Referrer-Policy, Permissions-Policy, CSP e X-Frame-Options.</w:t>
            </w:r>
          </w:p>
        </w:tc>
        <w:tc>
          <w:tcPr>
            <w:tcW w:type="dxa" w:w="2381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Relatório: 13/10/2026, 15:41:10 (UTC−3).</w:t>
            </w:r>
          </w:p>
        </w:tc>
      </w:tr>
      <w:tr>
        <w:trPr>
          <w:cantSplit/>
        </w:trPr>
        <w:tc>
          <w:tcPr>
            <w:tcW w:type="dxa" w:w="2381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Catchpoint / WebPageTest</w:t>
            </w:r>
          </w:p>
        </w:tc>
        <w:tc>
          <w:tcPr>
            <w:tcW w:type="dxa" w:w="4762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FCP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0,716 s</w:t>
            </w:r>
            <w:r>
              <w:rPr>
                <w:sz w:val="18"/>
              </w:rPr>
              <w:t xml:space="preserve">; LCP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0,716 s</w:t>
            </w:r>
            <w:r>
              <w:rPr>
                <w:sz w:val="18"/>
              </w:rPr>
              <w:t xml:space="preserve">; CLS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0</w:t>
            </w:r>
            <w:r>
              <w:rPr>
                <w:sz w:val="18"/>
              </w:rPr>
              <w:t xml:space="preserve">; TTFB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0,266 s</w:t>
            </w:r>
            <w:r>
              <w:rPr>
                <w:sz w:val="18"/>
              </w:rPr>
              <w:t xml:space="preserve">; TBT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0 s</w:t>
            </w:r>
            <w:r>
              <w:rPr>
                <w:sz w:val="18"/>
              </w:rPr>
              <w:t xml:space="preserve">.</w:t>
            </w:r>
          </w:p>
        </w:tc>
        <w:tc>
          <w:tcPr>
            <w:tcW w:type="dxa" w:w="2381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Captura: 13/10/2026.</w:t>
            </w:r>
          </w:p>
        </w:tc>
      </w:tr>
      <w:tr>
        <w:trPr>
          <w:cantSplit/>
        </w:trPr>
        <w:tc>
          <w:tcPr>
            <w:tcW w:type="dxa" w:w="2381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WAVE / WebAIM</w:t>
            </w:r>
          </w:p>
        </w:tc>
        <w:tc>
          <w:tcPr>
            <w:tcW w:type="dxa" w:w="4762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b/>
                <w:bCs/>
                <w:sz w:val="18"/>
              </w:rPr>
              <w:t xml:space="preserve">AIM Score 10/10</w:t>
            </w:r>
            <w:r>
              <w:rPr>
                <w:sz w:val="18"/>
              </w:rPr>
              <w:t xml:space="preserve">;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erros;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erros de contraste;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alertas.</w:t>
            </w:r>
          </w:p>
        </w:tc>
        <w:tc>
          <w:tcPr>
            <w:tcW w:type="dxa" w:w="2381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Captura: 13/10/2026.</w:t>
            </w:r>
          </w:p>
        </w:tc>
      </w:tr>
      <w:tr>
        <w:trPr>
          <w:cantSplit/>
        </w:trPr>
        <w:tc>
          <w:tcPr>
            <w:tcW w:type="dxa" w:w="2381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Webbkoll</w:t>
            </w:r>
          </w:p>
        </w:tc>
        <w:tc>
          <w:tcPr>
            <w:tcW w:type="dxa" w:w="4762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HTTPS por padrão;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Good policy</w:t>
            </w:r>
            <w:r>
              <w:rPr>
                <w:sz w:val="18"/>
              </w:rPr>
              <w:t xml:space="preserve">;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Referrers not leaked</w:t>
            </w:r>
            <w:r>
              <w:rPr>
                <w:sz w:val="18"/>
              </w:rPr>
              <w:t xml:space="preserve">;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1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cookie próprio,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 terceiros;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2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requisições a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2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hosts externos.</w:t>
            </w:r>
          </w:p>
        </w:tc>
        <w:tc>
          <w:tcPr>
            <w:tcW w:type="dxa" w:w="2381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Relatório: 13/10/2026, 15:17:00 (UTC−3).</w:t>
            </w:r>
          </w:p>
        </w:tc>
      </w:tr>
    </w:tbl>
    <w:p>
      <w:pPr>
        <w:pStyle w:val="BodyText"/>
      </w:pPr>
      <w:r>
        <w:t xml:space="preserve">Os horários originalmente informados em UTC no SecurityHeaders e no Webbkoll foram convertidos para America/Sao_Paulo. No PageSpeed, foi mantido o horário exibido na captura. Observatory, WebPageTest e WAVE recebem a data da captura quando o recorte não apresenta uma data absoluta do relatório. A pontuação 150/100 do Observatory foi preservada como apresentada.</w:t>
      </w:r>
    </w:p>
    <w:bookmarkEnd w:id="20"/>
    <w:bookmarkStart w:id="21" w:name="indicadores-complementares-apresentados"/>
    <w:p>
      <w:pPr>
        <w:pStyle w:val="Heading2"/>
      </w:pPr>
      <w:bookmarkStart w:id="10003" w:name="docsec_003"/>
      <w:r>
        <w:t xml:space="preserve">1.2 Indicadores complementares apresentados</w:t>
      </w:r>
      <w:bookmarkEnd w:id="10003"/>
    </w:p>
    <w:p>
      <w:pPr>
        <w:pStyle w:val="FirstParagraph"/>
      </w:pPr>
      <w:r>
        <w:t xml:space="preserve">A captura do WebPageTest apresenta o conjunto a seguir. FCP identifica a primeira renderização de conteúdo; LCP, a renderização do maior conteúdo; CLS, a variação acumulada de layout; TTFB, o tempo até o primeiro byte; TBT, o tempo total de bloqueio. Os nomes DC Time e DC Bytes são mantidos conforme o painel da ferramenta.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DCE3ED"/>
          <w:left w:val="single" w:sz="4" w:color="DCE3ED"/>
          <w:bottom w:val="single" w:sz="4" w:color="DCE3ED"/>
          <w:right w:val="single" w:sz="4" w:color="DCE3ED"/>
          <w:insideH w:val="single" w:sz="4" w:color="DCE3ED"/>
          <w:insideV w:val="single" w:sz="4" w:color="DCE3ED"/>
        </w:tblBorders>
      </w:tblPr>
      <w:tblGrid>
        <w:gridCol w:w="4286"/>
        <w:gridCol w:w="5238"/>
      </w:tblGrid>
      <w:tr>
        <w:trPr>
          <w:tblHeader w:val="on"/>
          <w:cantSplit/>
        </w:trPr>
        <w:tc>
          <w:tcPr>
            <w:tcW w:type="dxa" w:w="4286"/>
            <w:shd w:fill="233B82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Indicador</w:t>
            </w:r>
          </w:p>
        </w:tc>
        <w:tc>
          <w:tcPr>
            <w:tcW w:type="dxa" w:w="5238"/>
            <w:shd w:fill="233B82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Valor apresentado</w:t>
            </w:r>
          </w:p>
        </w:tc>
      </w:tr>
      <w:tr>
        <w:trPr>
          <w:cantSplit/>
        </w:trPr>
        <w:tc>
          <w:tcPr>
            <w:tcW w:type="dxa" w:w="4286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First Contentful Paint</w:t>
            </w:r>
          </w:p>
        </w:tc>
        <w:tc>
          <w:tcPr>
            <w:tcW w:type="dxa" w:w="5238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0,716 s</w:t>
            </w:r>
          </w:p>
        </w:tc>
      </w:tr>
      <w:tr>
        <w:trPr>
          <w:cantSplit/>
        </w:trPr>
        <w:tc>
          <w:tcPr>
            <w:tcW w:type="dxa" w:w="4286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Largest Contentful Paint</w:t>
            </w:r>
          </w:p>
        </w:tc>
        <w:tc>
          <w:tcPr>
            <w:tcW w:type="dxa" w:w="5238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0,716 s</w:t>
            </w:r>
          </w:p>
        </w:tc>
      </w:tr>
      <w:tr>
        <w:trPr>
          <w:cantSplit/>
        </w:trPr>
        <w:tc>
          <w:tcPr>
            <w:tcW w:type="dxa" w:w="4286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Cumulative Layout Shift</w:t>
            </w:r>
          </w:p>
        </w:tc>
        <w:tc>
          <w:tcPr>
            <w:tcW w:type="dxa" w:w="5238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286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Time To First Byte</w:t>
            </w:r>
          </w:p>
        </w:tc>
        <w:tc>
          <w:tcPr>
            <w:tcW w:type="dxa" w:w="5238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0,266 s</w:t>
            </w:r>
          </w:p>
        </w:tc>
      </w:tr>
      <w:tr>
        <w:trPr>
          <w:cantSplit/>
        </w:trPr>
        <w:tc>
          <w:tcPr>
            <w:tcW w:type="dxa" w:w="4286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Start Render</w:t>
            </w:r>
          </w:p>
        </w:tc>
        <w:tc>
          <w:tcPr>
            <w:tcW w:type="dxa" w:w="5238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0,7 s</w:t>
            </w:r>
          </w:p>
        </w:tc>
      </w:tr>
      <w:tr>
        <w:trPr>
          <w:cantSplit/>
        </w:trPr>
        <w:tc>
          <w:tcPr>
            <w:tcW w:type="dxa" w:w="4286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Speed Index</w:t>
            </w:r>
          </w:p>
        </w:tc>
        <w:tc>
          <w:tcPr>
            <w:tcW w:type="dxa" w:w="5238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0,79 s</w:t>
            </w:r>
          </w:p>
        </w:tc>
      </w:tr>
      <w:tr>
        <w:trPr>
          <w:cantSplit/>
        </w:trPr>
        <w:tc>
          <w:tcPr>
            <w:tcW w:type="dxa" w:w="4286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Total Blocking Time</w:t>
            </w:r>
          </w:p>
        </w:tc>
        <w:tc>
          <w:tcPr>
            <w:tcW w:type="dxa" w:w="5238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0 s</w:t>
            </w:r>
          </w:p>
        </w:tc>
      </w:tr>
      <w:tr>
        <w:trPr>
          <w:cantSplit/>
        </w:trPr>
        <w:tc>
          <w:tcPr>
            <w:tcW w:type="dxa" w:w="4286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Page Weight</w:t>
            </w:r>
          </w:p>
        </w:tc>
        <w:tc>
          <w:tcPr>
            <w:tcW w:type="dxa" w:w="5238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345 KB</w:t>
            </w:r>
          </w:p>
        </w:tc>
      </w:tr>
      <w:tr>
        <w:trPr>
          <w:cantSplit/>
        </w:trPr>
        <w:tc>
          <w:tcPr>
            <w:tcW w:type="dxa" w:w="4286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DC Time</w:t>
            </w:r>
          </w:p>
        </w:tc>
        <w:tc>
          <w:tcPr>
            <w:tcW w:type="dxa" w:w="5238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0,793 s</w:t>
            </w:r>
          </w:p>
        </w:tc>
      </w:tr>
      <w:tr>
        <w:trPr>
          <w:cantSplit/>
        </w:trPr>
        <w:tc>
          <w:tcPr>
            <w:tcW w:type="dxa" w:w="4286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DC Bytes</w:t>
            </w:r>
          </w:p>
        </w:tc>
        <w:tc>
          <w:tcPr>
            <w:tcW w:type="dxa" w:w="5238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330 KB</w:t>
            </w:r>
          </w:p>
        </w:tc>
      </w:tr>
      <w:tr>
        <w:trPr>
          <w:cantSplit/>
        </w:trPr>
        <w:tc>
          <w:tcPr>
            <w:tcW w:type="dxa" w:w="4286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Total Time</w:t>
            </w:r>
          </w:p>
        </w:tc>
        <w:tc>
          <w:tcPr>
            <w:tcW w:type="dxa" w:w="5238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1,56 s</w:t>
            </w:r>
          </w:p>
        </w:tc>
      </w:tr>
      <w:tr>
        <w:trPr>
          <w:cantSplit/>
        </w:trPr>
        <w:tc>
          <w:tcPr>
            <w:tcW w:type="dxa" w:w="4286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Total Requests</w:t>
            </w:r>
          </w:p>
        </w:tc>
        <w:tc>
          <w:tcPr>
            <w:tcW w:type="dxa" w:w="5238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30</w:t>
            </w:r>
          </w:p>
        </w:tc>
      </w:tr>
    </w:tbl>
    <w:p>
      <w:pPr>
        <w:pStyle w:val="BodyText"/>
      </w:pPr>
      <w:r>
        <w:t xml:space="preserve">A captura WAVE também apresenta um recurso identificado, três elementos de estrutura e zero elementos ARIA no resumo mostrado. O Webbkoll registra a passagem do endereço HTTP para o endereço final HTTPS. No PageSpeed, a área de experiência dos usuários mostra</w:t>
      </w:r>
      <w:r>
        <w:t xml:space="preserve"> </w:t>
      </w:r>
      <w:r>
        <w:t xml:space="preserve">“</w:t>
      </w:r>
      <w:r>
        <w:t xml:space="preserve">Nenhum dado</w:t>
      </w:r>
      <w:r>
        <w:t xml:space="preserve">”</w:t>
      </w:r>
      <w:r>
        <w:t xml:space="preserve">, e os valores numéricos exibidos ficam na área de diagnóstico de desempenho.</w:t>
      </w:r>
    </w:p>
    <w:bookmarkEnd w:id="21"/>
    <w:bookmarkStart w:id="22" w:name="identificação-e-metodologia-documental"/>
    <w:p>
      <w:pPr>
        <w:pStyle w:val="Heading2"/>
      </w:pPr>
      <w:bookmarkStart w:id="10004" w:name="docsec_004"/>
      <w:r>
        <w:t xml:space="preserve">1.3 Identificação e metodologia documental</w:t>
      </w:r>
      <w:bookmarkEnd w:id="10004"/>
    </w:p>
    <w:p>
      <w:pPr>
        <w:pStyle w:val="FirstParagraph"/>
      </w:pPr>
      <w:r>
        <w:t xml:space="preserve">A documentação descreve a implementação do repositório</w:t>
      </w:r>
      <w:r>
        <w:t xml:space="preserve"> </w:t>
      </w:r>
      <w:r>
        <w:rPr>
          <w:b/>
          <w:bCs/>
        </w:rPr>
        <w:t xml:space="preserve">desenvolvimentoprofissional-oss/asg-ods</w:t>
      </w:r>
      <w:r>
        <w:t xml:space="preserve">, branch</w:t>
      </w:r>
      <w:r>
        <w:t xml:space="preserve"> </w:t>
      </w:r>
      <w:r>
        <w:rPr>
          <w:b/>
          <w:bCs/>
        </w:rPr>
        <w:t xml:space="preserve">main</w:t>
      </w:r>
      <w:r>
        <w:t xml:space="preserve">, na revisão</w:t>
      </w:r>
      <w:r>
        <w:t xml:space="preserve"> </w:t>
      </w:r>
      <w:r>
        <w:rPr>
          <w:b/>
          <w:bCs/>
        </w:rPr>
        <w:t xml:space="preserve">9a126c65ba902e19b31bc695be0ccc172df7167f</w:t>
      </w:r>
      <w:r>
        <w:t xml:space="preserve">. A edição é</w:t>
      </w:r>
      <w:r>
        <w:t xml:space="preserve"> </w:t>
      </w:r>
      <w:r>
        <w:rPr>
          <w:b/>
          <w:bCs/>
        </w:rPr>
        <w:t xml:space="preserve">1.0</w:t>
      </w:r>
      <w:r>
        <w:t xml:space="preserve">, de</w:t>
      </w:r>
      <w:r>
        <w:t xml:space="preserve"> </w:t>
      </w:r>
      <w:r>
        <w:rPr>
          <w:b/>
          <w:bCs/>
        </w:rPr>
        <w:t xml:space="preserve">13 de outubro de 2026</w:t>
      </w:r>
      <w:r>
        <w:t xml:space="preserve">, em português do Brasil. O domínio público indicado nos metadados do projeto é</w:t>
      </w:r>
      <w:r>
        <w:t xml:space="preserve"> </w:t>
      </w:r>
      <w:r>
        <w:rPr>
          <w:b/>
          <w:bCs/>
        </w:rPr>
        <w:t xml:space="preserve">asg-ods.ai.studio</w:t>
      </w:r>
      <w:r>
        <w:t xml:space="preserve">.</w:t>
      </w:r>
    </w:p>
    <w:p>
      <w:pPr>
        <w:pStyle w:val="BodyText"/>
      </w:pPr>
      <w:r>
        <w:t xml:space="preserve">A organização segue uma descrição por camadas: contexto e finalidade do produto; composição da interface; comunicação entre navegador e servidor; contrato HTTP; organização dos dados; configuração e execução; ferramentas e testes. Os diagramas representam o contexto, a composição e os fluxos implementados. Essa sequência aproxima a apresentação do produto de seus elementos de código e de sua operação.</w:t>
      </w:r>
    </w:p>
    <w:p>
      <w:pPr>
        <w:pStyle w:val="BodyText"/>
      </w:pPr>
      <w:r>
        <w:t xml:space="preserve">As fontes de implementação são os arquivos mantidos no checkout. Contratos e dicionários de dados são extraídos de schemas, tipos e construtores; comandos são extraídos de package.json; rotas e comportamentos são extraídos dos componentes e do servidor. Os resultados externos têm como fonte as capturas recebidas, separadamente da descrição do código. As referências ao final permitem localizar as origens utilizadas.</w:t>
      </w:r>
    </w:p>
    <w:p>
      <w:pPr>
        <w:pStyle w:val="BodyText"/>
      </w:pPr>
      <w:r>
        <w:t xml:space="preserve">A leitura pode seguir o percurso completo ou começar pela área de interesse. Os capítulos da interface organizam o uso do portal; os capítulos de API e dados apresentam a manifestação de interesse; o capítulo operacional descreve instalação, execução, publicação e utilitários. O sumário e os marcadores do PDF oferecem navegação entre essas áreas. Os anexos apresentam capturas do build dessa revisão em desktop e mobile, com títulos e legendas de identificação.</w:t>
      </w:r>
    </w:p>
    <w:bookmarkEnd w:id="22"/>
    <w:bookmarkEnd w:id="23"/>
    <w:bookmarkStart w:id="38" w:name="visão-do-produto-e-arquitetura"/>
    <w:p>
      <w:pPr>
        <w:pStyle w:val="Heading1"/>
      </w:pPr>
      <w:bookmarkStart w:id="10005" w:name="docsec_005"/>
      <w:r>
        <w:t xml:space="preserve">2. Visão do produto e arquitetura</w:t>
      </w:r>
      <w:bookmarkEnd w:id="10005"/>
    </w:p>
    <w:bookmarkStart w:id="24" w:name="finalidade-e-público"/>
    <w:p>
      <w:pPr>
        <w:pStyle w:val="Heading2"/>
      </w:pPr>
      <w:bookmarkStart w:id="10006" w:name="docsec_006"/>
      <w:r>
        <w:t xml:space="preserve">2.1 Finalidade e público</w:t>
      </w:r>
      <w:bookmarkEnd w:id="10006"/>
    </w:p>
    <w:p>
      <w:pPr>
        <w:pStyle w:val="FirstParagraph"/>
      </w:pPr>
      <w:r>
        <w:t xml:space="preserve">O portal apresenta o Componente Curricular de ASG e ODS, associado ao Conselho Regional de Administração de São Paulo, CRA-SP, e às instituições participantes. ASG corresponde às dimensões Ambiental, Social e Governança; ODS identifica os Objetivos de Desenvolvimento Sustentável. A comunicação da aplicação situa esses temas na formação em Administração e Gestão e apresenta uma proposta de incorporação às matrizes curriculares das Instituições de Educação Superior, IES.</w:t>
      </w:r>
    </w:p>
    <w:p>
      <w:pPr>
        <w:pStyle w:val="BodyText"/>
      </w:pPr>
      <w:r>
        <w:t xml:space="preserve">O público compreende professores, coordenadores, diretores e demais representantes acadêmicos envolvidos na implementação do componente. A página de registro oferece opções de cargo e curso para contextualizar a manifestação de interesse. O visitante percorre a apresentação institucional, conhece os formatos de aprendizagem, consulta os objetivos por módulo e informa a previsão de implementação em sua instituição.</w:t>
      </w:r>
    </w:p>
    <w:p>
      <w:pPr>
        <w:pStyle w:val="BodyText"/>
      </w:pPr>
      <w:r>
        <w:t xml:space="preserve">A proposta apresentada é gratuita e modular. Os textos permitem compreender a adoção integral, a utilização de módulos em disciplinas existentes e o emprego do material como apoio docente. O fluxo de manifestação de interesse reúne dados para contato posterior: a mensagem de conclusão informa que a equipe do CRA-SP entrará em contato para disponibilizar orientações quando os conteúdos estiverem disponíveis.</w:t>
      </w:r>
    </w:p>
    <w:bookmarkEnd w:id="24"/>
    <w:bookmarkStart w:id="25" w:name="estrutura-do-componente-curricular"/>
    <w:p>
      <w:pPr>
        <w:pStyle w:val="Heading2"/>
      </w:pPr>
      <w:bookmarkStart w:id="10007" w:name="docsec_007"/>
      <w:r>
        <w:t xml:space="preserve">2.2 Estrutura do componente curricular</w:t>
      </w:r>
      <w:bookmarkEnd w:id="10007"/>
    </w:p>
    <w:p>
      <w:pPr>
        <w:pStyle w:val="FirstParagraph"/>
      </w:pPr>
      <w:r>
        <w:t xml:space="preserve">O catálogo curricular contém seis módulos de quatro horas, totalizando 24 horas. Cada módulo associa título, instituição participante, descrição resumida, ícone e objetivos detalhados. A identificação numérica mantém a sequência entre a apresentação resumida da página inicial e a tabela da trilha.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DCE3ED"/>
          <w:left w:val="single" w:sz="4" w:color="DCE3ED"/>
          <w:bottom w:val="single" w:sz="4" w:color="DCE3ED"/>
          <w:right w:val="single" w:sz="4" w:color="DCE3ED"/>
          <w:insideH w:val="single" w:sz="4" w:color="DCE3ED"/>
          <w:insideV w:val="single" w:sz="4" w:color="DCE3ED"/>
        </w:tblBorders>
      </w:tblPr>
      <w:tblGrid>
        <w:gridCol w:w="1143"/>
        <w:gridCol w:w="4476"/>
        <w:gridCol w:w="2762"/>
        <w:gridCol w:w="1143"/>
      </w:tblGrid>
      <w:tr>
        <w:trPr>
          <w:tblHeader w:val="on"/>
          <w:cantSplit/>
        </w:trPr>
        <w:tc>
          <w:tcPr>
            <w:tcW w:type="dxa" w:w="1143"/>
            <w:shd w:fill="233B82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Módulo</w:t>
            </w:r>
          </w:p>
        </w:tc>
        <w:tc>
          <w:tcPr>
            <w:tcW w:type="dxa" w:w="4476"/>
            <w:shd w:fill="233B82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Tema</w:t>
            </w:r>
          </w:p>
        </w:tc>
        <w:tc>
          <w:tcPr>
            <w:tcW w:type="dxa" w:w="2762"/>
            <w:shd w:fill="233B82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Instituição indicada</w:t>
            </w:r>
          </w:p>
        </w:tc>
        <w:tc>
          <w:tcPr>
            <w:tcW w:type="dxa" w:w="1143"/>
            <w:shd w:fill="233B82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Carga</w:t>
            </w:r>
          </w:p>
        </w:tc>
      </w:tr>
      <w:tr>
        <w:trPr>
          <w:cantSplit/>
        </w:trPr>
        <w:tc>
          <w:tcPr>
            <w:tcW w:type="dxa" w:w="1143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4476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Histórico da RSC e do ASG</w:t>
            </w:r>
          </w:p>
        </w:tc>
        <w:tc>
          <w:tcPr>
            <w:tcW w:type="dxa" w:w="2762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CRA-SP</w:t>
            </w:r>
          </w:p>
        </w:tc>
        <w:tc>
          <w:tcPr>
            <w:tcW w:type="dxa" w:w="1143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4h</w:t>
            </w:r>
          </w:p>
        </w:tc>
      </w:tr>
      <w:tr>
        <w:trPr>
          <w:cantSplit/>
        </w:trPr>
        <w:tc>
          <w:tcPr>
            <w:tcW w:type="dxa" w:w="1143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4476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Dimensão Ambiental</w:t>
            </w:r>
          </w:p>
        </w:tc>
        <w:tc>
          <w:tcPr>
            <w:tcW w:type="dxa" w:w="2762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ANGRAD</w:t>
            </w:r>
          </w:p>
        </w:tc>
        <w:tc>
          <w:tcPr>
            <w:tcW w:type="dxa" w:w="1143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4h</w:t>
            </w:r>
          </w:p>
        </w:tc>
      </w:tr>
      <w:tr>
        <w:trPr>
          <w:cantSplit/>
        </w:trPr>
        <w:tc>
          <w:tcPr>
            <w:tcW w:type="dxa" w:w="1143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W w:type="dxa" w:w="4476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Dimensão Social</w:t>
            </w:r>
          </w:p>
        </w:tc>
        <w:tc>
          <w:tcPr>
            <w:tcW w:type="dxa" w:w="2762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PRME</w:t>
            </w:r>
          </w:p>
        </w:tc>
        <w:tc>
          <w:tcPr>
            <w:tcW w:type="dxa" w:w="1143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4h</w:t>
            </w:r>
          </w:p>
        </w:tc>
      </w:tr>
      <w:tr>
        <w:trPr>
          <w:cantSplit/>
        </w:trPr>
        <w:tc>
          <w:tcPr>
            <w:tcW w:type="dxa" w:w="1143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>
            <w:tcW w:type="dxa" w:w="4476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Dimensão Governança</w:t>
            </w:r>
          </w:p>
        </w:tc>
        <w:tc>
          <w:tcPr>
            <w:tcW w:type="dxa" w:w="2762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IBGC</w:t>
            </w:r>
          </w:p>
        </w:tc>
        <w:tc>
          <w:tcPr>
            <w:tcW w:type="dxa" w:w="1143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4h</w:t>
            </w:r>
          </w:p>
        </w:tc>
      </w:tr>
      <w:tr>
        <w:trPr>
          <w:cantSplit/>
        </w:trPr>
        <w:tc>
          <w:tcPr>
            <w:tcW w:type="dxa" w:w="1143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>
            <w:tcW w:type="dxa" w:w="4476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Integridade Socioambiental</w:t>
            </w:r>
          </w:p>
        </w:tc>
        <w:tc>
          <w:tcPr>
            <w:tcW w:type="dxa" w:w="2762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ETHOS</w:t>
            </w:r>
          </w:p>
        </w:tc>
        <w:tc>
          <w:tcPr>
            <w:tcW w:type="dxa" w:w="1143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4h</w:t>
            </w:r>
          </w:p>
        </w:tc>
      </w:tr>
      <w:tr>
        <w:trPr>
          <w:cantSplit/>
        </w:trPr>
        <w:tc>
          <w:tcPr>
            <w:tcW w:type="dxa" w:w="1143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>
            <w:tcW w:type="dxa" w:w="4476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Mensuração e Investimento</w:t>
            </w:r>
          </w:p>
        </w:tc>
        <w:tc>
          <w:tcPr>
            <w:tcW w:type="dxa" w:w="2762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ANGRAD</w:t>
            </w:r>
          </w:p>
        </w:tc>
        <w:tc>
          <w:tcPr>
            <w:tcW w:type="dxa" w:w="1143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4h</w:t>
            </w:r>
          </w:p>
        </w:tc>
      </w:tr>
    </w:tbl>
    <w:p>
      <w:pPr>
        <w:pStyle w:val="BodyText"/>
      </w:pPr>
      <w:r>
        <w:t xml:space="preserve">Os objetivos estão organizados por nível de Bloom, verbo de ação, descrição e carga horária. No catálogo dessa versão, cada módulo reúne quatro objetivos de uma hora. Os assuntos percorrem evolução conceitual, sustentabilidade, relações sociais, estruturas de governança, integridade e comunicação do valor ASG.</w:t>
      </w:r>
    </w:p>
    <w:p>
      <w:pPr>
        <w:pStyle w:val="BodyText"/>
      </w:pPr>
      <w:r>
        <w:t xml:space="preserve">Essa estrutura é declarada em</w:t>
      </w:r>
      <w:r>
        <w:t xml:space="preserve"> </w:t>
      </w:r>
      <w:r>
        <w:rPr>
          <w:rStyle w:val="VerbatimChar"/>
        </w:rPr>
        <w:t xml:space="preserve">modules.ts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modulesDetails.ts</w:t>
      </w:r>
      <w:r>
        <w:t xml:space="preserve">. O primeiro arquivo reúne a identidade e o resumo dos módulos; o segundo contém as linhas exibidas nas tabelas. A página inicial utiliza o resumo, enquanto a trilha apresenta também o detalhamento. A mesma configuração alimenta as duas formas de apresentação.</w:t>
      </w:r>
    </w:p>
    <w:bookmarkEnd w:id="25"/>
    <w:bookmarkStart w:id="29" w:name="mapa-de-páginas-e-percurso-de-navegação"/>
    <w:p>
      <w:pPr>
        <w:pStyle w:val="Heading2"/>
      </w:pPr>
      <w:bookmarkStart w:id="10008" w:name="docsec_008"/>
      <w:r>
        <w:t xml:space="preserve">2.3 Mapa de páginas e percurso de navegação</w:t>
      </w:r>
      <w:bookmarkEnd w:id="10008"/>
    </w:p>
    <w:p>
      <w:pPr>
        <w:pStyle w:val="FirstParagraph"/>
      </w:pPr>
      <w:r>
        <w:t xml:space="preserve">A aplicação possui cinco páginas principais. React Router associa os caminhos aos componentes correspondentes, e os links internos conduzem o visitante entre apresentação, detalhamento e formulário.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DCE3ED"/>
          <w:left w:val="single" w:sz="4" w:color="DCE3ED"/>
          <w:bottom w:val="single" w:sz="4" w:color="DCE3ED"/>
          <w:right w:val="single" w:sz="4" w:color="DCE3ED"/>
          <w:insideH w:val="single" w:sz="4" w:color="DCE3ED"/>
          <w:insideV w:val="single" w:sz="4" w:color="DCE3ED"/>
        </w:tblBorders>
      </w:tblPr>
      <w:tblGrid>
        <w:gridCol w:w="2381"/>
        <w:gridCol w:w="2857"/>
        <w:gridCol w:w="4286"/>
      </w:tblGrid>
      <w:tr>
        <w:trPr>
          <w:tblHeader w:val="on"/>
          <w:cantSplit/>
        </w:trPr>
        <w:tc>
          <w:tcPr>
            <w:tcW w:type="dxa" w:w="2381"/>
            <w:shd w:fill="233B82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Caminho</w:t>
            </w:r>
          </w:p>
        </w:tc>
        <w:tc>
          <w:tcPr>
            <w:tcW w:type="dxa" w:w="2857"/>
            <w:shd w:fill="233B82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Página</w:t>
            </w:r>
          </w:p>
        </w:tc>
        <w:tc>
          <w:tcPr>
            <w:tcW w:type="dxa" w:w="4286"/>
            <w:shd w:fill="233B82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Conteúdo principal</w:t>
            </w:r>
          </w:p>
        </w:tc>
      </w:tr>
      <w:tr>
        <w:trPr>
          <w:cantSplit/>
        </w:trPr>
        <w:tc>
          <w:tcPr>
            <w:tcW w:type="dxa" w:w="2381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/</w:t>
            </w:r>
          </w:p>
        </w:tc>
        <w:tc>
          <w:tcPr>
            <w:tcW w:type="dxa" w:w="2857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Início</w:t>
            </w:r>
          </w:p>
        </w:tc>
        <w:tc>
          <w:tcPr>
            <w:tcW w:type="dxa" w:w="4286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Apresentação, destaques, módulos, interesse, FAQ e parceiros</w:t>
            </w:r>
          </w:p>
        </w:tc>
      </w:tr>
      <w:tr>
        <w:trPr>
          <w:cantSplit/>
        </w:trPr>
        <w:tc>
          <w:tcPr>
            <w:tcW w:type="dxa" w:w="2381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/chancela</w:t>
            </w:r>
          </w:p>
        </w:tc>
        <w:tc>
          <w:tcPr>
            <w:tcW w:type="dxa" w:w="2857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Chancela Institucional</w:t>
            </w:r>
          </w:p>
        </w:tc>
        <w:tc>
          <w:tcPr>
            <w:tcW w:type="dxa" w:w="4286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Manifesto, mensagem institucional e instituições signatárias</w:t>
            </w:r>
          </w:p>
        </w:tc>
      </w:tr>
      <w:tr>
        <w:trPr>
          <w:cantSplit/>
        </w:trPr>
        <w:tc>
          <w:tcPr>
            <w:tcW w:type="dxa" w:w="2381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/metodologia</w:t>
            </w:r>
          </w:p>
        </w:tc>
        <w:tc>
          <w:tcPr>
            <w:tcW w:type="dxa" w:w="2857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Metodologia Dinâmica</w:t>
            </w:r>
          </w:p>
        </w:tc>
        <w:tc>
          <w:tcPr>
            <w:tcW w:type="dxa" w:w="4286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Pilares, formatos e opções de implementação</w:t>
            </w:r>
          </w:p>
        </w:tc>
      </w:tr>
      <w:tr>
        <w:trPr>
          <w:cantSplit/>
        </w:trPr>
        <w:tc>
          <w:tcPr>
            <w:tcW w:type="dxa" w:w="2381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/trilha</w:t>
            </w:r>
          </w:p>
        </w:tc>
        <w:tc>
          <w:tcPr>
            <w:tcW w:type="dxa" w:w="2857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Objetivos de Aprendizagem</w:t>
            </w:r>
          </w:p>
        </w:tc>
        <w:tc>
          <w:tcPr>
            <w:tcW w:type="dxa" w:w="4286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Sequência dos módulos e tabelas de objetivos</w:t>
            </w:r>
          </w:p>
        </w:tc>
      </w:tr>
      <w:tr>
        <w:trPr>
          <w:cantSplit/>
        </w:trPr>
        <w:tc>
          <w:tcPr>
            <w:tcW w:type="dxa" w:w="2381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/registro-interesse</w:t>
            </w:r>
          </w:p>
        </w:tc>
        <w:tc>
          <w:tcPr>
            <w:tcW w:type="dxa" w:w="2857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Manifestação de Interesse</w:t>
            </w:r>
          </w:p>
        </w:tc>
        <w:tc>
          <w:tcPr>
            <w:tcW w:type="dxa" w:w="4286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Dados da instituição, contato e previsão de implementação</w:t>
            </w:r>
          </w:p>
        </w:tc>
      </w:tr>
    </w:tbl>
    <w:p>
      <w:pPr>
        <w:pStyle w:val="BodyText"/>
      </w:pPr>
      <w:r>
        <w:t xml:space="preserve">A página inicial começa com imagem e chamada principal. Em seguida, apresenta cartões de acesso à chancela e à metodologia, objetivos resumidos, outra chamada para registrar interesse, perguntas frequentes e identificação das instituições participantes. As chamadas de interesse apontam para o mesmo formulário.</w:t>
      </w:r>
    </w:p>
    <w:p>
      <w:pPr>
        <w:pStyle w:val="BodyText"/>
      </w:pPr>
      <w:r>
        <w:t xml:space="preserve">A chancela reúne um banner, o relato do manifesto e uma mensagem atribuída ao presidente do CRA-SP. O carrossel final apresenta descrições e logos de CRA-SP, ANGRAD, Instituto Ethos, IBGC e PRME. A metodologia organiza sua exposição em quatro pilares: Taxonomia de Bloom, Microlearning, Conexão com o Mercado e Sala de Aula Invertida. Os formatos apresentados são videoaulas, podcasts e material de apoio; as opções de implementação incluem adoção integral, inserção modular e apoio docente.</w:t>
      </w:r>
    </w:p>
    <w:p>
      <w:pPr>
        <w:pStyle w:val="BodyText"/>
      </w:pPr>
      <w:r>
        <w:t xml:space="preserve">A trilha utiliza uma linha de sequência visual e cartões numerados. Cada cartão contém resumo, instituição, duração e tabela. Os identificadores</w:t>
      </w:r>
      <w:r>
        <w:t xml:space="preserve"> </w:t>
      </w:r>
      <w:r>
        <w:rPr>
          <w:rStyle w:val="VerbatimChar"/>
        </w:rPr>
        <w:t xml:space="preserve">modulo-1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modulo-6</w:t>
      </w:r>
      <w:r>
        <w:t xml:space="preserve"> </w:t>
      </w:r>
      <w:r>
        <w:t xml:space="preserve">permitem links diretos a essas seções. Os caminhos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/cadastro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/area-docente/*</w:t>
      </w:r>
      <w:r>
        <w:t xml:space="preserve"> </w:t>
      </w:r>
      <w:r>
        <w:t xml:space="preserve">encaminham para a manifestação de interesse. Os demais caminhos recebem o encaminhamento previsto para a página inicial.</w:t>
      </w:r>
    </w:p>
    <w:p>
      <w:pPr>
        <w:pStyle w:val="CaptionedFigure"/>
        <w:keepNext w:val="0"/>
        <w:jc w:val="center"/>
      </w:pPr>
      <w:r>
        <w:drawing>
          <wp:inline>
            <wp:extent cx="6045200" cy="4043783"/>
            <wp:effectExtent b="0" l="0" r="0" t="0"/>
            <wp:docPr descr="Figura 1 — Páginas e percurso de manifestação de interesse." title="" id="27" name="Picture"/>
            <a:graphic>
              <a:graphicData uri="http://schemas.openxmlformats.org/drawingml/2006/picture">
                <pic:pic>
                  <pic:nvPicPr>
                    <pic:cNvPr descr="diagrams/01_rota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4043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 xml:space="preserve">Figura 1 — Páginas e percurso de manifestação de interesse.</w:t>
      </w:r>
    </w:p>
    <w:bookmarkEnd w:id="29"/>
    <w:bookmarkStart w:id="30" w:name="composição-da-interface"/>
    <w:p>
      <w:pPr>
        <w:pStyle w:val="Heading2"/>
      </w:pPr>
      <w:bookmarkStart w:id="10009" w:name="docsec_009"/>
      <w:r>
        <w:t xml:space="preserve">2.4 Composição da interface</w:t>
      </w:r>
      <w:bookmarkEnd w:id="10009"/>
    </w:p>
    <w:p>
      <w:pPr>
        <w:pStyle w:val="FirstParagraph"/>
      </w:pPr>
      <w:r>
        <w:rPr>
          <w:rStyle w:val="VerbatimChar"/>
        </w:rPr>
        <w:t xml:space="preserve">src/main.tsx</w:t>
      </w:r>
      <w:r>
        <w:t xml:space="preserve"> </w:t>
      </w:r>
      <w:r>
        <w:t xml:space="preserve">inicia a aplicação React no elemento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 </w:t>
      </w:r>
      <w:r>
        <w:t xml:space="preserve">reúne o roteador, a sincronização das preferências de apresentação, a composição de páginas e os componentes globais de apresentação e Libras. Parte dos componentes é carregada por importação dinâmica, com</w:t>
      </w:r>
      <w:r>
        <w:t xml:space="preserve"> </w:t>
      </w:r>
      <w:r>
        <w:rPr>
          <w:rStyle w:val="VerbatimChar"/>
        </w:rPr>
        <w:t xml:space="preserve">Suspense</w:t>
      </w:r>
      <w:r>
        <w:t xml:space="preserve"> </w:t>
      </w:r>
      <w:r>
        <w:t xml:space="preserve">organizando o conteúdo durante esse carregamento.</w:t>
      </w:r>
    </w:p>
    <w:p>
      <w:pPr>
        <w:pStyle w:val="BodyText"/>
      </w:pPr>
      <w:r>
        <w:t xml:space="preserve">As quatro páginas informativas compartilham</w:t>
      </w:r>
      <w:r>
        <w:t xml:space="preserve"> </w:t>
      </w:r>
      <w:r>
        <w:rPr>
          <w:rStyle w:val="VerbatimChar"/>
        </w:rPr>
        <w:t xml:space="preserve">PublicLayout</w:t>
      </w:r>
      <w:r>
        <w:t xml:space="preserve">: barra superior, cabeçalho, conteúdo principal e rodapé. O cabeçalho oferece as rotas institucionais; o rodapé reúne links temáticos, contato e localização. O layout também atribui o título do documento conforme o caminho e interpreta os fragmentos usados para chegar a uma seção. A manifestação de interesse utiliza uma composição própria, com área institucional e formulário.</w:t>
      </w:r>
    </w:p>
    <w:p>
      <w:pPr>
        <w:pStyle w:val="BodyText"/>
      </w:pPr>
      <w:r>
        <w:t xml:space="preserve">Os arquivos de</w:t>
      </w:r>
      <w:r>
        <w:t xml:space="preserve"> </w:t>
      </w:r>
      <w:r>
        <w:rPr>
          <w:rStyle w:val="VerbatimChar"/>
        </w:rPr>
        <w:t xml:space="preserve">src/pages</w:t>
      </w:r>
      <w:r>
        <w:t xml:space="preserve"> </w:t>
      </w:r>
      <w:r>
        <w:t xml:space="preserve">compõem blocos visuais menores. As pastas</w:t>
      </w:r>
      <w:r>
        <w:t xml:space="preserve"> </w:t>
      </w:r>
      <w:r>
        <w:rPr>
          <w:rStyle w:val="VerbatimChar"/>
        </w:rPr>
        <w:t xml:space="preserve">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chancela</w:t>
      </w:r>
      <w:r>
        <w:t xml:space="preserve">,</w:t>
      </w:r>
      <w:r>
        <w:t xml:space="preserve"> </w:t>
      </w:r>
      <w:r>
        <w:rPr>
          <w:rStyle w:val="VerbatimChar"/>
        </w:rPr>
        <w:t xml:space="preserve">metodologia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trilha</w:t>
      </w:r>
      <w:r>
        <w:t xml:space="preserve">, dentro de</w:t>
      </w:r>
      <w:r>
        <w:t xml:space="preserve"> </w:t>
      </w:r>
      <w:r>
        <w:rPr>
          <w:rStyle w:val="VerbatimChar"/>
        </w:rPr>
        <w:t xml:space="preserve">src/components</w:t>
      </w:r>
      <w:r>
        <w:t xml:space="preserve">, agrupam componentes pelo contexto em que aparecem. Essa organização permite localizar um banner, uma tabela ou uma seção a partir da página que os apresenta.</w:t>
      </w:r>
    </w:p>
    <w:p>
      <w:pPr>
        <w:pStyle w:val="BodyText"/>
      </w:pPr>
      <w:r>
        <w:t xml:space="preserve">React define a composição e os estados da interface; React Router organiza a navegação; Tailwind CSS fornece classes de apresentação; Lucide React fornece ícones. Os componentes básicos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Badge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SectionHeader</w:t>
      </w:r>
      <w:r>
        <w:t xml:space="preserve"> </w:t>
      </w:r>
      <w:r>
        <w:t xml:space="preserve">recebem conteúdo e propriedades para adaptar aparência e ação. Variantes, tamanho, classes adicionais, filhos e callbacks são utilizados na composição das páginas.</w:t>
      </w:r>
    </w:p>
    <w:bookmarkEnd w:id="30"/>
    <w:bookmarkStart w:id="31" w:name="catálogos-textos-e-identidade-visual"/>
    <w:p>
      <w:pPr>
        <w:pStyle w:val="Heading2"/>
      </w:pPr>
      <w:bookmarkStart w:id="10010" w:name="docsec_010"/>
      <w:r>
        <w:t xml:space="preserve">2.5 Catálogos, textos e identidade visual</w:t>
      </w:r>
      <w:bookmarkEnd w:id="10010"/>
    </w:p>
    <w:p>
      <w:pPr>
        <w:pStyle w:val="FirstParagraph"/>
      </w:pPr>
      <w:r>
        <w:t xml:space="preserve">Os conteúdos estáticos ficam concentrados em</w:t>
      </w:r>
      <w:r>
        <w:t xml:space="preserve"> </w:t>
      </w:r>
      <w:r>
        <w:rPr>
          <w:rStyle w:val="VerbatimChar"/>
        </w:rPr>
        <w:t xml:space="preserve">src/constants</w:t>
      </w:r>
      <w:r>
        <w:t xml:space="preserve">.</w:t>
      </w:r>
      <w:r>
        <w:t xml:space="preserve"> </w:t>
      </w:r>
      <w:r>
        <w:rPr>
          <w:rStyle w:val="VerbatimChar"/>
        </w:rPr>
        <w:t xml:space="preserve">navigation.ts</w:t>
      </w:r>
      <w:r>
        <w:t xml:space="preserve"> </w:t>
      </w:r>
      <w:r>
        <w:t xml:space="preserve">define os itens principais do cabeçalho;</w:t>
      </w:r>
      <w:r>
        <w:t xml:space="preserve"> </w:t>
      </w:r>
      <w:r>
        <w:rPr>
          <w:rStyle w:val="VerbatimChar"/>
        </w:rPr>
        <w:t xml:space="preserve">footer.ts</w:t>
      </w:r>
      <w:r>
        <w:t xml:space="preserve"> </w:t>
      </w:r>
      <w:r>
        <w:t xml:space="preserve">reúne os grupos do rodapé;</w:t>
      </w:r>
      <w:r>
        <w:t xml:space="preserve"> </w:t>
      </w:r>
      <w:r>
        <w:rPr>
          <w:rStyle w:val="VerbatimChar"/>
        </w:rPr>
        <w:t xml:space="preserve">content.ts</w:t>
      </w:r>
      <w:r>
        <w:t xml:space="preserve"> </w:t>
      </w:r>
      <w:r>
        <w:t xml:space="preserve">mantém perguntas e respostas;</w:t>
      </w:r>
      <w:r>
        <w:t xml:space="preserve"> </w:t>
      </w:r>
      <w:r>
        <w:rPr>
          <w:rStyle w:val="VerbatimChar"/>
        </w:rPr>
        <w:t xml:space="preserve">courses.ts</w:t>
      </w:r>
      <w:r>
        <w:t xml:space="preserve"> </w:t>
      </w:r>
      <w:r>
        <w:t xml:space="preserve">fornece as opções de cargo e curso do formulário. Os textos da metodologia estão em</w:t>
      </w:r>
      <w:r>
        <w:t xml:space="preserve"> </w:t>
      </w:r>
      <w:r>
        <w:rPr>
          <w:rStyle w:val="VerbatimChar"/>
        </w:rPr>
        <w:t xml:space="preserve">metodologia.ts</w:t>
      </w:r>
      <w:r>
        <w:t xml:space="preserve">, e o cabeçalho da trilha está em</w:t>
      </w:r>
      <w:r>
        <w:t xml:space="preserve"> </w:t>
      </w:r>
      <w:r>
        <w:rPr>
          <w:rStyle w:val="VerbatimChar"/>
        </w:rPr>
        <w:t xml:space="preserve">trilha.ts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partners.ts</w:t>
      </w:r>
      <w:r>
        <w:t xml:space="preserve"> </w:t>
      </w:r>
      <w:r>
        <w:t xml:space="preserve">descreve os logos usados nas faixas e na apresentação dos participantes.</w:t>
      </w:r>
      <w:r>
        <w:t xml:space="preserve"> </w:t>
      </w:r>
      <w:r>
        <w:rPr>
          <w:rStyle w:val="VerbatimChar"/>
        </w:rPr>
        <w:t xml:space="preserve">chancela.ts</w:t>
      </w:r>
      <w:r>
        <w:t xml:space="preserve"> </w:t>
      </w:r>
      <w:r>
        <w:t xml:space="preserve">reúne as instituições signatárias, suas descrições, imagens e configurações visuais. Os logos dessas instituições são referenciados em</w:t>
      </w:r>
      <w:r>
        <w:t xml:space="preserve"> </w:t>
      </w:r>
      <w:r>
        <w:rPr>
          <w:rStyle w:val="VerbatimChar"/>
        </w:rPr>
        <w:t xml:space="preserve">/imgs/partners</w:t>
      </w:r>
      <w:r>
        <w:t xml:space="preserve">, dentro de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. Imagens de banners e cartões completam a identidade visual das páginas.</w:t>
      </w:r>
    </w:p>
    <w:p>
      <w:pPr>
        <w:pStyle w:val="BodyText"/>
      </w:pPr>
      <w:r>
        <w:t xml:space="preserve">Os componentes recebem entradas desses catálogos por propriedades e percorrem as listas para montar cartões, itens e tabelas. Nome, imagem, texto e instituição conservam sua relação na configuração de origem. O CSS global, em</w:t>
      </w:r>
      <w:r>
        <w:t xml:space="preserve"> </w:t>
      </w:r>
      <w:r>
        <w:rPr>
          <w:rStyle w:val="VerbatimChar"/>
        </w:rPr>
        <w:t xml:space="preserve">src/index.css</w:t>
      </w:r>
      <w:r>
        <w:t xml:space="preserve">, organiza o contêiner de página, animações, comportamento visual dos controles e estilos associados às preferências de apresentação.</w:t>
      </w:r>
    </w:p>
    <w:bookmarkEnd w:id="31"/>
    <w:bookmarkStart w:id="32" w:name="Xeee5275c042250d4a233d8aeed36ebdce730b1c"/>
    <w:p>
      <w:pPr>
        <w:pStyle w:val="Heading2"/>
      </w:pPr>
      <w:bookmarkStart w:id="10011" w:name="docsec_011"/>
      <w:r>
        <w:t xml:space="preserve">2.6 Interações de conteúdo e recursos globais</w:t>
      </w:r>
      <w:bookmarkEnd w:id="10011"/>
    </w:p>
    <w:p>
      <w:pPr>
        <w:pStyle w:val="FirstParagraph"/>
      </w:pPr>
      <w:r>
        <w:t xml:space="preserve">O FAQ utiliza</w:t>
      </w:r>
      <w:r>
        <w:t xml:space="preserve"> </w:t>
      </w:r>
      <w:r>
        <w:rPr>
          <w:rStyle w:val="VerbatimChar"/>
        </w:rPr>
        <w:t xml:space="preserve">FaqAccordion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FaqItem</w:t>
      </w:r>
      <w:r>
        <w:t xml:space="preserve">. Inicialmente, exibe as três primeiras perguntas; o comando</w:t>
      </w:r>
      <w:r>
        <w:t xml:space="preserve"> </w:t>
      </w:r>
      <w:r>
        <w:t xml:space="preserve">“</w:t>
      </w:r>
      <w:r>
        <w:t xml:space="preserve">Ver mais perguntas</w:t>
      </w:r>
      <w:r>
        <w:t xml:space="preserve">”</w:t>
      </w:r>
      <w:r>
        <w:t xml:space="preserve"> </w:t>
      </w:r>
      <w:r>
        <w:t xml:space="preserve">apresenta a lista completa, e</w:t>
      </w:r>
      <w:r>
        <w:t xml:space="preserve"> </w:t>
      </w:r>
      <w:r>
        <w:t xml:space="preserve">“</w:t>
      </w:r>
      <w:r>
        <w:t xml:space="preserve">Ver menos</w:t>
      </w:r>
      <w:r>
        <w:t xml:space="preserve">”</w:t>
      </w:r>
      <w:r>
        <w:t xml:space="preserve"> </w:t>
      </w:r>
      <w:r>
        <w:t xml:space="preserve">retorna à composição inicial. A seleção de uma pergunta abre sua resposta, mantendo um índice de item aberto. Botões e regiões de resposta possuem identificadores que relacionam comando, estado e conteúdo.</w:t>
      </w:r>
    </w:p>
    <w:p>
      <w:pPr>
        <w:pStyle w:val="BodyText"/>
      </w:pPr>
      <w:r>
        <w:t xml:space="preserve">O carrossel das signatárias oferece controles anterior e próximo, marcadores de posição e rolagem horizontal. A configuração é repetida em três conjuntos para formar o percurso contínuo. O hook</w:t>
      </w:r>
      <w:r>
        <w:t xml:space="preserve"> </w:t>
      </w:r>
      <w:r>
        <w:rPr>
          <w:rStyle w:val="VerbatimChar"/>
        </w:rPr>
        <w:t xml:space="preserve">useSignatoriesCarousel</w:t>
      </w:r>
      <w:r>
        <w:t xml:space="preserve"> </w:t>
      </w:r>
      <w:r>
        <w:t xml:space="preserve">coordena dimensões, posição ativa, balanceamento da rolagem e avanço automático a cada cinco segundos. A animação de deslocamento utiliza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.</w:t>
      </w:r>
    </w:p>
    <w:p>
      <w:pPr>
        <w:pStyle w:val="BodyText"/>
      </w:pPr>
      <w:r>
        <w:t xml:space="preserve">Na página inicial, uma faixa movimenta os logos dos participantes; a seção final utiliza a lista estática de parceiros. O componente de apresentação organiza uma sequência entre início, chancela, metodologia e trilha. As teclas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alternam tela cheia, enquanto setas e PageUp/PageDown percorrem essa sequência nas condições definidas pelo componente.</w:t>
      </w:r>
    </w:p>
    <w:p>
      <w:pPr>
        <w:pStyle w:val="BodyText"/>
      </w:pPr>
      <w:r>
        <w:rPr>
          <w:rStyle w:val="VerbatimChar"/>
        </w:rPr>
        <w:t xml:space="preserve">VLibrasWidget</w:t>
      </w:r>
      <w:r>
        <w:t xml:space="preserve"> </w:t>
      </w:r>
      <w:r>
        <w:t xml:space="preserve">cria a região</w:t>
      </w:r>
      <w:r>
        <w:t xml:space="preserve"> </w:t>
      </w:r>
      <w:r>
        <w:t xml:space="preserve">“</w:t>
      </w:r>
      <w:r>
        <w:t xml:space="preserve">Acessibilidade em Libras</w:t>
      </w:r>
      <w:r>
        <w:t xml:space="preserve">”</w:t>
      </w:r>
      <w:r>
        <w:t xml:space="preserve">, carrega o plugin de</w:t>
      </w:r>
      <w:r>
        <w:t xml:space="preserve"> </w:t>
      </w:r>
      <w:r>
        <w:rPr>
          <w:rStyle w:val="VerbatimChar"/>
        </w:rPr>
        <w:t xml:space="preserve">vlibras.gov.br</w:t>
      </w:r>
      <w:r>
        <w:t xml:space="preserve"> </w:t>
      </w:r>
      <w:r>
        <w:t xml:space="preserve">e instancia o widget com a URL de sua aplicação. A constante de identificação da integração é</w:t>
      </w:r>
      <w:r>
        <w:t xml:space="preserve"> </w:t>
      </w:r>
      <w:r>
        <w:rPr>
          <w:rStyle w:val="VerbatimChar"/>
        </w:rPr>
        <w:t xml:space="preserve">7.12.2</w:t>
      </w:r>
      <w:r>
        <w:t xml:space="preserve">. O componente mantém controles de tentativa e temporizadores e possui uma mensagem de estado para indisponibilidade. As preferências da barra superior são mantidas pelo estado de apresentação e sincronizadas com classes e atributos do documento.</w:t>
      </w:r>
    </w:p>
    <w:bookmarkEnd w:id="32"/>
    <w:bookmarkStart w:id="36" w:name="fronteira-entre-navegador-e-servidor"/>
    <w:p>
      <w:pPr>
        <w:pStyle w:val="Heading2"/>
      </w:pPr>
      <w:bookmarkStart w:id="10012" w:name="docsec_012"/>
      <w:r>
        <w:t xml:space="preserve">2.7 Fronteira entre navegador e servidor</w:t>
      </w:r>
      <w:bookmarkEnd w:id="10012"/>
    </w:p>
    <w:p>
      <w:pPr>
        <w:pStyle w:val="FirstParagraph"/>
      </w:pPr>
      <w:r>
        <w:t xml:space="preserve">A arquitetura reúne cliente web e servidor Node.js no mesmo repositório. O cliente apresenta os catálogos, organiza a navegação, mantém o estado do formulário e envia a manifestação de interesse. O servidor Express recebe a operação HTTP, valida sua estrutura e conduz a persistência por Firebase Admin e Firestore.</w:t>
      </w:r>
    </w:p>
    <w:p>
      <w:pPr>
        <w:pStyle w:val="BodyText"/>
      </w:pPr>
      <w:r>
        <w:rPr>
          <w:rStyle w:val="VerbatimChar"/>
        </w:rPr>
        <w:t xml:space="preserve">src/types/leads.ts</w:t>
      </w:r>
      <w:r>
        <w:t xml:space="preserve"> </w:t>
      </w:r>
      <w:r>
        <w:t xml:space="preserve">contém o contrato TypeScript e o schema Zod da manifestação.</w:t>
      </w:r>
      <w:r>
        <w:t xml:space="preserve"> </w:t>
      </w:r>
      <w:r>
        <w:rPr>
          <w:rStyle w:val="VerbatimChar"/>
        </w:rPr>
        <w:t xml:space="preserve">src/api/leadsService.ts</w:t>
      </w:r>
      <w:r>
        <w:t xml:space="preserve"> </w:t>
      </w:r>
      <w:r>
        <w:t xml:space="preserve">implementa a chamada</w:t>
      </w:r>
      <w:r>
        <w:t xml:space="preserve"> </w:t>
      </w:r>
      <w:r>
        <w:rPr>
          <w:rStyle w:val="VerbatimChar"/>
        </w:rPr>
        <w:t xml:space="preserve">POST /api/registrar-interesse</w:t>
      </w:r>
      <w:r>
        <w:t xml:space="preserve">, serializa o corpo JSON e interpreta a resposta. O serviço distingue a resposta de duplicidade das demais respostas de erro e entrega o resultado ao fluxo da interface.</w:t>
      </w:r>
    </w:p>
    <w:p>
      <w:pPr>
        <w:pStyle w:val="BodyText"/>
      </w:pPr>
      <w:r>
        <w:rPr>
          <w:rStyle w:val="VerbatimChar"/>
        </w:rPr>
        <w:t xml:space="preserve">server.ts</w:t>
      </w:r>
      <w:r>
        <w:t xml:space="preserve"> </w:t>
      </w:r>
      <w:r>
        <w:t xml:space="preserve">organiza os middlewares e a rota de registro. As funções de</w:t>
      </w:r>
      <w:r>
        <w:t xml:space="preserve"> </w:t>
      </w:r>
      <w:r>
        <w:rPr>
          <w:rStyle w:val="VerbatimChar"/>
        </w:rPr>
        <w:t xml:space="preserve">src/server</w:t>
      </w:r>
      <w:r>
        <w:t xml:space="preserve"> </w:t>
      </w:r>
      <w:r>
        <w:t xml:space="preserve">distribuem as responsabilidades de persistência, construção dos registros e cabeçalhos HTTP. A preparação dos registros operacionais e dos dados de contato ocorre nesse lado da arquitetura. O navegador comunica-se com a API da aplicação, e a integração administrativa com Firestore é realizada pelo servidor.</w:t>
      </w:r>
    </w:p>
    <w:p>
      <w:pPr>
        <w:pStyle w:val="BodyText"/>
      </w:pPr>
      <w:r>
        <w:t xml:space="preserve">Em desenvolvimento, o servidor integra os middlewares do Vite. Em produção, entrega os arquivos compilados de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e o documento de entrada da aplicação para as rotas do cliente. Os assets em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participam da distribuição estática. Assim, o mesmo processo conecta a entrega da interface ao endpoint usado pelo formulário.</w:t>
      </w:r>
    </w:p>
    <w:p>
      <w:pPr>
        <w:pStyle w:val="CaptionedFigure"/>
        <w:keepNext w:val="0"/>
        <w:jc w:val="center"/>
      </w:pPr>
      <w:r>
        <w:drawing>
          <wp:inline>
            <wp:extent cx="6045200" cy="3227522"/>
            <wp:effectExtent b="0" l="0" r="0" t="0"/>
            <wp:docPr descr="Figura 2 — Comunicação entre navegador, API Express e Firestore." title="" id="34" name="Picture"/>
            <a:graphic>
              <a:graphicData uri="http://schemas.openxmlformats.org/drawingml/2006/picture">
                <pic:pic>
                  <pic:nvPicPr>
                    <pic:cNvPr descr="diagrams/02_camada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3227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 xml:space="preserve">Figura 2 — Comunicação entre navegador, API Express e Firestore.</w:t>
      </w:r>
    </w:p>
    <w:bookmarkEnd w:id="36"/>
    <w:bookmarkStart w:id="37" w:name="Xff5a557133ba4c0b6795734c265e6133041096f"/>
    <w:p>
      <w:pPr>
        <w:pStyle w:val="Heading2"/>
      </w:pPr>
      <w:bookmarkStart w:id="10013" w:name="docsec_013"/>
      <w:r>
        <w:t xml:space="preserve">2.8 Manifestação de interesse como ligação entre as camadas</w:t>
      </w:r>
      <w:bookmarkEnd w:id="10013"/>
    </w:p>
    <w:p>
      <w:pPr>
        <w:pStyle w:val="FirstParagraph"/>
      </w:pPr>
      <w:r>
        <w:t xml:space="preserve">O formulário agrupa campos de instituição, campus, pessoa de contato, cargo, e-mail, telefone, curso, previsão e observações.</w:t>
      </w:r>
      <w:r>
        <w:t xml:space="preserve"> </w:t>
      </w:r>
      <w:r>
        <w:rPr>
          <w:rStyle w:val="VerbatimChar"/>
        </w:rPr>
        <w:t xml:space="preserve">useInterestForm</w:t>
      </w:r>
      <w:r>
        <w:t xml:space="preserve"> </w:t>
      </w:r>
      <w:r>
        <w:t xml:space="preserve">mantém esses valores, a situação de envio e a mensagem de erro. Na submissão, reúne o payload e chama o serviço de API. Durante o processamento, o comando principal indica</w:t>
      </w:r>
      <w:r>
        <w:t xml:space="preserve"> </w:t>
      </w:r>
      <w:r>
        <w:t xml:space="preserve">“</w:t>
      </w:r>
      <w:r>
        <w:t xml:space="preserve">Registrando…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A página recebe a conclusão por callback e passa a apresentar a mensagem de interesse registrado, com o primeiro nome do contato e um link de retorno à página principal. Esse percurso conecta o conhecimento da proposta curricular ao registro dos dados necessários para a continuidade do contato institucional.</w:t>
      </w:r>
    </w:p>
    <w:bookmarkEnd w:id="37"/>
    <w:bookmarkEnd w:id="38"/>
    <w:bookmarkStart w:id="48" w:name="interface-web-navegação-e-interação"/>
    <w:p>
      <w:pPr>
        <w:pStyle w:val="Heading1"/>
      </w:pPr>
      <w:bookmarkStart w:id="10014" w:name="docsec_014"/>
      <w:r>
        <w:t xml:space="preserve">3. Interface web, navegação e interação</w:t>
      </w:r>
      <w:bookmarkEnd w:id="10014"/>
    </w:p>
    <w:p>
      <w:pPr>
        <w:pStyle w:val="FirstParagraph"/>
      </w:pPr>
      <w:r>
        <w:t xml:space="preserve">Este capítulo descreve a interface React do Componente Curricular de ASG e ODS, tomando como referência o commit</w:t>
      </w:r>
      <w:r>
        <w:t xml:space="preserve"> </w:t>
      </w:r>
      <w:r>
        <w:rPr>
          <w:rStyle w:val="VerbatimChar"/>
        </w:rPr>
        <w:t xml:space="preserve">9a126c65ba902e19b31bc695be0ccc172df7167f</w:t>
      </w:r>
      <w:r>
        <w:t xml:space="preserve">. A aplicação organiza a apresentação institucional em páginas públicas e concentra a manifestação de interesse em uma tela própria. Componentes visuais, estado de formulário, comunicação com a API e preferências de acessibilidade têm responsabilidades específicas dentro dessa composição.</w:t>
      </w:r>
    </w:p>
    <w:bookmarkStart w:id="39" w:name="montagem-e-composição-da-aplicação"/>
    <w:p>
      <w:pPr>
        <w:pStyle w:val="Heading2"/>
      </w:pPr>
      <w:bookmarkStart w:id="10015" w:name="docsec_015"/>
      <w:r>
        <w:t xml:space="preserve">3.1 Montagem e composição da aplicação</w:t>
      </w:r>
      <w:bookmarkEnd w:id="10015"/>
    </w:p>
    <w:p>
      <w:pPr>
        <w:pStyle w:val="FirstParagraph"/>
      </w:pPr>
      <w:r>
        <w:t xml:space="preserve">O documento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define idioma</w:t>
      </w:r>
      <w:r>
        <w:t xml:space="preserve"> </w:t>
      </w:r>
      <w:r>
        <w:rPr>
          <w:rStyle w:val="VerbatimChar"/>
        </w:rPr>
        <w:t xml:space="preserve">pt-BR</w:t>
      </w:r>
      <w:r>
        <w:t xml:space="preserve">, metadados, título inicial e o elemento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 Dentro desse elemento existem cabeçalhos estáticos com o nome do componente curricular e do CRA-SP. A entrada JavaScript está em</w:t>
      </w:r>
      <w:r>
        <w:t xml:space="preserve"> </w:t>
      </w:r>
      <w:r>
        <w:rPr>
          <w:rStyle w:val="VerbatimChar"/>
        </w:rPr>
        <w:t xml:space="preserve">src/main.tsx</w:t>
      </w:r>
      <w:r>
        <w:t xml:space="preserve">: ela importa a folha global</w:t>
      </w:r>
      <w:r>
        <w:t xml:space="preserve"> </w:t>
      </w:r>
      <w:r>
        <w:rPr>
          <w:rStyle w:val="VerbatimChar"/>
        </w:rPr>
        <w:t xml:space="preserve">src/index.css</w:t>
      </w:r>
      <w:r>
        <w:t xml:space="preserve">, cria a raiz React com</w:t>
      </w:r>
      <w:r>
        <w:t xml:space="preserve"> </w:t>
      </w:r>
      <w:r>
        <w:rPr>
          <w:rStyle w:val="VerbatimChar"/>
        </w:rPr>
        <w:t xml:space="preserve">createRoot</w:t>
      </w:r>
      <w:r>
        <w:t xml:space="preserve"> </w:t>
      </w:r>
      <w:r>
        <w:t xml:space="preserve">e renderiza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dentro de</w:t>
      </w:r>
      <w:r>
        <w:t xml:space="preserve"> </w:t>
      </w:r>
      <w:r>
        <w:rPr>
          <w:rStyle w:val="VerbatimChar"/>
        </w:rPr>
        <w:t xml:space="preserve">StrictMode</w:t>
      </w:r>
      <w:r>
        <w:t xml:space="preserve">. A montagem React passa a fornecer o conteúdo da interface nesse ponto do documento.</w:t>
      </w:r>
    </w:p>
    <w:p>
      <w:pPr>
        <w:pStyle w:val="BodyText"/>
      </w:pPr>
      <w:r>
        <w:rPr>
          <w:rStyle w:val="VerbatimChar"/>
        </w:rPr>
        <w:t xml:space="preserve">src/App.tsx</w:t>
      </w:r>
      <w:r>
        <w:t xml:space="preserve"> </w:t>
      </w:r>
      <w:r>
        <w:t xml:space="preserve">compõe quatro responsabilidades: roteamento, posição de rolagem, sincronização visual das preferências e recursos complementares.</w:t>
      </w:r>
      <w:r>
        <w:t xml:space="preserve"> </w:t>
      </w:r>
      <w:r>
        <w:rPr>
          <w:rStyle w:val="VerbatimChar"/>
        </w:rPr>
        <w:t xml:space="preserve">BrowserRouter</w:t>
      </w:r>
      <w:r>
        <w:t xml:space="preserve"> </w:t>
      </w:r>
      <w:r>
        <w:t xml:space="preserve">oferece o contexto de navegação usado pelos links e páginas.</w:t>
      </w:r>
      <w:r>
        <w:t xml:space="preserve"> </w:t>
      </w:r>
      <w:r>
        <w:rPr>
          <w:rStyle w:val="VerbatimChar"/>
        </w:rPr>
        <w:t xml:space="preserve">ScrollToTopHost</w:t>
      </w:r>
      <w:r>
        <w:t xml:space="preserve"> </w:t>
      </w:r>
      <w:r>
        <w:t xml:space="preserve">observa o caminho atual e executa a rolagem para o início quando ele muda.</w:t>
      </w:r>
      <w:r>
        <w:t xml:space="preserve"> </w:t>
      </w:r>
      <w:r>
        <w:rPr>
          <w:rStyle w:val="VerbatimChar"/>
        </w:rPr>
        <w:t xml:space="preserve">AccessibilitySyncHost</w:t>
      </w:r>
      <w:r>
        <w:t xml:space="preserve"> </w:t>
      </w:r>
      <w:r>
        <w:t xml:space="preserve">mantém as preferências de fonte e contraste aplicadas ao elemento HTML durante a navegação.</w:t>
      </w:r>
    </w:p>
    <w:p>
      <w:pPr>
        <w:pStyle w:val="BodyText"/>
      </w:pPr>
      <w:r>
        <w:rPr>
          <w:rStyle w:val="VerbatimChar"/>
        </w:rPr>
        <w:t xml:space="preserve">AppRoutes</w:t>
      </w:r>
      <w:r>
        <w:t xml:space="preserve"> </w:t>
      </w:r>
      <w:r>
        <w:t xml:space="preserve">fornece as telas.</w:t>
      </w:r>
      <w:r>
        <w:t xml:space="preserve"> </w:t>
      </w:r>
      <w:r>
        <w:rPr>
          <w:rStyle w:val="VerbatimChar"/>
        </w:rPr>
        <w:t xml:space="preserve">PresentationMode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VLibrasWidget</w:t>
      </w:r>
      <w:r>
        <w:t xml:space="preserve"> </w:t>
      </w:r>
      <w:r>
        <w:t xml:space="preserve">são carregados com</w:t>
      </w:r>
      <w:r>
        <w:t xml:space="preserve"> </w:t>
      </w:r>
      <w:r>
        <w:rPr>
          <w:rStyle w:val="VerbatimChar"/>
        </w:rPr>
        <w:t xml:space="preserve">lazy</w:t>
      </w:r>
      <w:r>
        <w:t xml:space="preserve"> </w:t>
      </w:r>
      <w:r>
        <w:t xml:space="preserve">e reunidos em um</w:t>
      </w:r>
      <w:r>
        <w:t xml:space="preserve"> </w:t>
      </w:r>
      <w:r>
        <w:rPr>
          <w:rStyle w:val="VerbatimChar"/>
        </w:rPr>
        <w:t xml:space="preserve">Suspense</w:t>
      </w:r>
      <w:r>
        <w:t xml:space="preserve"> </w:t>
      </w:r>
      <w:r>
        <w:t xml:space="preserve">com conteúdo de espera nulo. O primeiro instala ações de teclado; o segundo compõe o recurso de tradução em Libras. A organização permite que esses recursos sejam montados na composição geral da aplicação, enquanto as páginas continuam descritas no módulo de rotas.</w:t>
      </w:r>
    </w:p>
    <w:bookmarkEnd w:id="39"/>
    <w:bookmarkStart w:id="40" w:name="rotas-e-páginas"/>
    <w:p>
      <w:pPr>
        <w:pStyle w:val="Heading2"/>
      </w:pPr>
      <w:bookmarkStart w:id="10016" w:name="docsec_016"/>
      <w:r>
        <w:t xml:space="preserve">3.2 Rotas e páginas</w:t>
      </w:r>
      <w:bookmarkEnd w:id="10016"/>
    </w:p>
    <w:p>
      <w:pPr>
        <w:pStyle w:val="FirstParagraph"/>
      </w:pPr>
      <w:r>
        <w:t xml:space="preserve">O mapa de navegação está em</w:t>
      </w:r>
      <w:r>
        <w:t xml:space="preserve"> </w:t>
      </w:r>
      <w:r>
        <w:rPr>
          <w:rStyle w:val="VerbatimChar"/>
        </w:rPr>
        <w:t xml:space="preserve">src/routes/index.tsx</w:t>
      </w:r>
      <w:r>
        <w:t xml:space="preserve">. A home é importada diretamente; Metodologia, Chancela, Trilha e Registro de Interesse usam carregamento por</w:t>
      </w:r>
      <w:r>
        <w:t xml:space="preserve"> </w:t>
      </w:r>
      <w:r>
        <w:rPr>
          <w:rStyle w:val="VerbatimChar"/>
        </w:rPr>
        <w:t xml:space="preserve">lazy</w:t>
      </w:r>
      <w:r>
        <w:t xml:space="preserve">. Durante o carregamento de uma página,</w:t>
      </w:r>
      <w:r>
        <w:t xml:space="preserve"> </w:t>
      </w:r>
      <w:r>
        <w:rPr>
          <w:rStyle w:val="VerbatimChar"/>
        </w:rPr>
        <w:t xml:space="preserve">PageFallback</w:t>
      </w:r>
      <w:r>
        <w:t xml:space="preserve"> </w:t>
      </w:r>
      <w:r>
        <w:t xml:space="preserve">apresenta um indicador circular dentro de uma região com</w:t>
      </w:r>
      <w:r>
        <w:t xml:space="preserve"> </w:t>
      </w:r>
      <w:r>
        <w:rPr>
          <w:rStyle w:val="VerbatimChar"/>
        </w:rPr>
        <w:t xml:space="preserve">aria-busy="true"</w:t>
      </w:r>
      <w:r>
        <w:t xml:space="preserve">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DCE3ED"/>
          <w:left w:val="single" w:sz="4" w:color="DCE3ED"/>
          <w:bottom w:val="single" w:sz="4" w:color="DCE3ED"/>
          <w:right w:val="single" w:sz="4" w:color="DCE3ED"/>
          <w:insideH w:val="single" w:sz="4" w:color="DCE3ED"/>
          <w:insideV w:val="single" w:sz="4" w:color="DCE3ED"/>
        </w:tblBorders>
      </w:tblPr>
      <w:tblGrid>
        <w:gridCol w:w="2381"/>
        <w:gridCol w:w="2857"/>
        <w:gridCol w:w="4286"/>
      </w:tblGrid>
      <w:tr>
        <w:trPr>
          <w:tblHeader w:val="on"/>
          <w:cantSplit/>
        </w:trPr>
        <w:tc>
          <w:tcPr>
            <w:tcW w:type="dxa" w:w="2381"/>
            <w:shd w:fill="233B82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Endereço</w:t>
            </w:r>
          </w:p>
        </w:tc>
        <w:tc>
          <w:tcPr>
            <w:tcW w:type="dxa" w:w="2857"/>
            <w:shd w:fill="233B82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Componente ou destino</w:t>
            </w:r>
          </w:p>
        </w:tc>
        <w:tc>
          <w:tcPr>
            <w:tcW w:type="dxa" w:w="4286"/>
            <w:shd w:fill="233B82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Papel no fluxo</w:t>
            </w:r>
          </w:p>
        </w:tc>
      </w:tr>
      <w:tr>
        <w:trPr>
          <w:cantSplit/>
        </w:trPr>
        <w:tc>
          <w:tcPr>
            <w:tcW w:type="dxa" w:w="2381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/</w:t>
            </w:r>
          </w:p>
        </w:tc>
        <w:tc>
          <w:tcPr>
            <w:tcW w:type="dxa" w:w="2857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Home</w:t>
            </w:r>
          </w:p>
        </w:tc>
        <w:tc>
          <w:tcPr>
            <w:tcW w:type="dxa" w:w="4286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Apresentação geral e entradas para os conteúdos.</w:t>
            </w:r>
          </w:p>
        </w:tc>
      </w:tr>
      <w:tr>
        <w:trPr>
          <w:cantSplit/>
        </w:trPr>
        <w:tc>
          <w:tcPr>
            <w:tcW w:type="dxa" w:w="2381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/chancela</w:t>
            </w:r>
          </w:p>
        </w:tc>
        <w:tc>
          <w:tcPr>
            <w:tcW w:type="dxa" w:w="2857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Chancela</w:t>
            </w:r>
          </w:p>
        </w:tc>
        <w:tc>
          <w:tcPr>
            <w:tcW w:type="dxa" w:w="4286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Apresentação da chancela e dos signatários.</w:t>
            </w:r>
          </w:p>
        </w:tc>
      </w:tr>
      <w:tr>
        <w:trPr>
          <w:cantSplit/>
        </w:trPr>
        <w:tc>
          <w:tcPr>
            <w:tcW w:type="dxa" w:w="2381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/metodologia</w:t>
            </w:r>
          </w:p>
        </w:tc>
        <w:tc>
          <w:tcPr>
            <w:tcW w:type="dxa" w:w="2857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Metodologia</w:t>
            </w:r>
          </w:p>
        </w:tc>
        <w:tc>
          <w:tcPr>
            <w:tcW w:type="dxa" w:w="4286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Organização da metodologia e de sua implementação.</w:t>
            </w:r>
          </w:p>
        </w:tc>
      </w:tr>
      <w:tr>
        <w:trPr>
          <w:cantSplit/>
        </w:trPr>
        <w:tc>
          <w:tcPr>
            <w:tcW w:type="dxa" w:w="2381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/trilha</w:t>
            </w:r>
          </w:p>
        </w:tc>
        <w:tc>
          <w:tcPr>
            <w:tcW w:type="dxa" w:w="2857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Trilha</w:t>
            </w:r>
          </w:p>
        </w:tc>
        <w:tc>
          <w:tcPr>
            <w:tcW w:type="dxa" w:w="4286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Exposição dos módulos e objetivos de aprendizagem.</w:t>
            </w:r>
          </w:p>
        </w:tc>
      </w:tr>
      <w:tr>
        <w:trPr>
          <w:cantSplit/>
        </w:trPr>
        <w:tc>
          <w:tcPr>
            <w:tcW w:type="dxa" w:w="2381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/registro-interesse</w:t>
            </w:r>
          </w:p>
        </w:tc>
        <w:tc>
          <w:tcPr>
            <w:tcW w:type="dxa" w:w="2857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InterestRegistrationPage</w:t>
            </w:r>
          </w:p>
        </w:tc>
        <w:tc>
          <w:tcPr>
            <w:tcW w:type="dxa" w:w="4286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Preenchimento e confirmação da manifestação.</w:t>
            </w:r>
          </w:p>
        </w:tc>
      </w:tr>
      <w:tr>
        <w:trPr>
          <w:cantSplit/>
        </w:trPr>
        <w:tc>
          <w:tcPr>
            <w:tcW w:type="dxa" w:w="2381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/login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/cadastro</w:t>
            </w:r>
          </w:p>
        </w:tc>
        <w:tc>
          <w:tcPr>
            <w:tcW w:type="dxa" w:w="2857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Redirecionamento para registro</w:t>
            </w:r>
          </w:p>
        </w:tc>
        <w:tc>
          <w:tcPr>
            <w:tcW w:type="dxa" w:w="4286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Entradas alternativas para o mesmo formulário.</w:t>
            </w:r>
          </w:p>
        </w:tc>
      </w:tr>
      <w:tr>
        <w:trPr>
          <w:cantSplit/>
        </w:trPr>
        <w:tc>
          <w:tcPr>
            <w:tcW w:type="dxa" w:w="2381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/area-docente/*</w:t>
            </w:r>
          </w:p>
        </w:tc>
        <w:tc>
          <w:tcPr>
            <w:tcW w:type="dxa" w:w="2857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Redirecionamento para registro</w:t>
            </w:r>
          </w:p>
        </w:tc>
        <w:tc>
          <w:tcPr>
            <w:tcW w:type="dxa" w:w="4286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Encaminhamento dos caminhos dessa família.</w:t>
            </w:r>
          </w:p>
        </w:tc>
      </w:tr>
      <w:tr>
        <w:trPr>
          <w:cantSplit/>
        </w:trPr>
        <w:tc>
          <w:tcPr>
            <w:tcW w:type="dxa" w:w="2381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Demais caminhos</w:t>
            </w:r>
          </w:p>
        </w:tc>
        <w:tc>
          <w:tcPr>
            <w:tcW w:type="dxa" w:w="2857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Redirecionamento para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</w:t>
            </w:r>
          </w:p>
        </w:tc>
        <w:tc>
          <w:tcPr>
            <w:tcW w:type="dxa" w:w="4286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Convergência para a página inicial.</w:t>
            </w:r>
          </w:p>
        </w:tc>
      </w:tr>
    </w:tbl>
    <w:p>
      <w:pPr>
        <w:pStyle w:val="BodyText"/>
      </w:pPr>
      <w:r>
        <w:t xml:space="preserve">Os redirecionamentos usam</w:t>
      </w:r>
      <w:r>
        <w:t xml:space="preserve"> </w:t>
      </w:r>
      <w:r>
        <w:rPr>
          <w:rStyle w:val="VerbatimChar"/>
        </w:rPr>
        <w:t xml:space="preserve">Navigate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replace</w:t>
      </w:r>
      <w:r>
        <w:t xml:space="preserve">, substituindo a entrada corrente do histórico. O botão</w:t>
      </w:r>
      <w:r>
        <w:t xml:space="preserve"> </w:t>
      </w:r>
      <w:r>
        <w:t xml:space="preserve">“</w:t>
      </w:r>
      <w:r>
        <w:t xml:space="preserve">Entrar</w:t>
      </w:r>
      <w:r>
        <w:t xml:space="preserve">”</w:t>
      </w:r>
      <w:r>
        <w:t xml:space="preserve"> </w:t>
      </w:r>
      <w:r>
        <w:t xml:space="preserve">da barra superior aponta para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e segue esse encaminhamento até o registro. Nesse mapa, os endereços login, cadastro e área docente cumprem a função de acesso à manifestação de interesse.</w:t>
      </w:r>
    </w:p>
    <w:p>
      <w:pPr>
        <w:pStyle w:val="BodyText"/>
      </w:pPr>
      <w:r>
        <w:t xml:space="preserve">As páginas públicas pertencem a</w:t>
      </w:r>
      <w:r>
        <w:t xml:space="preserve"> </w:t>
      </w:r>
      <w:r>
        <w:rPr>
          <w:rStyle w:val="VerbatimChar"/>
        </w:rPr>
        <w:t xml:space="preserve">PublicLayout</w:t>
      </w:r>
      <w:r>
        <w:t xml:space="preserve">.</w:t>
      </w:r>
      <w:r>
        <w:t xml:space="preserve"> </w:t>
      </w:r>
      <w:r>
        <w:rPr>
          <w:rStyle w:val="VerbatimChar"/>
        </w:rPr>
        <w:t xml:space="preserve">Home</w:t>
      </w:r>
      <w:r>
        <w:t xml:space="preserve"> </w:t>
      </w:r>
      <w:r>
        <w:t xml:space="preserve">reúne hero, banners, módulos, faixa de adesão, perguntas frequentes e parceiros; parte dessas seções utiliza carregamento tardio.</w:t>
      </w:r>
      <w:r>
        <w:t xml:space="preserve"> </w:t>
      </w:r>
      <w:r>
        <w:rPr>
          <w:rStyle w:val="VerbatimChar"/>
        </w:rPr>
        <w:t xml:space="preserve">Chancela</w:t>
      </w:r>
      <w:r>
        <w:t xml:space="preserve"> </w:t>
      </w:r>
      <w:r>
        <w:t xml:space="preserve">combina banner, manifesto, filtros gráficos e carrossel de signatários.</w:t>
      </w:r>
      <w:r>
        <w:t xml:space="preserve"> </w:t>
      </w:r>
      <w:r>
        <w:rPr>
          <w:rStyle w:val="VerbatimChar"/>
        </w:rPr>
        <w:t xml:space="preserve">Metodologia</w:t>
      </w:r>
      <w:r>
        <w:t xml:space="preserve"> </w:t>
      </w:r>
      <w:r>
        <w:t xml:space="preserve">reúne banner, pilares, formatos e implementação.</w:t>
      </w:r>
      <w:r>
        <w:t xml:space="preserve"> </w:t>
      </w:r>
      <w:r>
        <w:rPr>
          <w:rStyle w:val="VerbatimChar"/>
        </w:rPr>
        <w:t xml:space="preserve">Trilha</w:t>
      </w:r>
      <w:r>
        <w:t xml:space="preserve"> </w:t>
      </w:r>
      <w:r>
        <w:t xml:space="preserve">combina banner e linha de módulos. Cada página coordena componentes próprios de sua seção e utiliza os catálogos correspondentes em</w:t>
      </w:r>
      <w:r>
        <w:t xml:space="preserve"> </w:t>
      </w:r>
      <w:r>
        <w:rPr>
          <w:rStyle w:val="VerbatimChar"/>
        </w:rPr>
        <w:t xml:space="preserve">src/constants</w:t>
      </w:r>
      <w:r>
        <w:t xml:space="preserve">.</w:t>
      </w:r>
    </w:p>
    <w:bookmarkEnd w:id="40"/>
    <w:bookmarkStart w:id="41" w:name="layouts-e-navegação-institucional"/>
    <w:p>
      <w:pPr>
        <w:pStyle w:val="Heading2"/>
      </w:pPr>
      <w:bookmarkStart w:id="10017" w:name="docsec_017"/>
      <w:r>
        <w:t xml:space="preserve">3.3 Layouts e navegação institucional</w:t>
      </w:r>
      <w:bookmarkEnd w:id="10017"/>
    </w:p>
    <w:p>
      <w:pPr>
        <w:pStyle w:val="FirstParagraph"/>
      </w:pPr>
      <w:r>
        <w:rPr>
          <w:rStyle w:val="VerbatimChar"/>
        </w:rPr>
        <w:t xml:space="preserve">PublicLayout</w:t>
      </w:r>
      <w:r>
        <w:t xml:space="preserve"> </w:t>
      </w:r>
      <w:r>
        <w:t xml:space="preserve">organiza a sequência</w:t>
      </w:r>
      <w:r>
        <w:t xml:space="preserve"> </w:t>
      </w:r>
      <w:r>
        <w:rPr>
          <w:rStyle w:val="VerbatimChar"/>
        </w:rPr>
        <w:t xml:space="preserve">TopBar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Header</w:t>
      </w:r>
      <w:r>
        <w:t xml:space="preserve">, conteúdo principal e</w:t>
      </w:r>
      <w:r>
        <w:t xml:space="preserve"> </w:t>
      </w:r>
      <w:r>
        <w:rPr>
          <w:rStyle w:val="VerbatimChar"/>
        </w:rPr>
        <w:t xml:space="preserve">Footer</w:t>
      </w:r>
      <w:r>
        <w:t xml:space="preserve">. O componente</w:t>
      </w:r>
      <w:r>
        <w:t xml:space="preserve"> </w:t>
      </w:r>
      <w:r>
        <w:rPr>
          <w:rStyle w:val="VerbatimChar"/>
        </w:rPr>
        <w:t xml:space="preserve">Outlet</w:t>
      </w:r>
      <w:r>
        <w:t xml:space="preserve">, dentro de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recebe a página escolhida pelo router. O layout define títulos de navegador por caminho: início, chancela institucional, metodologia e diretrizes, e trilha de aprendizagem. Quando a localização contém um fragmento, procura o elemento pelo identificador e agenda uma rolagem suave para ele. Nas navegações sem fragmento, posiciona a página no início.</w:t>
      </w:r>
    </w:p>
    <w:p>
      <w:pPr>
        <w:pStyle w:val="BodyText"/>
      </w:pPr>
      <w:r>
        <w:rPr>
          <w:rStyle w:val="VerbatimChar"/>
        </w:rPr>
        <w:t xml:space="preserve">TopBar</w:t>
      </w:r>
      <w:r>
        <w:t xml:space="preserve"> </w:t>
      </w:r>
      <w:r>
        <w:t xml:space="preserve">reúne ferramentas visuais, redes sociais e o acesso</w:t>
      </w:r>
      <w:r>
        <w:t xml:space="preserve"> </w:t>
      </w:r>
      <w:r>
        <w:t xml:space="preserve">“</w:t>
      </w:r>
      <w:r>
        <w:t xml:space="preserve">Entrar</w:t>
      </w:r>
      <w:r>
        <w:t xml:space="preserve">”</w:t>
      </w:r>
      <w:r>
        <w:t xml:space="preserve">. Seus componentes distribuem os botões de contraste, tamanho de fonte e privacidade, mantendo as funções de cada controle conectadas ao estado correspondente.</w:t>
      </w:r>
      <w:r>
        <w:t xml:space="preserve"> </w:t>
      </w:r>
      <w:r>
        <w:rPr>
          <w:rStyle w:val="VerbatimChar"/>
        </w:rPr>
        <w:t xml:space="preserve">TopBarSocial</w:t>
      </w:r>
      <w:r>
        <w:t xml:space="preserve"> </w:t>
      </w:r>
      <w:r>
        <w:t xml:space="preserve">descreve os links sociais e seus nomes acessíveis. O rodapé reúne endereço, contato, ouvidoria, acesso à informação, redes sociais e colunas de links institucionais.</w:t>
      </w:r>
    </w:p>
    <w:p>
      <w:pPr>
        <w:pStyle w:val="BodyText"/>
      </w:pPr>
      <w:r>
        <w:t xml:space="preserve">O cabeçalho apresenta o símbolo CRA-SP como link para a home.</w:t>
      </w:r>
      <w:r>
        <w:t xml:space="preserve"> </w:t>
      </w:r>
      <w:r>
        <w:rPr>
          <w:rStyle w:val="VerbatimChar"/>
        </w:rPr>
        <w:t xml:space="preserve">HeaderDesktopNav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HeaderMobileMenu</w:t>
      </w:r>
      <w:r>
        <w:t xml:space="preserve"> </w:t>
      </w:r>
      <w:r>
        <w:t xml:space="preserve">compartilham</w:t>
      </w:r>
      <w:r>
        <w:t xml:space="preserve"> </w:t>
      </w:r>
      <w:r>
        <w:rPr>
          <w:rStyle w:val="VerbatimChar"/>
        </w:rPr>
        <w:t xml:space="preserve">headerNavigation</w:t>
      </w:r>
      <w:r>
        <w:t xml:space="preserve">, em</w:t>
      </w:r>
      <w:r>
        <w:t xml:space="preserve"> </w:t>
      </w:r>
      <w:r>
        <w:rPr>
          <w:rStyle w:val="VerbatimChar"/>
        </w:rPr>
        <w:t xml:space="preserve">src/constants/navigation.ts</w:t>
      </w:r>
      <w:r>
        <w:t xml:space="preserve">, com três destinos: Chancela Institucional, Metodologia Dinâmica e Objetivos de Aprendizagem. A comparação entre o caminho atual e o destino do item identifica a página selecionada; o link correspondente recebe</w:t>
      </w:r>
      <w:r>
        <w:t xml:space="preserve"> </w:t>
      </w:r>
      <w:r>
        <w:rPr>
          <w:rStyle w:val="VerbatimChar"/>
        </w:rPr>
        <w:t xml:space="preserve">aria-current="page"</w:t>
      </w:r>
      <w:r>
        <w:t xml:space="preserve">.</w:t>
      </w:r>
    </w:p>
    <w:p>
      <w:pPr>
        <w:pStyle w:val="BodyText"/>
      </w:pPr>
      <w:r>
        <w:t xml:space="preserve">Em telas móveis,</w:t>
      </w:r>
      <w:r>
        <w:t xml:space="preserve"> </w:t>
      </w:r>
      <w:r>
        <w:rPr>
          <w:rStyle w:val="VerbatimChar"/>
        </w:rPr>
        <w:t xml:space="preserve">Header</w:t>
      </w:r>
      <w:r>
        <w:t xml:space="preserve"> </w:t>
      </w:r>
      <w:r>
        <w:t xml:space="preserve">mantém</w:t>
      </w:r>
      <w:r>
        <w:t xml:space="preserve"> </w:t>
      </w:r>
      <w:r>
        <w:rPr>
          <w:rStyle w:val="VerbatimChar"/>
        </w:rPr>
        <w:t xml:space="preserve">isMobileMenuOpen</w:t>
      </w:r>
      <w:r>
        <w:t xml:space="preserve"> </w:t>
      </w:r>
      <w:r>
        <w:t xml:space="preserve">como estado local. O botão alterna a abertura, troca seu ícone e atualiza</w:t>
      </w:r>
      <w:r>
        <w:t xml:space="preserve"> </w:t>
      </w:r>
      <w:r>
        <w:rPr>
          <w:rStyle w:val="VerbatimChar"/>
        </w:rPr>
        <w:t xml:space="preserve">aria-expanded</w:t>
      </w:r>
      <w:r>
        <w:t xml:space="preserve">, nome acessível e referência</w:t>
      </w:r>
      <w:r>
        <w:t xml:space="preserve"> </w:t>
      </w:r>
      <w:r>
        <w:rPr>
          <w:rStyle w:val="VerbatimChar"/>
        </w:rPr>
        <w:t xml:space="preserve">aria-controls</w:t>
      </w:r>
      <w:r>
        <w:t xml:space="preserve">. O menu é renderizado quando esse estado está ativo. Selecionar um item executa a navegação e a função de fechamento fornecida pelo cabeçalho.</w:t>
      </w:r>
    </w:p>
    <w:p>
      <w:pPr>
        <w:pStyle w:val="BodyText"/>
      </w:pPr>
      <w:r>
        <w:rPr>
          <w:rStyle w:val="VerbatimChar"/>
        </w:rPr>
        <w:t xml:space="preserve">InterestRegistrationPage</w:t>
      </w:r>
      <w:r>
        <w:t xml:space="preserve"> </w:t>
      </w:r>
      <w:r>
        <w:t xml:space="preserve">usa uma composição própria: a coluna</w:t>
      </w:r>
      <w:r>
        <w:t xml:space="preserve"> </w:t>
      </w:r>
      <w:r>
        <w:rPr>
          <w:rStyle w:val="VerbatimChar"/>
        </w:rPr>
        <w:t xml:space="preserve">LoginBrandingColumn</w:t>
      </w:r>
      <w:r>
        <w:t xml:space="preserve"> </w:t>
      </w:r>
      <w:r>
        <w:t xml:space="preserve">apresenta a identidade visual em telas grandes, e a área principal contém o retorno ao início e o formulário ou sua confirmação. Essa página estabelece o título</w:t>
      </w:r>
      <w:r>
        <w:t xml:space="preserve"> </w:t>
      </w:r>
      <w:r>
        <w:t xml:space="preserve">“</w:t>
      </w:r>
      <w:r>
        <w:t xml:space="preserve">Manifestação de Interesse | CRA-SP</w:t>
      </w:r>
      <w:r>
        <w:t xml:space="preserve">”</w:t>
      </w:r>
      <w:r>
        <w:t xml:space="preserve"> </w:t>
      </w:r>
      <w:r>
        <w:t xml:space="preserve">ao montar e posiciona a rolagem no início.</w:t>
      </w:r>
    </w:p>
    <w:bookmarkEnd w:id="41"/>
    <w:bookmarkStart w:id="42" w:name="formulário-e-seus-componentes"/>
    <w:p>
      <w:pPr>
        <w:pStyle w:val="Heading2"/>
      </w:pPr>
      <w:bookmarkStart w:id="10018" w:name="docsec_018"/>
      <w:r>
        <w:t xml:space="preserve">3.4 Formulário e seus componentes</w:t>
      </w:r>
      <w:bookmarkEnd w:id="10018"/>
    </w:p>
    <w:p>
      <w:pPr>
        <w:pStyle w:val="FirstParagraph"/>
      </w:pPr>
      <w:r>
        <w:rPr>
          <w:rStyle w:val="VerbatimChar"/>
        </w:rPr>
        <w:t xml:space="preserve">InterestForm</w:t>
      </w:r>
      <w:r>
        <w:t xml:space="preserve"> </w:t>
      </w:r>
      <w:r>
        <w:t xml:space="preserve">organiza o título, a região de mensagem, os grupos de campos e o botão de envio. Os componentes de campo recebem o valor atual e funções de atualização. Assim, os controles são conectados ao mesmo conjunto de dados administrado pelo hook</w:t>
      </w:r>
      <w:r>
        <w:t xml:space="preserve"> </w:t>
      </w:r>
      <w:r>
        <w:rPr>
          <w:rStyle w:val="VerbatimChar"/>
        </w:rPr>
        <w:t xml:space="preserve">useInterestForm</w:t>
      </w:r>
      <w:r>
        <w:t xml:space="preserve">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DCE3ED"/>
          <w:left w:val="single" w:sz="4" w:color="DCE3ED"/>
          <w:bottom w:val="single" w:sz="4" w:color="DCE3ED"/>
          <w:right w:val="single" w:sz="4" w:color="DCE3ED"/>
          <w:insideH w:val="single" w:sz="4" w:color="DCE3ED"/>
          <w:insideV w:val="single" w:sz="4" w:color="DCE3ED"/>
        </w:tblBorders>
      </w:tblPr>
      <w:tblGrid>
        <w:gridCol w:w="1905"/>
        <w:gridCol w:w="4286"/>
        <w:gridCol w:w="3334"/>
      </w:tblGrid>
      <w:tr>
        <w:trPr>
          <w:tblHeader w:val="on"/>
          <w:cantSplit/>
        </w:trPr>
        <w:tc>
          <w:tcPr>
            <w:tcW w:type="dxa" w:w="1905"/>
            <w:shd w:fill="233B82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Grupo</w:t>
            </w:r>
          </w:p>
        </w:tc>
        <w:tc>
          <w:tcPr>
            <w:tcW w:type="dxa" w:w="4286"/>
            <w:shd w:fill="233B82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Dados apresentados</w:t>
            </w:r>
          </w:p>
        </w:tc>
        <w:tc>
          <w:tcPr>
            <w:tcW w:type="dxa" w:w="3334"/>
            <w:shd w:fill="233B82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Componentes</w:t>
            </w:r>
          </w:p>
        </w:tc>
      </w:tr>
      <w:tr>
        <w:trPr>
          <w:cantSplit/>
        </w:trPr>
        <w:tc>
          <w:tcPr>
            <w:tcW w:type="dxa" w:w="1905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Instituição</w:t>
            </w:r>
          </w:p>
        </w:tc>
        <w:tc>
          <w:tcPr>
            <w:tcW w:type="dxa" w:w="4286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Instituição de Educação e campus/unidade</w:t>
            </w:r>
          </w:p>
        </w:tc>
        <w:tc>
          <w:tcPr>
            <w:tcW w:type="dxa" w:w="3334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InstitutionFields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IesInput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CampusInput</w:t>
            </w:r>
            <w:r>
              <w:rPr>
                <w:sz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05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Contato</w:t>
            </w:r>
          </w:p>
        </w:tc>
        <w:tc>
          <w:tcPr>
            <w:tcW w:type="dxa" w:w="4286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Nome completo, cargo/função, email institucional e telefone</w:t>
            </w:r>
          </w:p>
        </w:tc>
        <w:tc>
          <w:tcPr>
            <w:tcW w:type="dxa" w:w="3334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ContactFields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 seus controles individuais.</w:t>
            </w:r>
          </w:p>
        </w:tc>
      </w:tr>
      <w:tr>
        <w:trPr>
          <w:cantSplit/>
        </w:trPr>
        <w:tc>
          <w:tcPr>
            <w:tcW w:type="dxa" w:w="1905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Planejamento</w:t>
            </w:r>
          </w:p>
        </w:tc>
        <w:tc>
          <w:tcPr>
            <w:tcW w:type="dxa" w:w="4286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Curso principal, semestre pretendido e observações</w:t>
            </w:r>
          </w:p>
        </w:tc>
        <w:tc>
          <w:tcPr>
            <w:tcW w:type="dxa" w:w="3334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CourseFields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CourseSelect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SemesterSelect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ObservationsRow</w:t>
            </w:r>
            <w:r>
              <w:rPr>
                <w:sz w:val="18"/>
              </w:rPr>
              <w:t xml:space="preserve">.</w:t>
            </w:r>
          </w:p>
        </w:tc>
      </w:tr>
    </w:tbl>
    <w:p>
      <w:pPr>
        <w:pStyle w:val="BodyText"/>
      </w:pPr>
      <w:r>
        <w:t xml:space="preserve">Instituição, campus, nome, email, telefone e previsão são obrigatórios. Cargo, curso e observações completam o contexto informado pelo interessado. O semestre é selecionado entre o primeiro e o segundo semestre de 2027. Os catálogos de cargo e curso estão em</w:t>
      </w:r>
      <w:r>
        <w:t xml:space="preserve"> </w:t>
      </w:r>
      <w:r>
        <w:rPr>
          <w:rStyle w:val="VerbatimChar"/>
        </w:rPr>
        <w:t xml:space="preserve">src/constants/courses.ts</w:t>
      </w:r>
      <w:r>
        <w:t xml:space="preserve">. Os controles associam seus rótulos aos identificadores dos campos, e nome, email, telefone e instituição usam os tokens de preenchimento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tel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organization</w:t>
      </w:r>
      <w:r>
        <w:t xml:space="preserve">.</w:t>
      </w:r>
    </w:p>
    <w:p>
      <w:pPr>
        <w:pStyle w:val="BodyText"/>
      </w:pPr>
      <w:r>
        <w:t xml:space="preserve">O hook inicia os nove campos com strings vazias. Também mantém</w:t>
      </w:r>
      <w:r>
        <w:t xml:space="preserve"> </w:t>
      </w:r>
      <w:r>
        <w:rPr>
          <w:rStyle w:val="VerbatimChar"/>
        </w:rPr>
        <w:t xml:space="preserve">isLoading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. A função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recebe o nome de um campo e seu novo valor, produzindo um objeto de estado que preserva os demais dados. Esse objeto alimenta novamente os componentes visuais após cada atualização.</w:t>
      </w:r>
    </w:p>
    <w:p>
      <w:pPr>
        <w:pStyle w:val="BodyText"/>
      </w:pPr>
      <w:r>
        <w:t xml:space="preserve">O telefone utiliza</w:t>
      </w:r>
      <w:r>
        <w:t xml:space="preserve"> </w:t>
      </w:r>
      <w:r>
        <w:rPr>
          <w:rStyle w:val="VerbatimChar"/>
        </w:rPr>
        <w:t xml:space="preserve">formatPhone</w:t>
      </w:r>
      <w:r>
        <w:t xml:space="preserve">, em</w:t>
      </w:r>
      <w:r>
        <w:t xml:space="preserve"> </w:t>
      </w:r>
      <w:r>
        <w:rPr>
          <w:rStyle w:val="VerbatimChar"/>
        </w:rPr>
        <w:t xml:space="preserve">interestFormUtils.ts</w:t>
      </w:r>
      <w:r>
        <w:t xml:space="preserve">. A função remove caracteres não numéricos e, quando há mais de onze dígitos iniciados por 55, retira esse prefixo. Em seguida, trabalha com até onze dígitos e compõe a apresentação com DDD, espaço e hífen. A edição acompanha os comprimentos intermediários; números completos usam a organização de quatro ou cinco dígitos antes do hífen. O controle admite entrada de até vinte caracteres e chama a normalização em cada alteração.</w:t>
      </w:r>
    </w:p>
    <w:bookmarkEnd w:id="42"/>
    <w:bookmarkStart w:id="43" w:name="envio-mensagens-e-confirmação"/>
    <w:p>
      <w:pPr>
        <w:pStyle w:val="Heading2"/>
      </w:pPr>
      <w:bookmarkStart w:id="10019" w:name="docsec_019"/>
      <w:r>
        <w:t xml:space="preserve">3.5 Envio, mensagens e confirmação</w:t>
      </w:r>
      <w:bookmarkEnd w:id="10019"/>
    </w:p>
    <w:p>
      <w:pPr>
        <w:pStyle w:val="FirstParagraph"/>
      </w:pPr>
      <w:r>
        <w:t xml:space="preserve">O envio é coordenado por</w:t>
      </w:r>
      <w:r>
        <w:t xml:space="preserve"> </w:t>
      </w:r>
      <w:r>
        <w:rPr>
          <w:rStyle w:val="VerbatimChar"/>
        </w:rPr>
        <w:t xml:space="preserve">handleSubmit</w:t>
      </w:r>
      <w:r>
        <w:t xml:space="preserve">, em</w:t>
      </w:r>
      <w:r>
        <w:t xml:space="preserve"> </w:t>
      </w:r>
      <w:r>
        <w:rPr>
          <w:rStyle w:val="VerbatimChar"/>
        </w:rPr>
        <w:t xml:space="preserve">useInterestForm</w:t>
      </w:r>
      <w:r>
        <w:t xml:space="preserve">. A função intercepta o evento do formulário e verifica se os campos obrigatórios têm conteúdo após remoção de espaços externos. Quando algum deles está vazio, define a mensagem</w:t>
      </w:r>
      <w:r>
        <w:t xml:space="preserve"> </w:t>
      </w:r>
      <w:r>
        <w:t xml:space="preserve">“</w:t>
      </w:r>
      <w:r>
        <w:t xml:space="preserve">Por favor, preencha todos os campos obrigatórios.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Para iniciar a comunicação, o hook ativa</w:t>
      </w:r>
      <w:r>
        <w:t xml:space="preserve"> </w:t>
      </w:r>
      <w:r>
        <w:rPr>
          <w:rStyle w:val="VerbatimChar"/>
        </w:rPr>
        <w:t xml:space="preserve">isLoading</w:t>
      </w:r>
      <w:r>
        <w:t xml:space="preserve"> </w:t>
      </w:r>
      <w:r>
        <w:t xml:space="preserve">e limpa a mensagem anterior.</w:t>
      </w:r>
      <w:r>
        <w:t xml:space="preserve"> </w:t>
      </w:r>
      <w:r>
        <w:rPr>
          <w:rStyle w:val="VerbatimChar"/>
        </w:rPr>
        <w:t xml:space="preserve">buildPayload</w:t>
      </w:r>
      <w:r>
        <w:t xml:space="preserve"> </w:t>
      </w:r>
      <w:r>
        <w:t xml:space="preserve">prepara os dados: aplica</w:t>
      </w:r>
      <w:r>
        <w:t xml:space="preserve"> </w:t>
      </w:r>
      <w:r>
        <w:rPr>
          <w:rStyle w:val="VerbatimChar"/>
        </w:rPr>
        <w:t xml:space="preserve">trim</w:t>
      </w:r>
      <w:r>
        <w:t xml:space="preserve"> </w:t>
      </w:r>
      <w:r>
        <w:t xml:space="preserve">a nome, email, telefone, instituição, campus e observações; mantém os valores selecionados de cargo e curso; e transfere</w:t>
      </w:r>
      <w:r>
        <w:t xml:space="preserve"> </w:t>
      </w:r>
      <w:r>
        <w:rPr>
          <w:rStyle w:val="VerbatimChar"/>
        </w:rPr>
        <w:t xml:space="preserve">previsao</w:t>
      </w:r>
      <w:r>
        <w:t xml:space="preserve"> </w:t>
      </w:r>
      <w:r>
        <w:t xml:space="preserve">para a propriedade</w:t>
      </w:r>
      <w:r>
        <w:t xml:space="preserve"> </w:t>
      </w:r>
      <w:r>
        <w:rPr>
          <w:rStyle w:val="VerbatimChar"/>
        </w:rPr>
        <w:t xml:space="preserve">previsaoSemestre</w:t>
      </w:r>
      <w:r>
        <w:t xml:space="preserve">. O payload segue o tipo compartilhado</w:t>
      </w:r>
      <w:r>
        <w:t xml:space="preserve"> </w:t>
      </w:r>
      <w:r>
        <w:rPr>
          <w:rStyle w:val="VerbatimChar"/>
        </w:rPr>
        <w:t xml:space="preserve">LeadRegistrationInput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registrarManifestacaoInteresse</w:t>
      </w:r>
      <w:r>
        <w:t xml:space="preserve">, em</w:t>
      </w:r>
      <w:r>
        <w:t xml:space="preserve"> </w:t>
      </w:r>
      <w:r>
        <w:rPr>
          <w:rStyle w:val="VerbatimChar"/>
        </w:rPr>
        <w:t xml:space="preserve">src/api/leadsService.ts</w:t>
      </w:r>
      <w:r>
        <w:t xml:space="preserve">, envia um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/api/registrar-interesse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e corpo serializado. A função lê o corpo da resposta como JSON. O status 409 gera</w:t>
      </w:r>
      <w:r>
        <w:t xml:space="preserve"> </w:t>
      </w:r>
      <w:r>
        <w:rPr>
          <w:rStyle w:val="VerbatimChar"/>
        </w:rPr>
        <w:t xml:space="preserve">DuplicateLeadError</w:t>
      </w:r>
      <w:r>
        <w:t xml:space="preserve">. Nos demais casos, o retorno de sucesso depende de resposta HTTP bem-sucedida, corpo presente e propriedade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igual 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A função então disponibiliza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e a mensagem recebida ou o texto padrão de confirmação.</w:t>
      </w:r>
    </w:p>
    <w:p>
      <w:pPr>
        <w:pStyle w:val="BodyText"/>
      </w:pPr>
      <w:r>
        <w:t xml:space="preserve">As exceções chegam ao tratamento do hook.</w:t>
      </w:r>
      <w:r>
        <w:t xml:space="preserve"> </w:t>
      </w:r>
      <w:r>
        <w:rPr>
          <w:rStyle w:val="VerbatimChar"/>
        </w:rPr>
        <w:t xml:space="preserve">handleInterestError</w:t>
      </w:r>
      <w:r>
        <w:t xml:space="preserve"> </w:t>
      </w:r>
      <w:r>
        <w:t xml:space="preserve">reconhece duplicidade e apresenta a mensagem de manifestação já cadastrada para o email institucional. Mensagens características de falha de conexão recebem orientação em português para verificar a internet e tentar novamente. Outros erros utilizam a mensagem disponível ou o texto padrão de erro de envio.</w:t>
      </w:r>
      <w:r>
        <w:t xml:space="preserve"> </w:t>
      </w:r>
      <w:r>
        <w:rPr>
          <w:rStyle w:val="VerbatimChar"/>
        </w:rPr>
        <w:t xml:space="preserve">FormErrorNotice</w:t>
      </w:r>
      <w:r>
        <w:t xml:space="preserve"> </w:t>
      </w:r>
      <w:r>
        <w:t xml:space="preserve">renderiza a mensagem como alerta com anúncio assertivo.</w:t>
      </w:r>
    </w:p>
    <w:p>
      <w:pPr>
        <w:pStyle w:val="BodyText"/>
      </w:pPr>
      <w:r>
        <w:t xml:space="preserve">Durante a requisição,</w:t>
      </w:r>
      <w:r>
        <w:t xml:space="preserve"> </w:t>
      </w:r>
      <w:r>
        <w:rPr>
          <w:rStyle w:val="VerbatimChar"/>
        </w:rPr>
        <w:t xml:space="preserve">FormSubmitButton</w:t>
      </w:r>
      <w:r>
        <w:t xml:space="preserve"> </w:t>
      </w:r>
      <w:r>
        <w:t xml:space="preserve">fica desabilitado e apresenta</w:t>
      </w:r>
      <w:r>
        <w:t xml:space="preserve"> </w:t>
      </w:r>
      <w:r>
        <w:t xml:space="preserve">“</w:t>
      </w:r>
      <w:r>
        <w:t xml:space="preserve">Registrando…</w:t>
      </w:r>
      <w:r>
        <w:t xml:space="preserve">”</w:t>
      </w:r>
      <w:r>
        <w:t xml:space="preserve">. Ao finalizar o processamento, o hook desativa o carregamento. Quando o serviço retorna sucesso, chama</w:t>
      </w:r>
      <w:r>
        <w:t xml:space="preserve"> </w:t>
      </w:r>
      <w:r>
        <w:rPr>
          <w:rStyle w:val="VerbatimChar"/>
        </w:rPr>
        <w:t xml:space="preserve">onSuccess</w:t>
      </w:r>
      <w:r>
        <w:t xml:space="preserve"> </w:t>
      </w:r>
      <w:r>
        <w:t xml:space="preserve">com nome e instituição.</w:t>
      </w:r>
      <w:r>
        <w:t xml:space="preserve"> </w:t>
      </w:r>
      <w:r>
        <w:rPr>
          <w:rStyle w:val="VerbatimChar"/>
        </w:rPr>
        <w:t xml:space="preserve">InterestRegistrationPage</w:t>
      </w:r>
      <w:r>
        <w:t xml:space="preserve"> </w:t>
      </w:r>
      <w:r>
        <w:t xml:space="preserve">guarda esses dados em</w:t>
      </w:r>
      <w:r>
        <w:t xml:space="preserve"> </w:t>
      </w:r>
      <w:r>
        <w:rPr>
          <w:rStyle w:val="VerbatimChar"/>
        </w:rPr>
        <w:t xml:space="preserve">submittedData</w:t>
      </w:r>
      <w:r>
        <w:t xml:space="preserve"> </w:t>
      </w:r>
      <w:r>
        <w:t xml:space="preserve">e passa a renderizar</w:t>
      </w:r>
      <w:r>
        <w:t xml:space="preserve"> </w:t>
      </w:r>
      <w:r>
        <w:rPr>
          <w:rStyle w:val="VerbatimChar"/>
        </w:rPr>
        <w:t xml:space="preserve">InterestSuccessView</w:t>
      </w:r>
      <w:r>
        <w:t xml:space="preserve">.</w:t>
      </w:r>
    </w:p>
    <w:p>
      <w:pPr>
        <w:pStyle w:val="BodyText"/>
      </w:pPr>
      <w:r>
        <w:t xml:space="preserve">A confirmação mostra</w:t>
      </w:r>
      <w:r>
        <w:t xml:space="preserve"> </w:t>
      </w:r>
      <w:r>
        <w:t xml:space="preserve">“</w:t>
      </w:r>
      <w:r>
        <w:t xml:space="preserve">Interesse Registrado!</w:t>
      </w:r>
      <w:r>
        <w:t xml:space="preserve">”</w:t>
      </w:r>
      <w:r>
        <w:t xml:space="preserve">, extrai o primeiro nome para a saudação e apresenta o agradecimento. O texto informa que a equipe CRA-SP entrará em contato para orientar a adesão quando os conteúdos estiverem disponíveis.</w:t>
      </w:r>
      <w:r>
        <w:t xml:space="preserve"> </w:t>
      </w:r>
      <w:r>
        <w:rPr>
          <w:rStyle w:val="VerbatimChar"/>
        </w:rPr>
        <w:t xml:space="preserve">SuccessHomeButton</w:t>
      </w:r>
      <w:r>
        <w:t xml:space="preserve"> </w:t>
      </w:r>
      <w:r>
        <w:t xml:space="preserve">oferece o retorno à página principal. Esse encadeamento liga a mudança de tela à conclusão bem-sucedida da chamada à API.</w:t>
      </w:r>
    </w:p>
    <w:bookmarkEnd w:id="43"/>
    <w:bookmarkStart w:id="44" w:name="Xbfda974fa11f73453d1615554a2e9333258c974"/>
    <w:p>
      <w:pPr>
        <w:pStyle w:val="Heading2"/>
      </w:pPr>
      <w:bookmarkStart w:id="10020" w:name="docsec_020"/>
      <w:r>
        <w:t xml:space="preserve">3.6 Preferências de acessibilidade e sincronização visual</w:t>
      </w:r>
      <w:bookmarkEnd w:id="10020"/>
    </w:p>
    <w:p>
      <w:pPr>
        <w:pStyle w:val="FirstParagraph"/>
      </w:pPr>
      <w:r>
        <w:rPr>
          <w:rStyle w:val="VerbatimChar"/>
        </w:rPr>
        <w:t xml:space="preserve">src/store/useAccessibilityStore.ts</w:t>
      </w:r>
      <w:r>
        <w:t xml:space="preserve"> </w:t>
      </w:r>
      <w:r>
        <w:t xml:space="preserve">implementa um store externo conectado ao React por</w:t>
      </w:r>
      <w:r>
        <w:t xml:space="preserve"> </w:t>
      </w:r>
      <w:r>
        <w:rPr>
          <w:rStyle w:val="VerbatimChar"/>
        </w:rPr>
        <w:t xml:space="preserve">useSyncExternalStore</w:t>
      </w:r>
      <w:r>
        <w:t xml:space="preserve">. O estado contém</w:t>
      </w:r>
      <w:r>
        <w:t xml:space="preserve"> </w:t>
      </w:r>
      <w:r>
        <w:rPr>
          <w:rStyle w:val="VerbatimChar"/>
        </w:rPr>
        <w:t xml:space="preserve">fontSizeScale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isHighContrast</w:t>
      </w:r>
      <w:r>
        <w:t xml:space="preserve">. Os valores iniciais são escala 1,0 e contraste desligado. Na inicialização, a leitura de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busca o JSON da chave</w:t>
      </w:r>
      <w:r>
        <w:t xml:space="preserve"> </w:t>
      </w:r>
      <w:r>
        <w:rPr>
          <w:rStyle w:val="VerbatimChar"/>
        </w:rPr>
        <w:t xml:space="preserve">crasp_a11y_state</w:t>
      </w:r>
      <w:r>
        <w:t xml:space="preserve">; a interpretação da escala aceita valores numéricos finitos entre 1,0 e 1,2. A leitura ou interpretação que gera exceção utiliza o estado padrão.</w:t>
      </w:r>
    </w:p>
    <w:p>
      <w:pPr>
        <w:pStyle w:val="BodyText"/>
      </w:pPr>
      <w:r>
        <w:t xml:space="preserve">As ações públicas são</w:t>
      </w:r>
      <w:r>
        <w:t xml:space="preserve"> </w:t>
      </w:r>
      <w:r>
        <w:rPr>
          <w:rStyle w:val="VerbatimChar"/>
        </w:rPr>
        <w:t xml:space="preserve">toggleHighContrast</w:t>
      </w:r>
      <w:r>
        <w:t xml:space="preserve">,</w:t>
      </w:r>
      <w:r>
        <w:t xml:space="preserve"> </w:t>
      </w:r>
      <w:r>
        <w:rPr>
          <w:rStyle w:val="VerbatimChar"/>
        </w:rPr>
        <w:t xml:space="preserve">increaseFontSize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decreaseFontSize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resetFontSize</w:t>
      </w:r>
      <w:r>
        <w:t xml:space="preserve">. A fonte aumenta ou diminui em passos de 0,1, respeitando os limites de 1,0 e 1,2; a ação de retorno define 1,0. Cada mudança atualiza o estado corrente, comunica os assinantes e persiste o novo objeto como JSON. A assinatura retorna uma função que retira o respectivo listener do conjunto.</w:t>
      </w:r>
    </w:p>
    <w:p>
      <w:pPr>
        <w:pStyle w:val="BodyText"/>
      </w:pPr>
      <w:r>
        <w:rPr>
          <w:rStyle w:val="VerbatimChar"/>
        </w:rPr>
        <w:t xml:space="preserve">useAccessibilitySync</w:t>
      </w:r>
      <w:r>
        <w:t xml:space="preserve"> </w:t>
      </w:r>
      <w:r>
        <w:t xml:space="preserve">traduz esse estado para atributos do documento: escreve</w:t>
      </w:r>
      <w:r>
        <w:t xml:space="preserve"> </w:t>
      </w:r>
      <w:r>
        <w:rPr>
          <w:rStyle w:val="VerbatimChar"/>
        </w:rPr>
        <w:t xml:space="preserve">data-font-scale</w:t>
      </w:r>
      <w:r>
        <w:t xml:space="preserve"> </w:t>
      </w:r>
      <w:r>
        <w:t xml:space="preserve">no elemento HTML e alterna a classe</w:t>
      </w:r>
      <w:r>
        <w:t xml:space="preserve"> </w:t>
      </w:r>
      <w:r>
        <w:rPr>
          <w:rStyle w:val="VerbatimChar"/>
        </w:rPr>
        <w:t xml:space="preserve">alto-contraste</w:t>
      </w:r>
      <w:r>
        <w:t xml:space="preserve">.</w:t>
      </w:r>
      <w:r>
        <w:t xml:space="preserve"> </w:t>
      </w:r>
      <w:r>
        <w:rPr>
          <w:rStyle w:val="VerbatimChar"/>
        </w:rPr>
        <w:t xml:space="preserve">src/index.css</w:t>
      </w:r>
      <w:r>
        <w:t xml:space="preserve"> </w:t>
      </w:r>
      <w:r>
        <w:t xml:space="preserve">usa a escala para calcular o tamanho base a partir de 16 pixels. Os seletores de contraste compõem fundos escuros, texto claro, destaque de links e controles, além da apresentação de foco.</w:t>
      </w:r>
    </w:p>
    <w:p>
      <w:pPr>
        <w:pStyle w:val="BodyText"/>
      </w:pPr>
      <w:r>
        <w:t xml:space="preserve">Na barra superior,</w:t>
      </w:r>
      <w:r>
        <w:t xml:space="preserve"> </w:t>
      </w:r>
      <w:r>
        <w:rPr>
          <w:rStyle w:val="VerbatimChar"/>
        </w:rPr>
        <w:t xml:space="preserve">TopBarFontSizeButtons</w:t>
      </w:r>
      <w:r>
        <w:t xml:space="preserve"> </w:t>
      </w:r>
      <w:r>
        <w:t xml:space="preserve">oferece A+, A− e A para aumentar, diminuir e retornar ao tamanho normal.</w:t>
      </w:r>
      <w:r>
        <w:t xml:space="preserve"> </w:t>
      </w:r>
      <w:r>
        <w:rPr>
          <w:rStyle w:val="VerbatimChar"/>
        </w:rPr>
        <w:t xml:space="preserve">ContrastButton</w:t>
      </w:r>
      <w:r>
        <w:t xml:space="preserve"> </w:t>
      </w:r>
      <w:r>
        <w:t xml:space="preserve">conecta a alternância ao store e comunica seu estado com</w:t>
      </w:r>
      <w:r>
        <w:t xml:space="preserve"> </w:t>
      </w:r>
      <w:r>
        <w:rPr>
          <w:rStyle w:val="VerbatimChar"/>
        </w:rPr>
        <w:t xml:space="preserve">aria-pressed</w:t>
      </w:r>
      <w:r>
        <w:t xml:space="preserve">. A atualização visual e a persistência usam o mesmo estado compartilhado durante as mudanças de página.</w:t>
      </w:r>
    </w:p>
    <w:bookmarkEnd w:id="44"/>
    <w:bookmarkStart w:id="45" w:name="diálogo-de-governança-e-privacidade"/>
    <w:p>
      <w:pPr>
        <w:pStyle w:val="Heading2"/>
      </w:pPr>
      <w:bookmarkStart w:id="10021" w:name="docsec_021"/>
      <w:r>
        <w:t xml:space="preserve">3.7 Diálogo de governança e privacidade</w:t>
      </w:r>
      <w:bookmarkEnd w:id="10021"/>
    </w:p>
    <w:p>
      <w:pPr>
        <w:pStyle w:val="FirstParagraph"/>
      </w:pPr>
      <w:r>
        <w:rPr>
          <w:rStyle w:val="VerbatimChar"/>
        </w:rPr>
        <w:t xml:space="preserve">TopBar</w:t>
      </w:r>
      <w:r>
        <w:t xml:space="preserve"> </w:t>
      </w:r>
      <w:r>
        <w:t xml:space="preserve">administra</w:t>
      </w:r>
      <w:r>
        <w:t xml:space="preserve"> </w:t>
      </w:r>
      <w:r>
        <w:rPr>
          <w:rStyle w:val="VerbatimChar"/>
        </w:rPr>
        <w:t xml:space="preserve">isPrivacyOpen</w:t>
      </w:r>
      <w:r>
        <w:t xml:space="preserve"> </w:t>
      </w:r>
      <w:r>
        <w:t xml:space="preserve">e mantém uma referência ao botão que abre o diálogo.</w:t>
      </w:r>
      <w:r>
        <w:t xml:space="preserve"> </w:t>
      </w:r>
      <w:r>
        <w:rPr>
          <w:rStyle w:val="VerbatimChar"/>
        </w:rPr>
        <w:t xml:space="preserve">PrivacyDialog</w:t>
      </w:r>
      <w:r>
        <w:t xml:space="preserve"> </w:t>
      </w:r>
      <w:r>
        <w:t xml:space="preserve">utiliza o elemento nativo</w:t>
      </w:r>
      <w:r>
        <w:t xml:space="preserve"> </w:t>
      </w:r>
      <w:r>
        <w:rPr>
          <w:rStyle w:val="VerbatimChar"/>
        </w:rPr>
        <w:t xml:space="preserve">dialog</w:t>
      </w:r>
      <w:r>
        <w:t xml:space="preserve">, associado ao título</w:t>
      </w:r>
      <w:r>
        <w:t xml:space="preserve"> </w:t>
      </w:r>
      <w:r>
        <w:t xml:space="preserve">“</w:t>
      </w:r>
      <w:r>
        <w:t xml:space="preserve">Diretrizes de Governança e Privacidade</w:t>
      </w:r>
      <w:r>
        <w:t xml:space="preserve">”</w:t>
      </w:r>
      <w:r>
        <w:t xml:space="preserve"> </w:t>
      </w:r>
      <w:r>
        <w:t xml:space="preserve">e à descrição por identificadores ARIA.</w:t>
      </w:r>
    </w:p>
    <w:p>
      <w:pPr>
        <w:pStyle w:val="BodyText"/>
      </w:pPr>
      <w:r>
        <w:t xml:space="preserve">O hook interno</w:t>
      </w:r>
      <w:r>
        <w:t xml:space="preserve"> </w:t>
      </w:r>
      <w:r>
        <w:rPr>
          <w:rStyle w:val="VerbatimChar"/>
        </w:rPr>
        <w:t xml:space="preserve">useNativeDialog</w:t>
      </w:r>
      <w:r>
        <w:t xml:space="preserve"> </w:t>
      </w:r>
      <w:r>
        <w:t xml:space="preserve">sincroniza a propriedade</w:t>
      </w:r>
      <w:r>
        <w:t xml:space="preserve"> </w:t>
      </w:r>
      <w:r>
        <w:rPr>
          <w:rStyle w:val="VerbatimChar"/>
        </w:rPr>
        <w:t xml:space="preserve">isOpen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showModal()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. Os botões de fechar e</w:t>
      </w:r>
      <w:r>
        <w:t xml:space="preserve"> </w:t>
      </w:r>
      <w:r>
        <w:t xml:space="preserve">“</w:t>
      </w:r>
      <w:r>
        <w:t xml:space="preserve">Entendido</w:t>
      </w:r>
      <w:r>
        <w:t xml:space="preserve">”</w:t>
      </w:r>
      <w:r>
        <w:t xml:space="preserve"> </w:t>
      </w:r>
      <w:r>
        <w:t xml:space="preserve">compartilham o encerramento: fecham o elemento, atualizam o estado do componente proprietário e devolvem o foco ao botão de abertura. O evento de cancelamento, utilizado pelo Escape, passa pelo mesmo encerramento.</w:t>
      </w:r>
    </w:p>
    <w:p>
      <w:pPr>
        <w:pStyle w:val="BodyText"/>
      </w:pPr>
      <w:r>
        <w:t xml:space="preserve">A descrição apresenta a persistência local das preferências de fonte e contraste, sua finalidade de usabilidade e a referência aos canais institucionais presentes no rodapé para informações ou requisições de titulares.</w:t>
      </w:r>
    </w:p>
    <w:bookmarkEnd w:id="45"/>
    <w:bookmarkStart w:id="46" w:name="navegação-por-teclado-para-apresentação"/>
    <w:p>
      <w:pPr>
        <w:pStyle w:val="Heading2"/>
      </w:pPr>
      <w:bookmarkStart w:id="10022" w:name="docsec_022"/>
      <w:r>
        <w:t xml:space="preserve">3.8 Navegação por teclado para apresentação</w:t>
      </w:r>
      <w:bookmarkEnd w:id="10022"/>
    </w:p>
    <w:p>
      <w:pPr>
        <w:pStyle w:val="FirstParagraph"/>
      </w:pPr>
      <w:r>
        <w:rPr>
          <w:rStyle w:val="VerbatimChar"/>
        </w:rPr>
        <w:t xml:space="preserve">PresentationMode</w:t>
      </w:r>
      <w:r>
        <w:t xml:space="preserve"> </w:t>
      </w:r>
      <w:r>
        <w:t xml:space="preserve">instala um listener de</w:t>
      </w:r>
      <w:r>
        <w:t xml:space="preserve"> </w:t>
      </w:r>
      <w:r>
        <w:rPr>
          <w:rStyle w:val="VerbatimChar"/>
        </w:rPr>
        <w:t xml:space="preserve">keydown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window</w:t>
      </w:r>
      <w:r>
        <w:t xml:space="preserve">. A sequência de páginas é início, chancela, metodologia e trilha. ArrowRight ou PageDown avança nessa sequência; ArrowLeft ou PageUp retorna. Depois da última página, o avanço leva ao início; antes da primeira, o retorno leva à trilha.</w:t>
      </w:r>
    </w:p>
    <w:p>
      <w:pPr>
        <w:pStyle w:val="BodyText"/>
      </w:pPr>
      <w:r>
        <w:t xml:space="preserve">As teclas F e P alternam tela cheia usando</w:t>
      </w:r>
      <w:r>
        <w:t xml:space="preserve"> </w:t>
      </w:r>
      <w:r>
        <w:rPr>
          <w:rStyle w:val="VerbatimChar"/>
        </w:rPr>
        <w:t xml:space="preserve">requestFullscreen()</w:t>
      </w:r>
      <w:r>
        <w:t xml:space="preserve"> </w:t>
      </w:r>
      <w:r>
        <w:t xml:space="preserve">no elemento HTML ou</w:t>
      </w:r>
      <w:r>
        <w:t xml:space="preserve"> </w:t>
      </w:r>
      <w:r>
        <w:rPr>
          <w:rStyle w:val="VerbatimChar"/>
        </w:rPr>
        <w:t xml:space="preserve">exitFullscreen()</w:t>
      </w:r>
      <w:r>
        <w:t xml:space="preserve">. A comparação aceita letras maiúsculas e minúsculas, e essa ação considera a ausência de Ctrl e Meta. Os comandos reconhecidos utilizam</w:t>
      </w:r>
      <w:r>
        <w:t xml:space="preserve"> </w:t>
      </w:r>
      <w:r>
        <w:rPr>
          <w:rStyle w:val="VerbatimChar"/>
        </w:rPr>
        <w:t xml:space="preserve">preventDefault</w:t>
      </w:r>
      <w:r>
        <w:t xml:space="preserve"> </w:t>
      </w:r>
      <w:r>
        <w:t xml:space="preserve">antes da ação correspondente.</w:t>
      </w:r>
    </w:p>
    <w:p>
      <w:pPr>
        <w:pStyle w:val="BodyText"/>
      </w:pPr>
      <w:r>
        <w:t xml:space="preserve">O handler preserva a edição de controles: retorna quando o alvo é input, textarea, select, botão, conteúdo editável ou um elemento pertencente a formulário. Também retorna na rota</w:t>
      </w:r>
      <w:r>
        <w:t xml:space="preserve"> </w:t>
      </w:r>
      <w:r>
        <w:rPr>
          <w:rStyle w:val="VerbatimChar"/>
        </w:rPr>
        <w:t xml:space="preserve">/registro-interesse</w:t>
      </w:r>
      <w:r>
        <w:t xml:space="preserve">. O listener é atualizado com o contexto de navegação e removido no encerramento do efeito React. O componente fornece esse comportamento de teclado por sua montagem em</w:t>
      </w:r>
      <w:r>
        <w:t xml:space="preserve"> </w:t>
      </w:r>
      <w:r>
        <w:rPr>
          <w:rStyle w:val="VerbatimChar"/>
        </w:rPr>
        <w:t xml:space="preserve">App</w:t>
      </w:r>
      <w:r>
        <w:t xml:space="preserve">.</w:t>
      </w:r>
    </w:p>
    <w:bookmarkEnd w:id="46"/>
    <w:bookmarkStart w:id="47" w:name="inventário-funcional-de-componentes"/>
    <w:p>
      <w:pPr>
        <w:pStyle w:val="Heading2"/>
      </w:pPr>
      <w:bookmarkStart w:id="10023" w:name="docsec_023"/>
      <w:r>
        <w:t xml:space="preserve">3.9 Inventário funcional de componentes</w:t>
      </w:r>
      <w:bookmarkEnd w:id="10023"/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DCE3ED"/>
          <w:left w:val="single" w:sz="4" w:color="DCE3ED"/>
          <w:bottom w:val="single" w:sz="4" w:color="DCE3ED"/>
          <w:right w:val="single" w:sz="4" w:color="DCE3ED"/>
          <w:insideH w:val="single" w:sz="4" w:color="DCE3ED"/>
          <w:insideV w:val="single" w:sz="4" w:color="DCE3ED"/>
        </w:tblBorders>
      </w:tblPr>
      <w:tblGrid>
        <w:gridCol w:w="3429"/>
        <w:gridCol w:w="6096"/>
      </w:tblGrid>
      <w:tr>
        <w:trPr>
          <w:tblHeader w:val="on"/>
          <w:cantSplit/>
        </w:trPr>
        <w:tc>
          <w:tcPr>
            <w:tcW w:type="dxa" w:w="3429"/>
            <w:shd w:fill="233B82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Grupo e caminho</w:t>
            </w:r>
          </w:p>
        </w:tc>
        <w:tc>
          <w:tcPr>
            <w:tcW w:type="dxa" w:w="6096"/>
            <w:shd w:fill="233B82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Responsabilidade</w:t>
            </w:r>
          </w:p>
        </w:tc>
      </w:tr>
      <w:tr>
        <w:trPr>
          <w:cantSplit/>
        </w:trPr>
        <w:tc>
          <w:tcPr>
            <w:tcW w:type="dxa" w:w="3429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src/pages/*</w:t>
            </w:r>
          </w:p>
        </w:tc>
        <w:tc>
          <w:tcPr>
            <w:tcW w:type="dxa" w:w="6096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Coordenar as cinco páginas e compor suas seções.</w:t>
            </w:r>
          </w:p>
        </w:tc>
      </w:tr>
      <w:tr>
        <w:trPr>
          <w:cantSplit/>
        </w:trPr>
        <w:tc>
          <w:tcPr>
            <w:tcW w:type="dxa" w:w="3429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src/components/layout/*</w:t>
            </w:r>
          </w:p>
        </w:tc>
        <w:tc>
          <w:tcPr>
            <w:tcW w:type="dxa" w:w="6096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Barra superior, cabeçalho, menu móvel, marca, diálogo, rodapé e contatos.</w:t>
            </w:r>
          </w:p>
        </w:tc>
      </w:tr>
      <w:tr>
        <w:trPr>
          <w:cantSplit/>
        </w:trPr>
        <w:tc>
          <w:tcPr>
            <w:tcW w:type="dxa" w:w="3429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src/components/interest/*</w:t>
            </w:r>
          </w:p>
        </w:tc>
        <w:tc>
          <w:tcPr>
            <w:tcW w:type="dxa" w:w="6096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Grupos de campos, estado, normalização, mensagens e envio da manifestação.</w:t>
            </w:r>
          </w:p>
        </w:tc>
      </w:tr>
      <w:tr>
        <w:trPr>
          <w:cantSplit/>
        </w:trPr>
        <w:tc>
          <w:tcPr>
            <w:tcW w:type="dxa" w:w="3429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src/components/auth/LoginBrandingColumn.tsx</w:t>
            </w:r>
          </w:p>
        </w:tc>
        <w:tc>
          <w:tcPr>
            <w:tcW w:type="dxa" w:w="6096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Coluna visual da tela de registro.</w:t>
            </w:r>
          </w:p>
        </w:tc>
      </w:tr>
      <w:tr>
        <w:trPr>
          <w:cantSplit/>
        </w:trPr>
        <w:tc>
          <w:tcPr>
            <w:tcW w:type="dxa" w:w="3429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src/components/home/*</w:t>
            </w:r>
          </w:p>
        </w:tc>
        <w:tc>
          <w:tcPr>
            <w:tcW w:type="dxa" w:w="6096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Hero, banners, módulos, adesão, logos e perguntas frequentes da home.</w:t>
            </w:r>
          </w:p>
        </w:tc>
      </w:tr>
      <w:tr>
        <w:trPr>
          <w:cantSplit/>
        </w:trPr>
        <w:tc>
          <w:tcPr>
            <w:tcW w:type="dxa" w:w="3429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src/components/chancela/*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metodologia/*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trilha/*</w:t>
            </w:r>
          </w:p>
        </w:tc>
        <w:tc>
          <w:tcPr>
            <w:tcW w:type="dxa" w:w="6096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Seções visuais dos três conteúdos institucionais.</w:t>
            </w:r>
          </w:p>
        </w:tc>
      </w:tr>
      <w:tr>
        <w:trPr>
          <w:cantSplit/>
        </w:trPr>
        <w:tc>
          <w:tcPr>
            <w:tcW w:type="dxa" w:w="3429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src/components/presentation/*</w:t>
            </w:r>
          </w:p>
        </w:tc>
        <w:tc>
          <w:tcPr>
            <w:tcW w:type="dxa" w:w="6096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Atalhos, carrossel, cartões e indicadores de signatários.</w:t>
            </w:r>
          </w:p>
        </w:tc>
      </w:tr>
      <w:tr>
        <w:trPr>
          <w:cantSplit/>
        </w:trPr>
        <w:tc>
          <w:tcPr>
            <w:tcW w:type="dxa" w:w="3429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src/components/partners/*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PartnerNames.tsx</w:t>
            </w:r>
          </w:p>
        </w:tc>
        <w:tc>
          <w:tcPr>
            <w:tcW w:type="dxa" w:w="6096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Apresentação dos parceiros em listas e faixas.</w:t>
            </w:r>
          </w:p>
        </w:tc>
      </w:tr>
      <w:tr>
        <w:trPr>
          <w:cantSplit/>
        </w:trPr>
        <w:tc>
          <w:tcPr>
            <w:tcW w:type="dxa" w:w="3429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src/components/accessibility/VLibrasWidget.tsx</w:t>
            </w:r>
          </w:p>
        </w:tc>
        <w:tc>
          <w:tcPr>
            <w:tcW w:type="dxa" w:w="6096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Composição do recurso VLibras.</w:t>
            </w:r>
          </w:p>
        </w:tc>
      </w:tr>
      <w:tr>
        <w:trPr>
          <w:cantSplit/>
        </w:trPr>
        <w:tc>
          <w:tcPr>
            <w:tcW w:type="dxa" w:w="3429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src/components/ui/*</w:t>
            </w:r>
          </w:p>
        </w:tc>
        <w:tc>
          <w:tcPr>
            <w:tcW w:type="dxa" w:w="6096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Botões, cartões, badges e cabeçalhos de seção compartilhados.</w:t>
            </w:r>
          </w:p>
        </w:tc>
      </w:tr>
    </w:tbl>
    <w:bookmarkEnd w:id="47"/>
    <w:bookmarkEnd w:id="48"/>
    <w:bookmarkStart w:id="55" w:name="Xd4bbb5f9cffc7204c60955904dd2fa32f544479"/>
    <w:p>
      <w:pPr>
        <w:pStyle w:val="Heading1"/>
      </w:pPr>
      <w:bookmarkStart w:id="10024" w:name="docsec_024"/>
      <w:r>
        <w:t xml:space="preserve">4. Backend, API e processamento das requisições</w:t>
      </w:r>
      <w:bookmarkEnd w:id="10024"/>
    </w:p>
    <w:bookmarkStart w:id="49" w:name="organização-do-servidor"/>
    <w:p>
      <w:pPr>
        <w:pStyle w:val="Heading2"/>
      </w:pPr>
      <w:bookmarkStart w:id="10025" w:name="docsec_025"/>
      <w:r>
        <w:t xml:space="preserve">4.1 Organização do servidor</w:t>
      </w:r>
      <w:bookmarkEnd w:id="10025"/>
    </w:p>
    <w:p>
      <w:pPr>
        <w:pStyle w:val="FirstParagraph"/>
      </w:pPr>
      <w:r>
        <w:t xml:space="preserve">O backend do ASG-ODS utiliza Express e Firebase Admin. O arquivo</w:t>
      </w:r>
      <w:r>
        <w:t xml:space="preserve"> </w:t>
      </w:r>
      <w:r>
        <w:rPr>
          <w:rStyle w:val="VerbatimChar"/>
        </w:rPr>
        <w:t xml:space="preserve">server.ts</w:t>
      </w:r>
      <w:r>
        <w:t xml:space="preserve"> </w:t>
      </w:r>
      <w:r>
        <w:t xml:space="preserve">reúne a inicialização do servidor HTTP, a seleção da instância Firestore, os middlewares e as rotas. O processamento dos dados é distribuído entre três módulos:</w:t>
      </w:r>
      <w:r>
        <w:t xml:space="preserve"> </w:t>
      </w:r>
      <w:r>
        <w:rPr>
          <w:rStyle w:val="VerbatimChar"/>
        </w:rPr>
        <w:t xml:space="preserve">leadBucketService.ts</w:t>
      </w:r>
      <w:r>
        <w:t xml:space="preserve"> </w:t>
      </w:r>
      <w:r>
        <w:t xml:space="preserve">organiza as partes e o índice de unicidade;</w:t>
      </w:r>
      <w:r>
        <w:t xml:space="preserve"> </w:t>
      </w:r>
      <w:r>
        <w:rPr>
          <w:rStyle w:val="VerbatimChar"/>
        </w:rPr>
        <w:t xml:space="preserve">vaultService.ts</w:t>
      </w:r>
      <w:r>
        <w:t xml:space="preserve"> </w:t>
      </w:r>
      <w:r>
        <w:t xml:space="preserve">constrói os registros operacionais e cifra os campos do cofre;</w:t>
      </w:r>
      <w:r>
        <w:t xml:space="preserve"> </w:t>
      </w:r>
      <w:r>
        <w:rPr>
          <w:rStyle w:val="VerbatimChar"/>
        </w:rPr>
        <w:t xml:space="preserve">securityHeaders.ts</w:t>
      </w:r>
      <w:r>
        <w:t xml:space="preserve"> </w:t>
      </w:r>
      <w:r>
        <w:t xml:space="preserve">define os cabeçalhos das respostas.</w:t>
      </w:r>
    </w:p>
    <w:p>
      <w:pPr>
        <w:pStyle w:val="BodyText"/>
      </w:pPr>
      <w:r>
        <w:t xml:space="preserve">A aplicação Express é criada e exportada como</w:t>
      </w:r>
      <w:r>
        <w:t xml:space="preserve"> </w:t>
      </w:r>
      <w:r>
        <w:rPr>
          <w:rStyle w:val="VerbatimChar"/>
        </w:rPr>
        <w:t xml:space="preserve">app</w:t>
      </w:r>
      <w:r>
        <w:t xml:space="preserve">. A instância Firestore é inicializada na carga do módulo e mantida em</w:t>
      </w:r>
      <w:r>
        <w:t xml:space="preserve"> </w:t>
      </w:r>
      <w:r>
        <w:rPr>
          <w:rStyle w:val="VerbatimChar"/>
        </w:rPr>
        <w:t xml:space="preserve">db</w:t>
      </w:r>
      <w:r>
        <w:t xml:space="preserve">. A função</w:t>
      </w:r>
      <w:r>
        <w:t xml:space="preserve"> </w:t>
      </w:r>
      <w:r>
        <w:rPr>
          <w:rStyle w:val="VerbatimChar"/>
        </w:rPr>
        <w:t xml:space="preserve">setFirestoreInstance</w:t>
      </w:r>
      <w:r>
        <w:t xml:space="preserve"> </w:t>
      </w:r>
      <w:r>
        <w:t xml:space="preserve">permite substituir essa referência dentro do processo. As funções de validação, persistência e construção de registros também possuem pontos de entrada próprios, usados pelo código e pelos testes do projeto.</w:t>
      </w:r>
    </w:p>
    <w:p>
      <w:pPr>
        <w:pStyle w:val="BodyText"/>
      </w:pPr>
      <w:r>
        <w:t xml:space="preserve">O servidor utiliza a porta definida em</w:t>
      </w:r>
      <w:r>
        <w:t xml:space="preserve"> </w:t>
      </w:r>
      <w:r>
        <w:rPr>
          <w:rStyle w:val="VerbatimChar"/>
        </w:rPr>
        <w:t xml:space="preserve">PORT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3000</w:t>
      </w:r>
      <w:r>
        <w:t xml:space="preserve"> </w:t>
      </w:r>
      <w:r>
        <w:t xml:space="preserve">como valor de referência, e escuta em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. Quando</w:t>
      </w:r>
      <w:r>
        <w:t xml:space="preserve"> </w:t>
      </w:r>
      <w:r>
        <w:rPr>
          <w:rStyle w:val="VerbatimChar"/>
        </w:rPr>
        <w:t xml:space="preserve">NODE_ENV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, o Express serve os arquivos de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e encaminha as rotas da aplicação para</w:t>
      </w:r>
      <w:r>
        <w:t xml:space="preserve"> </w:t>
      </w:r>
      <w:r>
        <w:rPr>
          <w:rStyle w:val="VerbatimChar"/>
        </w:rPr>
        <w:t xml:space="preserve">dist/index.html</w:t>
      </w:r>
      <w:r>
        <w:t xml:space="preserve">. Em outros modos de execução, o Vite é iniciado como middleware de uma aplicação SPA. Sua configuração aceita os hosts</w:t>
      </w:r>
      <w:r>
        <w:t xml:space="preserve"> </w:t>
      </w:r>
      <w:r>
        <w:rPr>
          <w:rStyle w:val="VerbatimChar"/>
        </w:rPr>
        <w:t xml:space="preserve">.ai.studio</w:t>
      </w:r>
      <w:r>
        <w:t xml:space="preserve">,</w:t>
      </w:r>
      <w:r>
        <w:t xml:space="preserve"> </w:t>
      </w:r>
      <w:r>
        <w:rPr>
          <w:rStyle w:val="VerbatimChar"/>
        </w:rPr>
        <w:t xml:space="preserve">.run.app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. Com</w:t>
      </w:r>
      <w:r>
        <w:t xml:space="preserve"> </w:t>
      </w:r>
      <w:r>
        <w:rPr>
          <w:rStyle w:val="VerbatimChar"/>
        </w:rPr>
        <w:t xml:space="preserve">NODE_ENV=test</w:t>
      </w:r>
      <w:r>
        <w:t xml:space="preserve">, a aplicação é disponibilizada sem iniciar automaticamente o listener HTTP.</w:t>
      </w:r>
    </w:p>
    <w:bookmarkEnd w:id="49"/>
    <w:bookmarkStart w:id="50" w:name="ordem-dos-middlewares"/>
    <w:p>
      <w:pPr>
        <w:pStyle w:val="Heading2"/>
      </w:pPr>
      <w:bookmarkStart w:id="10026" w:name="docsec_026"/>
      <w:r>
        <w:t xml:space="preserve">4.2 Ordem dos middlewares</w:t>
      </w:r>
      <w:bookmarkEnd w:id="10026"/>
    </w:p>
    <w:p>
      <w:pPr>
        <w:pStyle w:val="FirstParagraph"/>
      </w:pPr>
      <w:r>
        <w:t xml:space="preserve">A configuração desabilita o cabeçalho</w:t>
      </w:r>
      <w:r>
        <w:t xml:space="preserve"> </w:t>
      </w:r>
      <w:r>
        <w:rPr>
          <w:rStyle w:val="VerbatimChar"/>
        </w:rPr>
        <w:t xml:space="preserve">X-Powered-By</w:t>
      </w:r>
      <w:r>
        <w:t xml:space="preserve"> </w:t>
      </w:r>
      <w:r>
        <w:t xml:space="preserve">e estabelece</w:t>
      </w:r>
      <w:r>
        <w:t xml:space="preserve"> </w:t>
      </w:r>
      <w:r>
        <w:rPr>
          <w:rStyle w:val="VerbatimChar"/>
        </w:rPr>
        <w:t xml:space="preserve">trust proxy</w:t>
      </w:r>
      <w:r>
        <w:t xml:space="preserve"> </w:t>
      </w:r>
      <w:r>
        <w:t xml:space="preserve">com valor</w:t>
      </w:r>
      <w:r>
        <w:t xml:space="preserve"> </w:t>
      </w:r>
      <w:r>
        <w:rPr>
          <w:rStyle w:val="VerbatimChar"/>
        </w:rPr>
        <w:t xml:space="preserve">1</w:t>
      </w:r>
      <w:r>
        <w:t xml:space="preserve">. Em seguida, registra o middleware de cabeçalhos e o parser</w:t>
      </w:r>
      <w:r>
        <w:t xml:space="preserve"> </w:t>
      </w:r>
      <w:r>
        <w:rPr>
          <w:rStyle w:val="VerbatimChar"/>
        </w:rPr>
        <w:t xml:space="preserve">express.json</w:t>
      </w:r>
      <w:r>
        <w:t xml:space="preserve">, cujo limite é</w:t>
      </w:r>
      <w:r>
        <w:t xml:space="preserve"> </w:t>
      </w:r>
      <w:r>
        <w:rPr>
          <w:rStyle w:val="VerbatimChar"/>
        </w:rPr>
        <w:t xml:space="preserve">15kb</w:t>
      </w:r>
      <w:r>
        <w:t xml:space="preserve">, equivalente a 15.360 bytes. O tratamento específico de erros JSON aparece imediatamente depois do parser. As rotas são registradas após essas etapas.</w:t>
      </w:r>
    </w:p>
    <w:p>
      <w:pPr>
        <w:pStyle w:val="BodyText"/>
      </w:pPr>
      <w:r>
        <w:t xml:space="preserve">Essa ordem organiza o percurso de uma requisição: aplicação dos cabeçalhos, leitura do JSON, tratamento de erros de leitura, seleção da rota e processamento do endpoint. Na rota de cadastro, o limitador é executado antes da validação do objeto recebido. JSON malformado ou excessivo recebe sua resposta diretamente no tratamento do parser. Um corpo JSON lido corretamente segue para o limitador e para o schema.</w:t>
      </w:r>
    </w:p>
    <w:p>
      <w:pPr>
        <w:pStyle w:val="BodyText"/>
      </w:pPr>
      <w:r>
        <w:t xml:space="preserve">Os cabeçalhos incluem HSTS,</w:t>
      </w:r>
      <w:r>
        <w:t xml:space="preserve"> </w:t>
      </w:r>
      <w:r>
        <w:rPr>
          <w:rStyle w:val="VerbatimChar"/>
        </w:rPr>
        <w:t xml:space="preserve">X-Content-Type-Options: nosniff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Referrer-Policy: no-referrer</w:t>
      </w:r>
      <w:r>
        <w:t xml:space="preserve"> </w:t>
      </w:r>
      <w:r>
        <w:t xml:space="preserve">e políticas de isolamento entre origens. A</w:t>
      </w:r>
      <w:r>
        <w:t xml:space="preserve"> </w:t>
      </w:r>
      <w:r>
        <w:rPr>
          <w:rStyle w:val="VerbatimChar"/>
        </w:rPr>
        <w:t xml:space="preserve">Permissions-Policy</w:t>
      </w:r>
      <w:r>
        <w:t xml:space="preserve"> </w:t>
      </w:r>
      <w:r>
        <w:t xml:space="preserve">restringe câmera, microfone, geolocalização, pagamento, USB e browsing topics. A CSP selecionada depende de</w:t>
      </w:r>
      <w:r>
        <w:t xml:space="preserve"> </w:t>
      </w:r>
      <w:r>
        <w:rPr>
          <w:rStyle w:val="VerbatimChar"/>
        </w:rPr>
        <w:t xml:space="preserve">NODE_ENV</w:t>
      </w:r>
      <w:r>
        <w:t xml:space="preserve">: a política produtiva contém fontes e hashes declarados; a de desenvolvimento inclui as permissões usadas pelo Vite. O middleware também intercepta a definição de</w:t>
      </w:r>
      <w:r>
        <w:t xml:space="preserve"> </w:t>
      </w:r>
      <w:r>
        <w:rPr>
          <w:rStyle w:val="VerbatimChar"/>
        </w:rPr>
        <w:t xml:space="preserve">Set-Cookie</w:t>
      </w:r>
      <w:r>
        <w:t xml:space="preserve"> </w:t>
      </w:r>
      <w:r>
        <w:t xml:space="preserve">e acrescenta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,</w:t>
      </w:r>
      <w:r>
        <w:t xml:space="preserve"> </w:t>
      </w:r>
      <w:r>
        <w:rPr>
          <w:rStyle w:val="VerbatimChar"/>
        </w:rPr>
        <w:t xml:space="preserve">SameSite=Lax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quando esses atributos ainda não estão presentes.</w:t>
      </w:r>
    </w:p>
    <w:p>
      <w:pPr>
        <w:pStyle w:val="BodyText"/>
      </w:pPr>
      <w:r>
        <w:t xml:space="preserve">O contador de requisições fica em um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do processo. A chave é</w:t>
      </w:r>
      <w:r>
        <w:t xml:space="preserve"> </w:t>
      </w:r>
      <w:r>
        <w:rPr>
          <w:rStyle w:val="VerbatimChar"/>
        </w:rPr>
        <w:t xml:space="preserve">req.ip</w:t>
      </w:r>
      <w:r>
        <w:t xml:space="preserve">, com alternativas em</w:t>
      </w:r>
      <w:r>
        <w:t xml:space="preserve"> </w:t>
      </w:r>
      <w:r>
        <w:rPr>
          <w:rStyle w:val="VerbatimChar"/>
        </w:rPr>
        <w:t xml:space="preserve">remoteAddress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 Cada entrada contém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resetAt</w:t>
      </w:r>
      <w:r>
        <w:t xml:space="preserve">. A janela tem 60 segundos e permite dez requisições por chave. Quando a contagem já atingiu dez, o endpoint responde 429. Na gestão de capacidade, o mapa utiliza o limite de 5.000 entradas, remove entradas expiradas e aplica uma poda das mais antigas, preservando a chave da requisição corrente.</w:t>
      </w:r>
    </w:p>
    <w:bookmarkEnd w:id="50"/>
    <w:bookmarkStart w:id="51" w:name="rotas-e-entrega-de-arquivos"/>
    <w:p>
      <w:pPr>
        <w:pStyle w:val="Heading2"/>
      </w:pPr>
      <w:bookmarkStart w:id="10027" w:name="docsec_027"/>
      <w:r>
        <w:t xml:space="preserve">4.3 Rotas e entrega de arquivos</w:t>
      </w:r>
      <w:bookmarkEnd w:id="10027"/>
    </w:p>
    <w:p>
      <w:pPr>
        <w:pStyle w:val="FirstParagraph"/>
      </w:pPr>
      <w:r>
        <w:t xml:space="preserve">A rota de negócio é</w:t>
      </w:r>
      <w:r>
        <w:t xml:space="preserve"> </w:t>
      </w:r>
      <w:r>
        <w:rPr>
          <w:rStyle w:val="VerbatimChar"/>
        </w:rPr>
        <w:t xml:space="preserve">POST /api/registrar-interesse</w:t>
      </w:r>
      <w:r>
        <w:t xml:space="preserve">. Ela recebe o objeto do formulário e entrega a</w:t>
      </w:r>
      <w:r>
        <w:t xml:space="preserve"> </w:t>
      </w:r>
      <w:r>
        <w:rPr>
          <w:rStyle w:val="VerbatimChar"/>
        </w:rPr>
        <w:t xml:space="preserve">persistLead</w:t>
      </w:r>
      <w:r>
        <w:t xml:space="preserve"> </w:t>
      </w:r>
      <w:r>
        <w:t xml:space="preserve">a decisão sobre o status HTTP e o corpo JSON da resposta. O cadastro é público e seu processamento ocorre inteiramente no servidor.</w:t>
      </w:r>
    </w:p>
    <w:p>
      <w:pPr>
        <w:pStyle w:val="BodyText"/>
      </w:pPr>
      <w:r>
        <w:t xml:space="preserve">A rota</w:t>
      </w:r>
      <w:r>
        <w:t xml:space="preserve"> </w:t>
      </w:r>
      <w:r>
        <w:rPr>
          <w:rStyle w:val="VerbatimChar"/>
        </w:rPr>
        <w:t xml:space="preserve">GET /.well-known/:file</w:t>
      </w:r>
      <w:r>
        <w:t xml:space="preserve"> </w:t>
      </w:r>
      <w:r>
        <w:t xml:space="preserve">serve manifestos de</w:t>
      </w:r>
      <w:r>
        <w:t xml:space="preserve"> </w:t>
      </w:r>
      <w:r>
        <w:rPr>
          <w:rStyle w:val="VerbatimChar"/>
        </w:rPr>
        <w:t xml:space="preserve">public/.well-known</w:t>
      </w:r>
      <w:r>
        <w:t xml:space="preserve">. O parâmetro é convertido em nome de arquivo por</w:t>
      </w:r>
      <w:r>
        <w:t xml:space="preserve"> </w:t>
      </w:r>
      <w:r>
        <w:rPr>
          <w:rStyle w:val="VerbatimChar"/>
        </w:rPr>
        <w:t xml:space="preserve">path.basename</w:t>
      </w:r>
      <w:r>
        <w:t xml:space="preserve">; o diretório é definido a partir do diretório de trabalho do processo. Um arquivo encontrado é enviado com tipo</w:t>
      </w:r>
      <w:r>
        <w:t xml:space="preserve"> </w:t>
      </w:r>
      <w:r>
        <w:rPr>
          <w:rStyle w:val="VerbatimChar"/>
        </w:rPr>
        <w:t xml:space="preserve">application/json</w:t>
      </w:r>
      <w:r>
        <w:t xml:space="preserve">. Para um manifesto inexistente, a resposta é 404, com</w:t>
      </w:r>
      <w:r>
        <w:t xml:space="preserve"> </w:t>
      </w:r>
      <w:r>
        <w:rPr>
          <w:rStyle w:val="VerbatimChar"/>
        </w:rPr>
        <w:t xml:space="preserve">NOT_FOUND</w:t>
      </w:r>
      <w:r>
        <w:t xml:space="preserve"> </w:t>
      </w:r>
      <w:r>
        <w:t xml:space="preserve">e a mensagem</w:t>
      </w:r>
      <w:r>
        <w:t xml:space="preserve"> </w:t>
      </w:r>
      <w:r>
        <w:t xml:space="preserve">“</w:t>
      </w:r>
      <w:r>
        <w:t xml:space="preserve">Manifesto não encontrado.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Em produção,</w:t>
      </w:r>
      <w:r>
        <w:t xml:space="preserve"> </w:t>
      </w:r>
      <w:r>
        <w:rPr>
          <w:rStyle w:val="VerbatimChar"/>
        </w:rPr>
        <w:t xml:space="preserve">express.static</w:t>
      </w:r>
      <w:r>
        <w:t xml:space="preserve"> </w:t>
      </w:r>
      <w:r>
        <w:t xml:space="preserve">atende os artefatos de</w:t>
      </w:r>
      <w:r>
        <w:t xml:space="preserve"> </w:t>
      </w:r>
      <w:r>
        <w:rPr>
          <w:rStyle w:val="VerbatimChar"/>
        </w:rPr>
        <w:t xml:space="preserve">dist</w:t>
      </w:r>
      <w:r>
        <w:t xml:space="preserve">, com tratamento de arquivos iniciados por ponto configurado como</w:t>
      </w:r>
      <w:r>
        <w:t xml:space="preserve"> </w:t>
      </w:r>
      <w:r>
        <w:rPr>
          <w:rStyle w:val="VerbatimChar"/>
        </w:rPr>
        <w:t xml:space="preserve">ignore</w:t>
      </w:r>
      <w:r>
        <w:t xml:space="preserve">. O encaminhamento final devolve 404 JSON para recursos inexistentes sob</w:t>
      </w:r>
      <w:r>
        <w:t xml:space="preserve"> </w:t>
      </w:r>
      <w:r>
        <w:rPr>
          <w:rStyle w:val="VerbatimChar"/>
        </w:rPr>
        <w:t xml:space="preserve">/api/</w:t>
      </w:r>
      <w:r>
        <w:t xml:space="preserve">,</w:t>
      </w:r>
      <w:r>
        <w:t xml:space="preserve"> </w:t>
      </w:r>
      <w:r>
        <w:rPr>
          <w:rStyle w:val="VerbatimChar"/>
        </w:rPr>
        <w:t xml:space="preserve">/.well-known/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/assets/</w:t>
      </w:r>
      <w:r>
        <w:t xml:space="preserve">. As demais rotas recebem o HTML principal, permitindo que o roteador do frontend componha a página solicitada.</w:t>
      </w:r>
    </w:p>
    <w:bookmarkEnd w:id="51"/>
    <w:bookmarkStart w:id="52" w:name="contrato-de-entrada-do-cadastro"/>
    <w:p>
      <w:pPr>
        <w:pStyle w:val="Heading2"/>
      </w:pPr>
      <w:bookmarkStart w:id="10028" w:name="docsec_028"/>
      <w:r>
        <w:t xml:space="preserve">4.4 Contrato de entrada do cadastro</w:t>
      </w:r>
      <w:bookmarkEnd w:id="10028"/>
    </w:p>
    <w:p>
      <w:pPr>
        <w:pStyle w:val="FirstParagraph"/>
      </w:pPr>
      <w:r>
        <w:t xml:space="preserve">O contrato está em</w:t>
      </w:r>
      <w:r>
        <w:t xml:space="preserve"> </w:t>
      </w:r>
      <w:r>
        <w:rPr>
          <w:rStyle w:val="VerbatimChar"/>
        </w:rPr>
        <w:t xml:space="preserve">src/types/leads.ts</w:t>
      </w:r>
      <w:r>
        <w:t xml:space="preserve">, no</w:t>
      </w:r>
      <w:r>
        <w:t xml:space="preserve"> </w:t>
      </w:r>
      <w:r>
        <w:rPr>
          <w:rStyle w:val="VerbatimChar"/>
        </w:rPr>
        <w:t xml:space="preserve">LeadRegistrationInputSchema</w:t>
      </w:r>
      <w:r>
        <w:t xml:space="preserve">. O schema Zod define um objeto estrito, composto somente pelos campos declarados. Todos são strings;</w:t>
      </w:r>
      <w:r>
        <w:t xml:space="preserve"> </w:t>
      </w:r>
      <w:r>
        <w:rPr>
          <w:rStyle w:val="VerbatimChar"/>
        </w:rPr>
        <w:t xml:space="preserve">cargo</w:t>
      </w:r>
      <w:r>
        <w:t xml:space="preserve">,</w:t>
      </w:r>
      <w:r>
        <w:t xml:space="preserve"> </w:t>
      </w:r>
      <w:r>
        <w:rPr>
          <w:rStyle w:val="VerbatimChar"/>
        </w:rPr>
        <w:t xml:space="preserve">curso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observacoes</w:t>
      </w:r>
      <w:r>
        <w:t xml:space="preserve"> </w:t>
      </w:r>
      <w:r>
        <w:t xml:space="preserve">têm valor padrão vazio quando omitidos. A transformação</w:t>
      </w:r>
      <w:r>
        <w:t xml:space="preserve"> </w:t>
      </w:r>
      <w:r>
        <w:rPr>
          <w:rStyle w:val="VerbatimChar"/>
        </w:rPr>
        <w:t xml:space="preserve">trim</w:t>
      </w:r>
      <w:r>
        <w:t xml:space="preserve"> </w:t>
      </w:r>
      <w:r>
        <w:t xml:space="preserve">remove espaços nas extremidades antes da aplicação dos limites.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DCE3ED"/>
          <w:left w:val="single" w:sz="4" w:color="DCE3ED"/>
          <w:bottom w:val="single" w:sz="4" w:color="DCE3ED"/>
          <w:right w:val="single" w:sz="4" w:color="DCE3ED"/>
          <w:insideH w:val="single" w:sz="4" w:color="DCE3ED"/>
          <w:insideV w:val="single" w:sz="4" w:color="DCE3ED"/>
        </w:tblBorders>
      </w:tblPr>
      <w:tblGrid>
        <w:gridCol w:w="2095"/>
        <w:gridCol w:w="1905"/>
        <w:gridCol w:w="5524"/>
      </w:tblGrid>
      <w:tr>
        <w:trPr>
          <w:tblHeader w:val="on"/>
          <w:cantSplit/>
        </w:trPr>
        <w:tc>
          <w:tcPr>
            <w:tcW w:type="dxa" w:w="2095"/>
            <w:shd w:fill="233B82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Campo</w:t>
            </w:r>
          </w:p>
        </w:tc>
        <w:tc>
          <w:tcPr>
            <w:tcW w:type="dxa" w:w="1905"/>
            <w:shd w:fill="233B82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Presença</w:t>
            </w:r>
          </w:p>
        </w:tc>
        <w:tc>
          <w:tcPr>
            <w:tcW w:type="dxa" w:w="5524"/>
            <w:shd w:fill="233B82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Transformação e regra</w:t>
            </w:r>
          </w:p>
        </w:tc>
      </w:tr>
      <w:tr>
        <w:trPr>
          <w:cantSplit/>
        </w:trPr>
        <w:tc>
          <w:tcPr>
            <w:tcW w:type="dxa" w:w="2095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nome</w:t>
            </w:r>
          </w:p>
        </w:tc>
        <w:tc>
          <w:tcPr>
            <w:tcW w:type="dxa" w:w="1905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Obrigatório</w:t>
            </w:r>
          </w:p>
        </w:tc>
        <w:tc>
          <w:tcPr>
            <w:tcW w:type="dxa" w:w="5524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trim</w:t>
            </w:r>
            <w:r>
              <w:rPr>
                <w:sz w:val="18"/>
              </w:rPr>
              <w:t xml:space="preserve">; mínimo 2, máximo 150 caracteres.</w:t>
            </w:r>
          </w:p>
        </w:tc>
      </w:tr>
      <w:tr>
        <w:trPr>
          <w:cantSplit/>
        </w:trPr>
        <w:tc>
          <w:tcPr>
            <w:tcW w:type="dxa" w:w="2095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email</w:t>
            </w:r>
          </w:p>
        </w:tc>
        <w:tc>
          <w:tcPr>
            <w:tcW w:type="dxa" w:w="1905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Obrigatório</w:t>
            </w:r>
          </w:p>
        </w:tc>
        <w:tc>
          <w:tcPr>
            <w:tcW w:type="dxa" w:w="5524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trim</w:t>
            </w:r>
            <w:r>
              <w:rPr>
                <w:sz w:val="18"/>
              </w:rPr>
              <w:t xml:space="preserve">, conversão para minúsculas, validação de endereço de email; máximo 150.</w:t>
            </w:r>
          </w:p>
        </w:tc>
      </w:tr>
      <w:tr>
        <w:trPr>
          <w:cantSplit/>
        </w:trPr>
        <w:tc>
          <w:tcPr>
            <w:tcW w:type="dxa" w:w="2095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telefone</w:t>
            </w:r>
          </w:p>
        </w:tc>
        <w:tc>
          <w:tcPr>
            <w:tcW w:type="dxa" w:w="1905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Obrigatório</w:t>
            </w:r>
          </w:p>
        </w:tc>
        <w:tc>
          <w:tcPr>
            <w:tcW w:type="dxa" w:w="5524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trim</w:t>
            </w:r>
            <w:r>
              <w:rPr>
                <w:sz w:val="18"/>
              </w:rPr>
              <w:t xml:space="preserve">; mínimo 8, máximo 30 caracteres.</w:t>
            </w:r>
          </w:p>
        </w:tc>
      </w:tr>
      <w:tr>
        <w:trPr>
          <w:cantSplit/>
        </w:trPr>
        <w:tc>
          <w:tcPr>
            <w:tcW w:type="dxa" w:w="2095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instituicao</w:t>
            </w:r>
          </w:p>
        </w:tc>
        <w:tc>
          <w:tcPr>
            <w:tcW w:type="dxa" w:w="1905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Obrigatório</w:t>
            </w:r>
          </w:p>
        </w:tc>
        <w:tc>
          <w:tcPr>
            <w:tcW w:type="dxa" w:w="5524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trim</w:t>
            </w:r>
            <w:r>
              <w:rPr>
                <w:sz w:val="18"/>
              </w:rPr>
              <w:t xml:space="preserve">; mínimo 2, máximo 200 caracteres.</w:t>
            </w:r>
          </w:p>
        </w:tc>
      </w:tr>
      <w:tr>
        <w:trPr>
          <w:cantSplit/>
        </w:trPr>
        <w:tc>
          <w:tcPr>
            <w:tcW w:type="dxa" w:w="2095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campus</w:t>
            </w:r>
          </w:p>
        </w:tc>
        <w:tc>
          <w:tcPr>
            <w:tcW w:type="dxa" w:w="1905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Obrigatório</w:t>
            </w:r>
          </w:p>
        </w:tc>
        <w:tc>
          <w:tcPr>
            <w:tcW w:type="dxa" w:w="5524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trim</w:t>
            </w:r>
            <w:r>
              <w:rPr>
                <w:sz w:val="18"/>
              </w:rPr>
              <w:t xml:space="preserve">; mínimo 1, máximo 100 caracteres.</w:t>
            </w:r>
          </w:p>
        </w:tc>
      </w:tr>
      <w:tr>
        <w:trPr>
          <w:cantSplit/>
        </w:trPr>
        <w:tc>
          <w:tcPr>
            <w:tcW w:type="dxa" w:w="2095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cargo</w:t>
            </w:r>
          </w:p>
        </w:tc>
        <w:tc>
          <w:tcPr>
            <w:tcW w:type="dxa" w:w="1905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Opcional</w:t>
            </w:r>
          </w:p>
        </w:tc>
        <w:tc>
          <w:tcPr>
            <w:tcW w:type="dxa" w:w="5524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trim</w:t>
            </w:r>
            <w:r>
              <w:rPr>
                <w:sz w:val="18"/>
              </w:rPr>
              <w:t xml:space="preserve">; máximo 100; padrão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''</w:t>
            </w:r>
            <w:r>
              <w:rPr>
                <w:sz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095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curso</w:t>
            </w:r>
          </w:p>
        </w:tc>
        <w:tc>
          <w:tcPr>
            <w:tcW w:type="dxa" w:w="1905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Opcional</w:t>
            </w:r>
          </w:p>
        </w:tc>
        <w:tc>
          <w:tcPr>
            <w:tcW w:type="dxa" w:w="5524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trim</w:t>
            </w:r>
            <w:r>
              <w:rPr>
                <w:sz w:val="18"/>
              </w:rPr>
              <w:t xml:space="preserve">; máximo 100; padrão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''</w:t>
            </w:r>
            <w:r>
              <w:rPr>
                <w:sz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095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previsaoSemestre</w:t>
            </w:r>
          </w:p>
        </w:tc>
        <w:tc>
          <w:tcPr>
            <w:tcW w:type="dxa" w:w="1905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Obrigatório</w:t>
            </w:r>
          </w:p>
        </w:tc>
        <w:tc>
          <w:tcPr>
            <w:tcW w:type="dxa" w:w="5524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trim</w:t>
            </w:r>
            <w:r>
              <w:rPr>
                <w:sz w:val="18"/>
              </w:rPr>
              <w:t xml:space="preserve">; mínimo 1, máximo 100 caracteres.</w:t>
            </w:r>
          </w:p>
        </w:tc>
      </w:tr>
      <w:tr>
        <w:trPr>
          <w:cantSplit/>
        </w:trPr>
        <w:tc>
          <w:tcPr>
            <w:tcW w:type="dxa" w:w="2095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observacoes</w:t>
            </w:r>
          </w:p>
        </w:tc>
        <w:tc>
          <w:tcPr>
            <w:tcW w:type="dxa" w:w="1905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Opcional</w:t>
            </w:r>
          </w:p>
        </w:tc>
        <w:tc>
          <w:tcPr>
            <w:tcW w:type="dxa" w:w="5524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trim</w:t>
            </w:r>
            <w:r>
              <w:rPr>
                <w:sz w:val="18"/>
              </w:rPr>
              <w:t xml:space="preserve">; máximo 1.000; padrão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''</w:t>
            </w:r>
            <w:r>
              <w:rPr>
                <w:sz w:val="18"/>
              </w:rPr>
              <w:t xml:space="preserve">.</w:t>
            </w:r>
          </w:p>
        </w:tc>
      </w:tr>
    </w:tbl>
    <w:p>
      <w:pPr>
        <w:pStyle w:val="BodyText"/>
      </w:pPr>
      <w:r>
        <w:t xml:space="preserve">O tipo</w:t>
      </w:r>
      <w:r>
        <w:t xml:space="preserve"> </w:t>
      </w:r>
      <w:r>
        <w:rPr>
          <w:rStyle w:val="VerbatimChar"/>
        </w:rPr>
        <w:t xml:space="preserve">LeadRegistrationInput</w:t>
      </w:r>
      <w:r>
        <w:t xml:space="preserve"> </w:t>
      </w:r>
      <w:r>
        <w:t xml:space="preserve">é inferido desse schema. A função</w:t>
      </w:r>
      <w:r>
        <w:t xml:space="preserve"> </w:t>
      </w:r>
      <w:r>
        <w:rPr>
          <w:rStyle w:val="VerbatimChar"/>
        </w:rPr>
        <w:t xml:space="preserve">persistLead</w:t>
      </w:r>
      <w:r>
        <w:t xml:space="preserve"> </w:t>
      </w:r>
      <w:r>
        <w:t xml:space="preserve">utiliza</w:t>
      </w:r>
      <w:r>
        <w:t xml:space="preserve"> </w:t>
      </w:r>
      <w:r>
        <w:rPr>
          <w:rStyle w:val="VerbatimChar"/>
        </w:rPr>
        <w:t xml:space="preserve">safeParse</w:t>
      </w:r>
      <w:r>
        <w:t xml:space="preserve">: o resultado válido contém os valores normalizados; o resultado inválido produz 400 e inclui os detalhes formatados pelo Zod. Assim, a estrutura enviada pelo formulário e a estrutura utilizada para montar os registros compartilham o mesmo contrato de entrada.</w:t>
      </w:r>
    </w:p>
    <w:p>
      <w:pPr>
        <w:pStyle w:val="BodyText"/>
      </w:pPr>
      <w:r>
        <w:t xml:space="preserve">O email normalizado alimenta tanto o campo cifrado do cofre quanto o cálculo de unicidade. O telefone é tratado como texto dentro do intervalo declarado. A previsão de semestre também é uma string, utilizada no registro operacional conforme recebida após a normalização.</w:t>
      </w:r>
    </w:p>
    <w:bookmarkEnd w:id="52"/>
    <w:bookmarkStart w:id="53" w:name="Xc997ef93e16fbfe9c23788e4cc43c070d025876"/>
    <w:p>
      <w:pPr>
        <w:pStyle w:val="Heading2"/>
      </w:pPr>
      <w:bookmarkStart w:id="10029" w:name="docsec_029"/>
      <w:r>
        <w:t xml:space="preserve">4.5 Respostas HTTP e integração com o cliente</w:t>
      </w:r>
      <w:bookmarkEnd w:id="10029"/>
    </w:p>
    <w:p>
      <w:pPr>
        <w:pStyle w:val="FirstParagraph"/>
      </w:pPr>
      <w:r>
        <w:t xml:space="preserve">Os resultados do cadastro são expressos por status HTTP e objetos JSON. As respostas de erro usam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; a validação do schema acrescenta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. O sucesso usa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id</w:t>
      </w:r>
      <w:r>
        <w:t xml:space="preserve">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DCE3ED"/>
          <w:left w:val="single" w:sz="4" w:color="DCE3ED"/>
          <w:bottom w:val="single" w:sz="4" w:color="DCE3ED"/>
          <w:right w:val="single" w:sz="4" w:color="DCE3ED"/>
          <w:insideH w:val="single" w:sz="4" w:color="DCE3ED"/>
          <w:insideV w:val="single" w:sz="4" w:color="DCE3ED"/>
        </w:tblBorders>
      </w:tblPr>
      <w:tblGrid>
        <w:gridCol w:w="1143"/>
        <w:gridCol w:w="2667"/>
        <w:gridCol w:w="5715"/>
      </w:tblGrid>
      <w:tr>
        <w:trPr>
          <w:tblHeader w:val="on"/>
          <w:cantSplit/>
        </w:trPr>
        <w:tc>
          <w:tcPr>
            <w:tcW w:type="dxa" w:w="1143"/>
            <w:shd w:fill="233B82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Status</w:t>
            </w:r>
          </w:p>
        </w:tc>
        <w:tc>
          <w:tcPr>
            <w:tcW w:type="dxa" w:w="2667"/>
            <w:shd w:fill="233B82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Identificador</w:t>
            </w:r>
          </w:p>
        </w:tc>
        <w:tc>
          <w:tcPr>
            <w:tcW w:type="dxa" w:w="5715"/>
            <w:shd w:fill="233B82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Significado implementado</w:t>
            </w:r>
          </w:p>
        </w:tc>
      </w:tr>
      <w:tr>
        <w:trPr>
          <w:cantSplit/>
        </w:trPr>
        <w:tc>
          <w:tcPr>
            <w:tcW w:type="dxa" w:w="1143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201</w:t>
            </w:r>
          </w:p>
        </w:tc>
        <w:tc>
          <w:tcPr>
            <w:tcW w:type="dxa" w:w="2667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success: true</w:t>
            </w:r>
          </w:p>
        </w:tc>
        <w:tc>
          <w:tcPr>
            <w:tcW w:type="dxa" w:w="5715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A gravação retornou sucesso; a resposta informa o identificador do lead.</w:t>
            </w:r>
          </w:p>
        </w:tc>
      </w:tr>
      <w:tr>
        <w:trPr>
          <w:cantSplit/>
        </w:trPr>
        <w:tc>
          <w:tcPr>
            <w:tcW w:type="dxa" w:w="1143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400</w:t>
            </w:r>
          </w:p>
        </w:tc>
        <w:tc>
          <w:tcPr>
            <w:tcW w:type="dxa" w:w="2667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INVALID_ARGUMENT</w:t>
            </w:r>
          </w:p>
        </w:tc>
        <w:tc>
          <w:tcPr>
            <w:tcW w:type="dxa" w:w="5715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JSON malformado ou objeto rejeitado pelo schema.</w:t>
            </w:r>
          </w:p>
        </w:tc>
      </w:tr>
      <w:tr>
        <w:trPr>
          <w:cantSplit/>
        </w:trPr>
        <w:tc>
          <w:tcPr>
            <w:tcW w:type="dxa" w:w="1143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409</w:t>
            </w:r>
          </w:p>
        </w:tc>
        <w:tc>
          <w:tcPr>
            <w:tcW w:type="dxa" w:w="2667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DUPLICATE</w:t>
            </w:r>
          </w:p>
        </w:tc>
        <w:tc>
          <w:tcPr>
            <w:tcW w:type="dxa" w:w="5715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O processamento encontrou o email no controle de unicidade.</w:t>
            </w:r>
          </w:p>
        </w:tc>
      </w:tr>
      <w:tr>
        <w:trPr>
          <w:cantSplit/>
        </w:trPr>
        <w:tc>
          <w:tcPr>
            <w:tcW w:type="dxa" w:w="1143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413</w:t>
            </w:r>
          </w:p>
        </w:tc>
        <w:tc>
          <w:tcPr>
            <w:tcW w:type="dxa" w:w="2667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PAYLOAD_TOO_LARGE</w:t>
            </w:r>
          </w:p>
        </w:tc>
        <w:tc>
          <w:tcPr>
            <w:tcW w:type="dxa" w:w="5715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O parser recebeu um corpo acima do limite permitido.</w:t>
            </w:r>
          </w:p>
        </w:tc>
      </w:tr>
      <w:tr>
        <w:trPr>
          <w:cantSplit/>
        </w:trPr>
        <w:tc>
          <w:tcPr>
            <w:tcW w:type="dxa" w:w="1143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429</w:t>
            </w:r>
          </w:p>
        </w:tc>
        <w:tc>
          <w:tcPr>
            <w:tcW w:type="dxa" w:w="2667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RATE_LIMIT_EXCEEDED</w:t>
            </w:r>
          </w:p>
        </w:tc>
        <w:tc>
          <w:tcPr>
            <w:tcW w:type="dxa" w:w="5715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A chave da requisição atingiu o limite na janela corrente.</w:t>
            </w:r>
          </w:p>
        </w:tc>
      </w:tr>
      <w:tr>
        <w:trPr>
          <w:cantSplit/>
        </w:trPr>
        <w:tc>
          <w:tcPr>
            <w:tcW w:type="dxa" w:w="1143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500</w:t>
            </w:r>
          </w:p>
        </w:tc>
        <w:tc>
          <w:tcPr>
            <w:tcW w:type="dxa" w:w="2667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INTERNAL_ERROR</w:t>
            </w:r>
          </w:p>
        </w:tc>
        <w:tc>
          <w:tcPr>
            <w:tcW w:type="dxa" w:w="5715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Uma exceção foi capturada no processamento ou no handler geral.</w:t>
            </w:r>
          </w:p>
        </w:tc>
      </w:tr>
      <w:tr>
        <w:trPr>
          <w:cantSplit/>
        </w:trPr>
        <w:tc>
          <w:tcPr>
            <w:tcW w:type="dxa" w:w="1143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503</w:t>
            </w:r>
          </w:p>
        </w:tc>
        <w:tc>
          <w:tcPr>
            <w:tcW w:type="dxa" w:w="2667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SERVICE_UNAVAILABLE</w:t>
            </w:r>
          </w:p>
        </w:tc>
        <w:tc>
          <w:tcPr>
            <w:tcW w:type="dxa" w:w="5715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A rotina de persistência retornou ausência de sucesso.</w:t>
            </w:r>
          </w:p>
        </w:tc>
      </w:tr>
    </w:tbl>
    <w:p>
      <w:pPr>
        <w:pStyle w:val="BodyText"/>
      </w:pPr>
      <w:r>
        <w:t xml:space="preserve">A mensagem de 201 é</w:t>
      </w:r>
      <w:r>
        <w:t xml:space="preserve"> </w:t>
      </w:r>
      <w:r>
        <w:t xml:space="preserve">“</w:t>
      </w:r>
      <w:r>
        <w:t xml:space="preserve">Interesse registrado com sucesso!</w:t>
      </w:r>
      <w:r>
        <w:t xml:space="preserve">”</w:t>
      </w:r>
      <w:r>
        <w:t xml:space="preserve">. A resposta de 409 informa</w:t>
      </w:r>
      <w:r>
        <w:t xml:space="preserve"> </w:t>
      </w:r>
      <w:r>
        <w:t xml:space="preserve">“</w:t>
      </w:r>
      <w:r>
        <w:t xml:space="preserve">E-mail ou registro já cadastrado.</w:t>
      </w:r>
      <w:r>
        <w:t xml:space="preserve">”</w:t>
      </w:r>
      <w:r>
        <w:t xml:space="preserve">. A de 503 descreve o serviço de persistência como temporariamente indisponível. A mensagem de 500 do processamento é</w:t>
      </w:r>
      <w:r>
        <w:t xml:space="preserve"> </w:t>
      </w:r>
      <w:r>
        <w:t xml:space="preserve">“</w:t>
      </w:r>
      <w:r>
        <w:t xml:space="preserve">Erro interno ao processar requisição.</w:t>
      </w:r>
      <w:r>
        <w:t xml:space="preserve">”</w:t>
      </w:r>
      <w:r>
        <w:t xml:space="preserve">; o handler geral utiliza</w:t>
      </w:r>
      <w:r>
        <w:t xml:space="preserve"> </w:t>
      </w:r>
      <w:r>
        <w:t xml:space="preserve">“</w:t>
      </w:r>
      <w:r>
        <w:t xml:space="preserve">Erro interno no servidor.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No frontend,</w:t>
      </w:r>
      <w:r>
        <w:t xml:space="preserve"> </w:t>
      </w:r>
      <w:r>
        <w:rPr>
          <w:rStyle w:val="VerbatimChar"/>
        </w:rPr>
        <w:t xml:space="preserve">registrarManifestacaoInteresse</w:t>
      </w:r>
      <w:r>
        <w:t xml:space="preserve">, em</w:t>
      </w:r>
      <w:r>
        <w:t xml:space="preserve"> </w:t>
      </w:r>
      <w:r>
        <w:rPr>
          <w:rStyle w:val="VerbatimChar"/>
        </w:rPr>
        <w:t xml:space="preserve">src/api/leadsService.ts</w:t>
      </w:r>
      <w:r>
        <w:t xml:space="preserve">, envia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para o endpoint com método POST,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JSON.stringify(data)</w:t>
      </w:r>
      <w:r>
        <w:t xml:space="preserve">. A leitura da resposta tenta interpretar o JSON. Um 409 é convertido em</w:t>
      </w:r>
      <w:r>
        <w:t xml:space="preserve"> </w:t>
      </w:r>
      <w:r>
        <w:rPr>
          <w:rStyle w:val="VerbatimChar"/>
        </w:rPr>
        <w:t xml:space="preserve">DuplicateLeadError</w:t>
      </w:r>
      <w:r>
        <w:t xml:space="preserve">. Os demais resultados são aceitos quando a resposta HTTP é bem-sucedida e o objeto contém</w:t>
      </w:r>
      <w:r>
        <w:t xml:space="preserve"> </w:t>
      </w:r>
      <w:r>
        <w:rPr>
          <w:rStyle w:val="VerbatimChar"/>
        </w:rPr>
        <w:t xml:space="preserve">success: true</w:t>
      </w:r>
      <w:r>
        <w:t xml:space="preserve">; então o serviço devolve o indicador de sucesso e a mensagem para a interface.</w:t>
      </w:r>
    </w:p>
    <w:bookmarkEnd w:id="53"/>
    <w:bookmarkStart w:id="54" w:name="caminho-completo-de-uma-manifestação"/>
    <w:p>
      <w:pPr>
        <w:pStyle w:val="Heading2"/>
      </w:pPr>
      <w:bookmarkStart w:id="10030" w:name="docsec_030"/>
      <w:r>
        <w:t xml:space="preserve">4.6 Caminho completo de uma manifestação</w:t>
      </w:r>
      <w:bookmarkEnd w:id="10030"/>
    </w:p>
    <w:p>
      <w:pPr>
        <w:pStyle w:val="FirstParagraph"/>
      </w:pPr>
      <w:r>
        <w:t xml:space="preserve">Depois da leitura do JSON e da passagem pelo contador, o cadastro percorre esta sequência: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persistLead</w:t>
      </w:r>
      <w:r>
        <w:t xml:space="preserve"> </w:t>
      </w:r>
      <w:r>
        <w:t xml:space="preserve">valida e normaliza o objeto com o schema Zod.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executeLeadCreation</w:t>
      </w:r>
      <w:r>
        <w:t xml:space="preserve"> </w:t>
      </w:r>
      <w:r>
        <w:t xml:space="preserve">gera um identificador no formato</w:t>
      </w:r>
      <w:r>
        <w:t xml:space="preserve"> </w:t>
      </w:r>
      <w:r>
        <w:rPr>
          <w:rStyle w:val="VerbatimChar"/>
        </w:rPr>
        <w:t xml:space="preserve">lead_&lt;UUID&gt;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getEmailHash</w:t>
      </w:r>
      <w:r>
        <w:t xml:space="preserve"> </w:t>
      </w:r>
      <w:r>
        <w:t xml:space="preserve">calcula o HMAC do email normalizado.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buildOperationalRecord</w:t>
      </w:r>
      <w:r>
        <w:t xml:space="preserve"> </w:t>
      </w:r>
      <w:r>
        <w:t xml:space="preserve">monta os dados da manifestação, seu estado e suas referências.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buildVaultRecord</w:t>
      </w:r>
      <w:r>
        <w:t xml:space="preserve"> </w:t>
      </w:r>
      <w:r>
        <w:t xml:space="preserve">cifra nome, email, telefone e observações.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writeLeadToBucket</w:t>
      </w:r>
      <w:r>
        <w:t xml:space="preserve"> </w:t>
      </w:r>
      <w:r>
        <w:t xml:space="preserve">procura uma parte e executa a operação Firestore correspondente.</w:t>
      </w:r>
    </w:p>
    <w:p>
      <w:pPr>
        <w:pStyle w:val="Compact"/>
        <w:numPr>
          <w:ilvl w:val="0"/>
          <w:numId w:val="1001"/>
        </w:numPr>
      </w:pPr>
      <w:r>
        <w:t xml:space="preserve">O resultado de duplicidade, indisponibilidade ou sucesso é convertido em resposta HTTP.</w:t>
      </w:r>
    </w:p>
    <w:p>
      <w:pPr>
        <w:pStyle w:val="FirstParagraph"/>
      </w:pPr>
      <w:r>
        <w:t xml:space="preserve">O identificador gerado acompanha a manifestação, o documento do cofre e o índice. A resposta pública retorna esse identificador de lead; o nome da parte é utilizado pela organização interna dos dados. Os campos</w:t>
      </w:r>
      <w:r>
        <w:t xml:space="preserve"> </w:t>
      </w:r>
      <w:r>
        <w:rPr>
          <w:rStyle w:val="VerbatimChar"/>
        </w:rPr>
        <w:t xml:space="preserve">origem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são definidos pelo construtor operacional como</w:t>
      </w:r>
      <w:r>
        <w:t xml:space="preserve"> </w:t>
      </w:r>
      <w:r>
        <w:rPr>
          <w:rStyle w:val="VerbatimChar"/>
        </w:rPr>
        <w:t xml:space="preserve">portal_cra_sp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pendente_analise</w:t>
      </w:r>
      <w:r>
        <w:t xml:space="preserve">.</w:t>
      </w:r>
    </w:p>
    <w:bookmarkEnd w:id="54"/>
    <w:bookmarkEnd w:id="55"/>
    <w:bookmarkStart w:id="65" w:name="Xe9058215a6434fb04c3ce7d8f68cd2b58fd8c09"/>
    <w:p>
      <w:pPr>
        <w:pStyle w:val="Heading1"/>
      </w:pPr>
      <w:bookmarkStart w:id="10031" w:name="docsec_031"/>
      <w:r>
        <w:t xml:space="preserve">5. Configuração Firebase, organização dos dados e criptografia</w:t>
      </w:r>
      <w:bookmarkEnd w:id="10031"/>
    </w:p>
    <w:bookmarkStart w:id="56" w:name="seleção-do-projeto-e-da-base-firestore"/>
    <w:p>
      <w:pPr>
        <w:pStyle w:val="Heading2"/>
      </w:pPr>
      <w:bookmarkStart w:id="10032" w:name="docsec_032"/>
      <w:r>
        <w:t xml:space="preserve">5.1 Seleção do projeto e da base Firestore</w:t>
      </w:r>
      <w:bookmarkEnd w:id="10032"/>
    </w:p>
    <w:p>
      <w:pPr>
        <w:pStyle w:val="FirstParagraph"/>
      </w:pPr>
      <w:r>
        <w:t xml:space="preserve">O servidor tenta ler</w:t>
      </w:r>
      <w:r>
        <w:t xml:space="preserve"> </w:t>
      </w:r>
      <w:r>
        <w:rPr>
          <w:rStyle w:val="VerbatimChar"/>
        </w:rPr>
        <w:t xml:space="preserve">firebase-applet-config.json</w:t>
      </w:r>
      <w:r>
        <w:t xml:space="preserve"> </w:t>
      </w:r>
      <w:r>
        <w:t xml:space="preserve">no diretório de trabalho e interpretar seu JSON. A função de leitura devolve um objeto vazio quando a leitura ou a interpretação não é concluída. Os campos utilizados são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firestoreDatabaseId</w:t>
      </w:r>
      <w:r>
        <w:t xml:space="preserve">.</w:t>
      </w:r>
    </w:p>
    <w:p>
      <w:pPr>
        <w:pStyle w:val="BodyText"/>
      </w:pPr>
      <w:r>
        <w:t xml:space="preserve">Para o projeto, a precedência é</w:t>
      </w:r>
      <w:r>
        <w:t xml:space="preserve"> </w:t>
      </w:r>
      <w:r>
        <w:rPr>
          <w:rStyle w:val="VerbatimChar"/>
        </w:rPr>
        <w:t xml:space="preserve">FIREBASE_PROJECT_ID</w:t>
      </w:r>
      <w:r>
        <w:t xml:space="preserve">, depois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 </w:t>
      </w:r>
      <w:r>
        <w:t xml:space="preserve">do arquivo e, por fim,</w:t>
      </w:r>
      <w:r>
        <w:t xml:space="preserve"> </w:t>
      </w:r>
      <w:r>
        <w:rPr>
          <w:rStyle w:val="VerbatimChar"/>
        </w:rPr>
        <w:t xml:space="preserve">asg-ods</w:t>
      </w:r>
      <w:r>
        <w:t xml:space="preserve">. Para a base,</w:t>
      </w:r>
      <w:r>
        <w:t xml:space="preserve"> </w:t>
      </w:r>
      <w:r>
        <w:rPr>
          <w:rStyle w:val="VerbatimChar"/>
        </w:rPr>
        <w:t xml:space="preserve">FIRESTORE_DATABASE_ID</w:t>
      </w:r>
      <w:r>
        <w:t xml:space="preserve"> </w:t>
      </w:r>
      <w:r>
        <w:t xml:space="preserve">prevalece quando possui um valor diferente de</w:t>
      </w:r>
      <w:r>
        <w:t xml:space="preserve"> </w:t>
      </w:r>
      <w:r>
        <w:rPr>
          <w:rStyle w:val="VerbatimChar"/>
        </w:rPr>
        <w:t xml:space="preserve">(default)</w:t>
      </w:r>
      <w:r>
        <w:t xml:space="preserve">. Quando a variável está vazia ou contém</w:t>
      </w:r>
      <w:r>
        <w:t xml:space="preserve"> </w:t>
      </w:r>
      <w:r>
        <w:rPr>
          <w:rStyle w:val="VerbatimChar"/>
        </w:rPr>
        <w:t xml:space="preserve">(default)</w:t>
      </w:r>
      <w:r>
        <w:t xml:space="preserve">, o código utiliza</w:t>
      </w:r>
      <w:r>
        <w:t xml:space="preserve"> </w:t>
      </w:r>
      <w:r>
        <w:rPr>
          <w:rStyle w:val="VerbatimChar"/>
        </w:rPr>
        <w:t xml:space="preserve">firestoreDatabaseId</w:t>
      </w:r>
      <w:r>
        <w:t xml:space="preserve"> </w:t>
      </w:r>
      <w:r>
        <w:t xml:space="preserve">do arquivo se esse campo estiver preenchido; depois considera o valor da variável.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DCE3ED"/>
          <w:left w:val="single" w:sz="4" w:color="DCE3ED"/>
          <w:bottom w:val="single" w:sz="4" w:color="DCE3ED"/>
          <w:right w:val="single" w:sz="4" w:color="DCE3ED"/>
          <w:insideH w:val="single" w:sz="4" w:color="DCE3ED"/>
          <w:insideV w:val="single" w:sz="4" w:color="DCE3ED"/>
        </w:tblBorders>
      </w:tblPr>
      <w:tblGrid>
        <w:gridCol w:w="3810"/>
        <w:gridCol w:w="5715"/>
      </w:tblGrid>
      <w:tr>
        <w:trPr>
          <w:tblHeader w:val="on"/>
          <w:cantSplit/>
        </w:trPr>
        <w:tc>
          <w:tcPr>
            <w:tcW w:type="dxa" w:w="3810"/>
            <w:shd w:fill="233B82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Configuração de base</w:t>
            </w:r>
          </w:p>
        </w:tc>
        <w:tc>
          <w:tcPr>
            <w:tcW w:type="dxa" w:w="5715"/>
            <w:shd w:fill="233B82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Resultado selecionado</w:t>
            </w:r>
          </w:p>
        </w:tc>
      </w:tr>
      <w:tr>
        <w:trPr>
          <w:cantSplit/>
        </w:trPr>
        <w:tc>
          <w:tcPr>
            <w:tcW w:type="dxa" w:w="3810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Variável com nome de base</w:t>
            </w:r>
          </w:p>
        </w:tc>
        <w:tc>
          <w:tcPr>
            <w:tcW w:type="dxa" w:w="5715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Nome informado pela variável.</w:t>
            </w:r>
          </w:p>
        </w:tc>
      </w:tr>
      <w:tr>
        <w:trPr>
          <w:cantSplit/>
        </w:trPr>
        <w:tc>
          <w:tcPr>
            <w:tcW w:type="dxa" w:w="3810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Variável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(default)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 arquivo com nome de base</w:t>
            </w:r>
          </w:p>
        </w:tc>
        <w:tc>
          <w:tcPr>
            <w:tcW w:type="dxa" w:w="5715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Nome informado pelo arquivo.</w:t>
            </w:r>
          </w:p>
        </w:tc>
      </w:tr>
      <w:tr>
        <w:trPr>
          <w:cantSplit/>
        </w:trPr>
        <w:tc>
          <w:tcPr>
            <w:tcW w:type="dxa" w:w="3810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Variável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(default)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 arquivo sem base</w:t>
            </w:r>
          </w:p>
        </w:tc>
        <w:tc>
          <w:tcPr>
            <w:tcW w:type="dxa" w:w="5715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Base padrão.</w:t>
            </w:r>
          </w:p>
        </w:tc>
      </w:tr>
      <w:tr>
        <w:trPr>
          <w:cantSplit/>
        </w:trPr>
        <w:tc>
          <w:tcPr>
            <w:tcW w:type="dxa" w:w="3810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Variável ausente e arquivo com nome de base</w:t>
            </w:r>
          </w:p>
        </w:tc>
        <w:tc>
          <w:tcPr>
            <w:tcW w:type="dxa" w:w="5715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Nome informado pelo arquivo.</w:t>
            </w:r>
          </w:p>
        </w:tc>
      </w:tr>
      <w:tr>
        <w:trPr>
          <w:cantSplit/>
        </w:trPr>
        <w:tc>
          <w:tcPr>
            <w:tcW w:type="dxa" w:w="3810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Variável e arquivo sem base</w:t>
            </w:r>
          </w:p>
        </w:tc>
        <w:tc>
          <w:tcPr>
            <w:tcW w:type="dxa" w:w="5715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Base padrão.</w:t>
            </w:r>
          </w:p>
        </w:tc>
      </w:tr>
    </w:tbl>
    <w:p>
      <w:pPr>
        <w:pStyle w:val="BodyText"/>
      </w:pPr>
      <w:r>
        <w:t xml:space="preserve">A inicialização reutiliza a primeira aplicação Firebase Admin existente ou cria uma aplicação com o projeto selecionado. Para uma base nomeada, chama</w:t>
      </w:r>
      <w:r>
        <w:t xml:space="preserve"> </w:t>
      </w:r>
      <w:r>
        <w:rPr>
          <w:rStyle w:val="VerbatimChar"/>
        </w:rPr>
        <w:t xml:space="preserve">getFirestore(app, dbId)</w:t>
      </w:r>
      <w:r>
        <w:t xml:space="preserve">; para a base padrão, chama</w:t>
      </w:r>
      <w:r>
        <w:t xml:space="preserve"> </w:t>
      </w:r>
      <w:r>
        <w:rPr>
          <w:rStyle w:val="VerbatimChar"/>
        </w:rPr>
        <w:t xml:space="preserve">getFirestore(app)</w:t>
      </w:r>
      <w:r>
        <w:t xml:space="preserve">. A instância resultante é a referência utilizada pela persistência. Uma exceção na inicialização é registrada e resulta em referência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BodyText"/>
      </w:pPr>
      <w:r>
        <w:t xml:space="preserve">A configuração Firebase Hosting publica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e encaminha</w:t>
      </w:r>
      <w:r>
        <w:t xml:space="preserve"> </w:t>
      </w:r>
      <w:r>
        <w:rPr>
          <w:rStyle w:val="VerbatimChar"/>
        </w:rPr>
        <w:t xml:space="preserve">/api/**</w:t>
      </w:r>
      <w:r>
        <w:t xml:space="preserve"> </w:t>
      </w:r>
      <w:r>
        <w:t xml:space="preserve">ao serviço Cloud Run</w:t>
      </w:r>
      <w:r>
        <w:t xml:space="preserve"> </w:t>
      </w:r>
      <w:r>
        <w:rPr>
          <w:rStyle w:val="VerbatimChar"/>
        </w:rPr>
        <w:t xml:space="preserve">asg-ods</w:t>
      </w:r>
      <w:r>
        <w:t xml:space="preserve">, na região</w:t>
      </w:r>
      <w:r>
        <w:t xml:space="preserve"> </w:t>
      </w:r>
      <w:r>
        <w:rPr>
          <w:rStyle w:val="VerbatimChar"/>
        </w:rPr>
        <w:t xml:space="preserve">southamerica-east1</w:t>
      </w:r>
      <w:r>
        <w:t xml:space="preserve">. O arquivo</w:t>
      </w:r>
      <w:r>
        <w:t xml:space="preserve"> </w:t>
      </w:r>
      <w:r>
        <w:rPr>
          <w:rStyle w:val="VerbatimChar"/>
        </w:rPr>
        <w:t xml:space="preserve">.firebaserc</w:t>
      </w:r>
      <w:r>
        <w:t xml:space="preserve"> </w:t>
      </w:r>
      <w:r>
        <w:t xml:space="preserve">associa o projeto padrão ao mesmo identificador</w:t>
      </w:r>
      <w:r>
        <w:t xml:space="preserve"> </w:t>
      </w:r>
      <w:r>
        <w:rPr>
          <w:rStyle w:val="VerbatimChar"/>
        </w:rPr>
        <w:t xml:space="preserve">asg-ods</w:t>
      </w:r>
      <w:r>
        <w:t xml:space="preserve">. As regras de acesso de clientes do Firestore são declaradas em</w:t>
      </w:r>
      <w:r>
        <w:t xml:space="preserve"> </w:t>
      </w:r>
      <w:r>
        <w:rPr>
          <w:rStyle w:val="VerbatimChar"/>
        </w:rPr>
        <w:t xml:space="preserve">firestore.rules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allow read, write: if false</w:t>
      </w:r>
      <w:r>
        <w:t xml:space="preserve"> </w:t>
      </w:r>
      <w:r>
        <w:t xml:space="preserve">no caminho abrangente de documentos. O processamento do backend utiliza o SDK Admin.</w:t>
      </w:r>
    </w:p>
    <w:bookmarkEnd w:id="56"/>
    <w:bookmarkStart w:id="60" w:name="coleções-e-vínculos-entre-registros"/>
    <w:p>
      <w:pPr>
        <w:pStyle w:val="Heading2"/>
      </w:pPr>
      <w:bookmarkStart w:id="10033" w:name="docsec_033"/>
      <w:r>
        <w:t xml:space="preserve">5.2 Coleções e vínculos entre registros</w:t>
      </w:r>
      <w:bookmarkEnd w:id="10033"/>
    </w:p>
    <w:p>
      <w:pPr>
        <w:pStyle w:val="FirstParagraph"/>
      </w:pPr>
      <w:r>
        <w:t xml:space="preserve">A persistência distribui o cadastro entre três coleções.</w:t>
      </w:r>
      <w:r>
        <w:t xml:space="preserve"> </w:t>
      </w:r>
      <w:r>
        <w:rPr>
          <w:rStyle w:val="VerbatimChar"/>
        </w:rPr>
        <w:t xml:space="preserve">leads_adesao</w:t>
      </w:r>
      <w:r>
        <w:t xml:space="preserve"> </w:t>
      </w:r>
      <w:r>
        <w:t xml:space="preserve">contém os documentos agregadores</w:t>
      </w:r>
      <w:r>
        <w:t xml:space="preserve"> </w:t>
      </w:r>
      <w:r>
        <w:rPr>
          <w:rStyle w:val="VerbatimChar"/>
        </w:rPr>
        <w:t xml:space="preserve">parte1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parte2</w:t>
      </w:r>
      <w:r>
        <w:t xml:space="preserve"> </w:t>
      </w:r>
      <w:r>
        <w:t xml:space="preserve">e assim por diante.</w:t>
      </w:r>
      <w:r>
        <w:t xml:space="preserve"> </w:t>
      </w:r>
      <w:r>
        <w:rPr>
          <w:rStyle w:val="VerbatimChar"/>
        </w:rPr>
        <w:t xml:space="preserve">leads_unicidade</w:t>
      </w:r>
      <w:r>
        <w:t xml:space="preserve"> </w:t>
      </w:r>
      <w:r>
        <w:t xml:space="preserve">contém um documento por HMAC de email.</w:t>
      </w:r>
      <w:r>
        <w:t xml:space="preserve"> </w:t>
      </w:r>
      <w:r>
        <w:rPr>
          <w:rStyle w:val="VerbatimChar"/>
        </w:rPr>
        <w:t xml:space="preserve">vault_leads</w:t>
      </w:r>
      <w:r>
        <w:t xml:space="preserve"> </w:t>
      </w:r>
      <w:r>
        <w:t xml:space="preserve">contém um documento por identificador de lead.</w:t>
      </w:r>
    </w:p>
    <w:p>
      <w:pPr>
        <w:pStyle w:val="BodyText"/>
      </w:pPr>
      <w:r>
        <w:t xml:space="preserve">A manifestação operacional, armazenada dentro de uma parte, contém estes campos: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DCE3ED"/>
          <w:left w:val="single" w:sz="4" w:color="DCE3ED"/>
          <w:bottom w:val="single" w:sz="4" w:color="DCE3ED"/>
          <w:right w:val="single" w:sz="4" w:color="DCE3ED"/>
          <w:insideH w:val="single" w:sz="4" w:color="DCE3ED"/>
          <w:insideV w:val="single" w:sz="4" w:color="DCE3ED"/>
        </w:tblBorders>
      </w:tblPr>
      <w:tblGrid>
        <w:gridCol w:w="3048"/>
        <w:gridCol w:w="6477"/>
      </w:tblGrid>
      <w:tr>
        <w:trPr>
          <w:tblHeader w:val="on"/>
          <w:cantSplit/>
        </w:trPr>
        <w:tc>
          <w:tcPr>
            <w:tcW w:type="dxa" w:w="3048"/>
            <w:shd w:fill="233B82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Campo</w:t>
            </w:r>
          </w:p>
        </w:tc>
        <w:tc>
          <w:tcPr>
            <w:tcW w:type="dxa" w:w="6477"/>
            <w:shd w:fill="233B82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3048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leadId</w:t>
            </w:r>
          </w:p>
        </w:tc>
        <w:tc>
          <w:tcPr>
            <w:tcW w:type="dxa" w:w="6477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Identificador gerado para o cadastro.</w:t>
            </w:r>
          </w:p>
        </w:tc>
      </w:tr>
      <w:tr>
        <w:trPr>
          <w:cantSplit/>
        </w:trPr>
        <w:tc>
          <w:tcPr>
            <w:tcW w:type="dxa" w:w="3048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emailHash</w:t>
            </w:r>
          </w:p>
        </w:tc>
        <w:tc>
          <w:tcPr>
            <w:tcW w:type="dxa" w:w="6477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HMAC-SHA256 do email normalizado, em hexadecimal.</w:t>
            </w:r>
          </w:p>
        </w:tc>
      </w:tr>
      <w:tr>
        <w:trPr>
          <w:cantSplit/>
        </w:trPr>
        <w:tc>
          <w:tcPr>
            <w:tcW w:type="dxa" w:w="3048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instituicao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campus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cargo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curso</w:t>
            </w:r>
          </w:p>
        </w:tc>
        <w:tc>
          <w:tcPr>
            <w:tcW w:type="dxa" w:w="6477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Valores normalizados do formulário.</w:t>
            </w:r>
          </w:p>
        </w:tc>
      </w:tr>
      <w:tr>
        <w:trPr>
          <w:cantSplit/>
        </w:trPr>
        <w:tc>
          <w:tcPr>
            <w:tcW w:type="dxa" w:w="3048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previsaoSemestre</w:t>
            </w:r>
          </w:p>
        </w:tc>
        <w:tc>
          <w:tcPr>
            <w:tcW w:type="dxa" w:w="6477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Previsão informada no formulário.</w:t>
            </w:r>
          </w:p>
        </w:tc>
      </w:tr>
      <w:tr>
        <w:trPr>
          <w:cantSplit/>
        </w:trPr>
        <w:tc>
          <w:tcPr>
            <w:tcW w:type="dxa" w:w="3048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temObservacoes</w:t>
            </w:r>
          </w:p>
        </w:tc>
        <w:tc>
          <w:tcPr>
            <w:tcW w:type="dxa" w:w="6477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Booleano calculado a partir da presença de observações após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trim</w:t>
            </w:r>
            <w:r>
              <w:rPr>
                <w:sz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48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origem</w:t>
            </w:r>
          </w:p>
        </w:tc>
        <w:tc>
          <w:tcPr>
            <w:tcW w:type="dxa" w:w="6477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Constante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portal_cra_sp</w:t>
            </w:r>
            <w:r>
              <w:rPr>
                <w:sz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48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status</w:t>
            </w:r>
          </w:p>
        </w:tc>
        <w:tc>
          <w:tcPr>
            <w:tcW w:type="dxa" w:w="6477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Constante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pendente_analise</w:t>
            </w:r>
            <w:r>
              <w:rPr>
                <w:sz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48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criadoEm</w:t>
            </w:r>
          </w:p>
        </w:tc>
        <w:tc>
          <w:tcPr>
            <w:tcW w:type="dxa" w:w="6477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Data e hora de criação em string ISO.</w:t>
            </w:r>
          </w:p>
        </w:tc>
      </w:tr>
      <w:tr>
        <w:trPr>
          <w:cantSplit/>
        </w:trPr>
        <w:tc>
          <w:tcPr>
            <w:tcW w:type="dxa" w:w="3048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vaultRef</w:t>
            </w:r>
          </w:p>
        </w:tc>
        <w:tc>
          <w:tcPr>
            <w:tcW w:type="dxa" w:w="6477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Caminho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vault_leads/&lt;leadId&gt;</w:t>
            </w:r>
            <w:r>
              <w:rPr>
                <w:sz w:val="18"/>
              </w:rPr>
              <w:t xml:space="preserve">.</w:t>
            </w:r>
          </w:p>
        </w:tc>
      </w:tr>
    </w:tbl>
    <w:p>
      <w:pPr>
        <w:pStyle w:val="BodyText"/>
      </w:pPr>
      <w:r>
        <w:t xml:space="preserve">O cofre possui</w:t>
      </w:r>
      <w:r>
        <w:t xml:space="preserve"> </w:t>
      </w:r>
      <w:r>
        <w:rPr>
          <w:rStyle w:val="VerbatimChar"/>
        </w:rPr>
        <w:t xml:space="preserve">leadId</w:t>
      </w:r>
      <w:r>
        <w:t xml:space="preserve">, os campos cifrados</w:t>
      </w:r>
      <w:r>
        <w:t xml:space="preserve"> </w:t>
      </w:r>
      <w:r>
        <w:rPr>
          <w:rStyle w:val="VerbatimChar"/>
        </w:rPr>
        <w:t xml:space="preserve">nome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telefone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observacoes</w:t>
      </w:r>
      <w:r>
        <w:t xml:space="preserve">, além de</w:t>
      </w:r>
      <w:r>
        <w:t xml:space="preserve"> </w:t>
      </w:r>
      <w:r>
        <w:rPr>
          <w:rStyle w:val="VerbatimChar"/>
        </w:rPr>
        <w:t xml:space="preserve">criadoEm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vaultEncrypted: true</w:t>
      </w:r>
      <w:r>
        <w:t xml:space="preserve">. O índice contém</w:t>
      </w:r>
      <w:r>
        <w:t xml:space="preserve"> </w:t>
      </w:r>
      <w:r>
        <w:rPr>
          <w:rStyle w:val="VerbatimChar"/>
        </w:rPr>
        <w:t xml:space="preserve">criadoEm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leadId</w:t>
      </w:r>
      <w:r>
        <w:t xml:space="preserve">. Seu identificador é o próprio HMAC do email, e</w:t>
      </w:r>
      <w:r>
        <w:t xml:space="preserve"> </w:t>
      </w:r>
      <w:r>
        <w:rPr>
          <w:rStyle w:val="VerbatimChar"/>
        </w:rPr>
        <w:t xml:space="preserve">parte</w:t>
      </w:r>
      <w:r>
        <w:t xml:space="preserve"> </w:t>
      </w:r>
      <w:r>
        <w:t xml:space="preserve">guarda o nome do documento agregador.</w:t>
      </w:r>
    </w:p>
    <w:p>
      <w:pPr>
        <w:pStyle w:val="BodyText"/>
      </w:pPr>
      <w:r>
        <w:t xml:space="preserve">Exemplo exclusivamente esquemático dos vínculos, com marcadores simbólicos:</w:t>
      </w:r>
    </w:p>
    <w:p>
      <w:pPr>
        <w:pStyle w:val="SourceCode"/>
      </w:pPr>
      <w:r>
        <w:rPr>
          <w:rStyle w:val="VerbatimChar"/>
        </w:rPr>
        <w:t xml:space="preserve">leads_unicidade/&lt;HMAC_DO_EMAIL&gt;</w:t>
      </w:r>
      <w:r>
        <w:br/>
      </w:r>
      <w:r>
        <w:rPr>
          <w:rStyle w:val="VerbatimChar"/>
        </w:rPr>
        <w:t xml:space="preserve">    parte -&gt; parte&lt;N&gt;</w:t>
      </w:r>
      <w:r>
        <w:br/>
      </w:r>
      <w:r>
        <w:rPr>
          <w:rStyle w:val="VerbatimChar"/>
        </w:rPr>
        <w:t xml:space="preserve">    leadId -&gt; &lt;IDENTIFICADOR_DO_LEAD&gt;</w:t>
      </w:r>
      <w:r>
        <w:br/>
      </w:r>
      <w:r>
        <w:br/>
      </w:r>
      <w:r>
        <w:rPr>
          <w:rStyle w:val="VerbatimChar"/>
        </w:rPr>
        <w:t xml:space="preserve">leads_adesao/parte&lt;N&gt;</w:t>
      </w:r>
      <w:r>
        <w:br/>
      </w:r>
      <w:r>
        <w:rPr>
          <w:rStyle w:val="VerbatimChar"/>
        </w:rPr>
        <w:t xml:space="preserve">    manifestacoes -&gt; registros operacionais</w:t>
      </w:r>
      <w:r>
        <w:br/>
      </w:r>
      <w:r>
        <w:rPr>
          <w:rStyle w:val="VerbatimChar"/>
        </w:rPr>
        <w:t xml:space="preserve">    registro.vaultRef -&gt; vault_leads/&lt;IDENTIFICADOR_DO_LEAD&gt;</w:t>
      </w:r>
      <w:r>
        <w:br/>
      </w:r>
      <w:r>
        <w:br/>
      </w:r>
      <w:r>
        <w:rPr>
          <w:rStyle w:val="VerbatimChar"/>
        </w:rPr>
        <w:t xml:space="preserve">vault_leads/&lt;IDENTIFICADOR_DO_LEAD&gt;</w:t>
      </w:r>
      <w:r>
        <w:br/>
      </w:r>
      <w:r>
        <w:rPr>
          <w:rStyle w:val="VerbatimChar"/>
        </w:rPr>
        <w:t xml:space="preserve">    campos de contato e observações -&gt; envelopes cifrados</w:t>
      </w:r>
    </w:p>
    <w:p>
      <w:pPr>
        <w:pStyle w:val="CaptionedFigure"/>
        <w:keepNext w:val="0"/>
        <w:jc w:val="center"/>
      </w:pPr>
      <w:r>
        <w:drawing>
          <wp:inline>
            <wp:extent cx="6045200" cy="3082794"/>
            <wp:effectExtent b="0" l="0" r="0" t="0"/>
            <wp:docPr descr="Figura 3 — Vínculos dos registros na transação Firestore." title="" id="58" name="Picture"/>
            <a:graphic>
              <a:graphicData uri="http://schemas.openxmlformats.org/drawingml/2006/picture">
                <pic:pic>
                  <pic:nvPicPr>
                    <pic:cNvPr descr="diagrams/03_registros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3082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 xml:space="preserve">Figura 3 — Vínculos dos registros na transação Firestore.</w:t>
      </w:r>
    </w:p>
    <w:bookmarkEnd w:id="60"/>
    <w:bookmarkStart w:id="61" w:name="X1cb7aa6ea552e4fcf81f5e67044c4ced51cbfb1"/>
    <w:p>
      <w:pPr>
        <w:pStyle w:val="Heading2"/>
      </w:pPr>
      <w:bookmarkStart w:id="10034" w:name="docsec_034"/>
      <w:r>
        <w:t xml:space="preserve">5.3 Documentos agregadores e cálculo de capacidade</w:t>
      </w:r>
      <w:bookmarkEnd w:id="10034"/>
    </w:p>
    <w:p>
      <w:pPr>
        <w:pStyle w:val="FirstParagraph"/>
      </w:pPr>
      <w:r>
        <w:t xml:space="preserve">Cada parte possui</w:t>
      </w:r>
      <w:r>
        <w:t xml:space="preserve"> </w:t>
      </w:r>
      <w:r>
        <w:rPr>
          <w:rStyle w:val="VerbatimChar"/>
        </w:rPr>
        <w:t xml:space="preserve">numeroParte</w:t>
      </w:r>
      <w:r>
        <w:t xml:space="preserve">,</w:t>
      </w:r>
      <w:r>
        <w:t xml:space="preserve"> </w:t>
      </w:r>
      <w:r>
        <w:rPr>
          <w:rStyle w:val="VerbatimChar"/>
        </w:rPr>
        <w:t xml:space="preserve">criadoEm</w:t>
      </w:r>
      <w:r>
        <w:t xml:space="preserve">,</w:t>
      </w:r>
      <w:r>
        <w:t xml:space="preserve"> </w:t>
      </w:r>
      <w:r>
        <w:rPr>
          <w:rStyle w:val="VerbatimChar"/>
        </w:rPr>
        <w:t xml:space="preserve">atualizadoEm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totalRegistros</w:t>
      </w:r>
      <w:r>
        <w:t xml:space="preserve">,</w:t>
      </w:r>
      <w:r>
        <w:t xml:space="preserve"> </w:t>
      </w:r>
      <w:r>
        <w:rPr>
          <w:rStyle w:val="VerbatimChar"/>
        </w:rPr>
        <w:t xml:space="preserve">tamanhoAproximadoBytes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manifestacoes</w:t>
      </w:r>
      <w:r>
        <w:t xml:space="preserve">. O número acompanha o ordinal da parte; a lista</w:t>
      </w:r>
      <w:r>
        <w:t xml:space="preserve"> </w:t>
      </w:r>
      <w:r>
        <w:rPr>
          <w:rStyle w:val="VerbatimChar"/>
        </w:rPr>
        <w:t xml:space="preserve">manifestacoes</w:t>
      </w:r>
      <w:r>
        <w:t xml:space="preserve"> </w:t>
      </w:r>
      <w:r>
        <w:t xml:space="preserve">reúne os registros operacionais. Ao inserir uma manifestação,</w:t>
      </w:r>
      <w:r>
        <w:t xml:space="preserve"> </w:t>
      </w:r>
      <w:r>
        <w:rPr>
          <w:rStyle w:val="VerbatimChar"/>
        </w:rPr>
        <w:t xml:space="preserve">buildBucketPayload</w:t>
      </w:r>
      <w:r>
        <w:t xml:space="preserve"> </w:t>
      </w:r>
      <w:r>
        <w:t xml:space="preserve">constrói uma nova lista com os itens existentes e o novo registro. Preserva a criação original e atualiza a data da inclusão.</w:t>
      </w:r>
    </w:p>
    <w:p>
      <w:pPr>
        <w:pStyle w:val="BodyText"/>
      </w:pPr>
      <w:r>
        <w:rPr>
          <w:rStyle w:val="VerbatimChar"/>
        </w:rPr>
        <w:t xml:space="preserve">totalRegistros</w:t>
      </w:r>
      <w:r>
        <w:t xml:space="preserve"> </w:t>
      </w:r>
      <w:r>
        <w:t xml:space="preserve">é o comprimento da lista resultante.</w:t>
      </w:r>
      <w:r>
        <w:t xml:space="preserve"> </w:t>
      </w:r>
      <w:r>
        <w:rPr>
          <w:rStyle w:val="VerbatimChar"/>
        </w:rPr>
        <w:t xml:space="preserve">tamanhoAproximadoBytes</w:t>
      </w:r>
      <w:r>
        <w:t xml:space="preserve"> </w:t>
      </w:r>
      <w:r>
        <w:t xml:space="preserve">é calculado com</w:t>
      </w:r>
      <w:r>
        <w:t xml:space="preserve"> </w:t>
      </w:r>
      <w:r>
        <w:rPr>
          <w:rStyle w:val="VerbatimChar"/>
        </w:rPr>
        <w:t xml:space="preserve">Buffer.byteLength(JSON.stringify(manifestacoes), 'utf8')</w:t>
      </w:r>
      <w:r>
        <w:t xml:space="preserve">. O critério de encaixe utiliza a serialização do documento de parte existente, somada ao tamanho serializado do novo registro. O resultado é comparado com</w:t>
      </w:r>
      <w:r>
        <w:t xml:space="preserve"> </w:t>
      </w:r>
      <w:r>
        <w:rPr>
          <w:rStyle w:val="VerbatimChar"/>
        </w:rPr>
        <w:t xml:space="preserve">MAX_BUCKET_BYTES</w:t>
      </w:r>
      <w:r>
        <w:t xml:space="preserve">, definido como 943.718 bytes, correspondente ao teto de 90% de 1 MiB adotado pelo projeto.</w:t>
      </w:r>
    </w:p>
    <w:p>
      <w:pPr>
        <w:pStyle w:val="BodyText"/>
      </w:pPr>
      <w:r>
        <w:t xml:space="preserve">A busca começa em</w:t>
      </w:r>
      <w:r>
        <w:t xml:space="preserve"> </w:t>
      </w:r>
      <w:r>
        <w:rPr>
          <w:rStyle w:val="VerbatimChar"/>
        </w:rPr>
        <w:t xml:space="preserve">parte1</w:t>
      </w:r>
      <w:r>
        <w:t xml:space="preserve">. Se uma parte existente comporta a manifestação, a rotina grava nela. Quando o critério de encaixe não é atendido, incrementa</w:t>
      </w:r>
      <w:r>
        <w:t xml:space="preserve"> </w:t>
      </w:r>
      <w:r>
        <w:rPr>
          <w:rStyle w:val="VerbatimChar"/>
        </w:rPr>
        <w:t xml:space="preserve">partNum</w:t>
      </w:r>
      <w:r>
        <w:t xml:space="preserve"> </w:t>
      </w:r>
      <w:r>
        <w:t xml:space="preserve">e tenta a próxima. Uma parte ainda inexistente recebe sua estrutura inicial com a primeira manifestação.</w:t>
      </w:r>
    </w:p>
    <w:bookmarkEnd w:id="61"/>
    <w:bookmarkStart w:id="62" w:name="X814383213610882c3c6fcec7127b7803dcbff95"/>
    <w:p>
      <w:pPr>
        <w:pStyle w:val="Heading2"/>
      </w:pPr>
      <w:bookmarkStart w:id="10035" w:name="docsec_035"/>
      <w:r>
        <w:t xml:space="preserve">5.4 Transação, unicidade e reconstrução do índice</w:t>
      </w:r>
      <w:bookmarkEnd w:id="10035"/>
    </w:p>
    <w:p>
      <w:pPr>
        <w:pStyle w:val="FirstParagraph"/>
      </w:pPr>
      <w:r>
        <w:t xml:space="preserve">Para cada tentativa, a rotina prepara referências ao documento de unicidade, à parte corrente e ao cofre do lead. A operação utiliza</w:t>
      </w:r>
      <w:r>
        <w:t xml:space="preserve"> </w:t>
      </w:r>
      <w:r>
        <w:rPr>
          <w:rStyle w:val="VerbatimChar"/>
        </w:rPr>
        <w:t xml:space="preserve">db.runTransaction</w:t>
      </w:r>
      <w:r>
        <w:t xml:space="preserve">. Primeiro lê o índice; quando ele existe, retorna duplicidade. Em seguida, lê a parte para decidir entre criar seu documento, acrescentar uma manifestação ou continuar a busca.</w:t>
      </w:r>
    </w:p>
    <w:p>
      <w:pPr>
        <w:pStyle w:val="BodyText"/>
      </w:pPr>
      <w:r>
        <w:t xml:space="preserve">A conferência de duplicidade dentro de uma parte compara</w:t>
      </w:r>
      <w:r>
        <w:t xml:space="preserve"> </w:t>
      </w:r>
      <w:r>
        <w:rPr>
          <w:rStyle w:val="VerbatimChar"/>
        </w:rPr>
        <w:t xml:space="preserve">emailHash</w:t>
      </w:r>
      <w:r>
        <w:t xml:space="preserve">. Quando encontra uma manifestação correspondente, localiza seu</w:t>
      </w:r>
      <w:r>
        <w:t xml:space="preserve"> </w:t>
      </w:r>
      <w:r>
        <w:rPr>
          <w:rStyle w:val="VerbatimChar"/>
        </w:rPr>
        <w:t xml:space="preserve">leadId</w:t>
      </w:r>
      <w:r>
        <w:t xml:space="preserve"> </w:t>
      </w:r>
      <w:r>
        <w:t xml:space="preserve">e grava novamente o índice com esse identificador e o nome da parte. A função utiliza o identificador preparado para a operação como alternativa quando o campo localizado está ausente. Esse caminho retorna duplicidade e o identificador selecionado.</w:t>
      </w:r>
    </w:p>
    <w:p>
      <w:pPr>
        <w:pStyle w:val="BodyText"/>
      </w:pPr>
      <w:r>
        <w:t xml:space="preserve">Na criação de uma parte ou na inclusão em uma existente,</w:t>
      </w:r>
      <w:r>
        <w:t xml:space="preserve"> </w:t>
      </w:r>
      <w:r>
        <w:rPr>
          <w:rStyle w:val="VerbatimChar"/>
        </w:rPr>
        <w:t xml:space="preserve">writeDualRecords</w:t>
      </w:r>
      <w:r>
        <w:t xml:space="preserve"> </w:t>
      </w:r>
      <w:r>
        <w:t xml:space="preserve">agenda</w:t>
      </w:r>
      <w:r>
        <w:t xml:space="preserve"> </w:t>
      </w:r>
      <w:r>
        <w:rPr>
          <w:rStyle w:val="VerbatimChar"/>
        </w:rPr>
        <w:t xml:space="preserve">tx.set</w:t>
      </w:r>
      <w:r>
        <w:t xml:space="preserve"> </w:t>
      </w:r>
      <w:r>
        <w:t xml:space="preserve">para o índice, para o cofre recebido e para o documento agregador. O documento de parte é montado com a lista completa resultante. O mesmo contexto transacional reúne essas escritas e as leituras que orientaram a decisão.</w:t>
      </w:r>
    </w:p>
    <w:p>
      <w:pPr>
        <w:pStyle w:val="BodyText"/>
      </w:pPr>
      <w:r>
        <w:rPr>
          <w:rStyle w:val="VerbatimChar"/>
        </w:rPr>
        <w:t xml:space="preserve">writeLeadToBucket</w:t>
      </w:r>
      <w:r>
        <w:t xml:space="preserve"> </w:t>
      </w:r>
      <w:r>
        <w:t xml:space="preserve">recebe o resultado da tentativa e encerra quando encontra sucesso ou duplicidade. Caso a parte não comporte o item, avança para a seguinte. Se a referência Firestore estiver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devolve ausência de sucesso. Exceções da operação são tratadas nessa função, registradas com mensagem sanitizada e convertidas no mesmo resultado de persistência não concluída.</w:t>
      </w:r>
    </w:p>
    <w:bookmarkEnd w:id="62"/>
    <w:bookmarkStart w:id="63" w:name="hmac-cifragem-e-formato-do-cofre"/>
    <w:p>
      <w:pPr>
        <w:pStyle w:val="Heading2"/>
      </w:pPr>
      <w:bookmarkStart w:id="10036" w:name="docsec_036"/>
      <w:r>
        <w:t xml:space="preserve">5.5 HMAC, cifragem e formato do cofre</w:t>
      </w:r>
      <w:bookmarkEnd w:id="10036"/>
    </w:p>
    <w:p>
      <w:pPr>
        <w:pStyle w:val="FirstParagraph"/>
      </w:pPr>
      <w:r>
        <w:t xml:space="preserve">O HMAC de unicidade utiliza SHA-256 e a variável</w:t>
      </w:r>
      <w:r>
        <w:t xml:space="preserve"> </w:t>
      </w:r>
      <w:r>
        <w:rPr>
          <w:rStyle w:val="VerbatimChar"/>
        </w:rPr>
        <w:t xml:space="preserve">HMAC_PEPPER_KEY</w:t>
      </w:r>
      <w:r>
        <w:t xml:space="preserve">. A função aplica minúsculas e</w:t>
      </w:r>
      <w:r>
        <w:t xml:space="preserve"> </w:t>
      </w:r>
      <w:r>
        <w:rPr>
          <w:rStyle w:val="VerbatimChar"/>
        </w:rPr>
        <w:t xml:space="preserve">trim</w:t>
      </w:r>
      <w:r>
        <w:t xml:space="preserve"> </w:t>
      </w:r>
      <w:r>
        <w:t xml:space="preserve">ao email antes de calcular o valor hexadecimal. Esse valor é utilizado como identificador do documento de índice e como</w:t>
      </w:r>
      <w:r>
        <w:t xml:space="preserve"> </w:t>
      </w:r>
      <w:r>
        <w:rPr>
          <w:rStyle w:val="VerbatimChar"/>
        </w:rPr>
        <w:t xml:space="preserve">emailHash</w:t>
      </w:r>
      <w:r>
        <w:t xml:space="preserve"> </w:t>
      </w:r>
      <w:r>
        <w:t xml:space="preserve">na manifestação operacional.</w:t>
      </w:r>
    </w:p>
    <w:p>
      <w:pPr>
        <w:pStyle w:val="BodyText"/>
      </w:pPr>
      <w:r>
        <w:t xml:space="preserve">A cifragem utiliza</w:t>
      </w:r>
      <w:r>
        <w:t xml:space="preserve"> </w:t>
      </w:r>
      <w:r>
        <w:rPr>
          <w:rStyle w:val="VerbatimChar"/>
        </w:rPr>
        <w:t xml:space="preserve">VAULT_ENCRYPTION_KEY</w:t>
      </w:r>
      <w:r>
        <w:t xml:space="preserve">. O código aplica SHA-256 ao conteúdo dessa variável para obter a chave binária de 32 bytes usada pelo AES-256-GCM. Cada chamada gera um IV aleatório de 12 bytes, cifra a string em UTF-8 e obtém a tag de autenticação. O resultado é serializado neste envelope esquemático:</w:t>
      </w:r>
    </w:p>
    <w:p>
      <w:pPr>
        <w:pStyle w:val="SourceCode"/>
      </w:pPr>
      <w:r>
        <w:rPr>
          <w:rStyle w:val="VerbatimChar"/>
        </w:rPr>
        <w:t xml:space="preserve">v1:&lt;IV_EM_BASE64&gt;:&lt;TAG_EM_BASE64&gt;:&lt;CONTEUDO_CIFRADO_EM_BASE64&gt;</w:t>
      </w:r>
    </w:p>
    <w:p>
      <w:pPr>
        <w:pStyle w:val="FirstParagraph"/>
      </w:pPr>
      <w:r>
        <w:t xml:space="preserve">Nome, email, telefone e observações recebem envelopes próprios. Uma string vazia é preservada como string vazia.</w:t>
      </w:r>
      <w:r>
        <w:t xml:space="preserve"> </w:t>
      </w:r>
      <w:r>
        <w:rPr>
          <w:rStyle w:val="VerbatimChar"/>
        </w:rPr>
        <w:t xml:space="preserve">buildVaultRecord</w:t>
      </w:r>
      <w:r>
        <w:t xml:space="preserve"> </w:t>
      </w:r>
      <w:r>
        <w:t xml:space="preserve">reúne os resultados, o identificador, a data ISO e o indicador</w:t>
      </w:r>
      <w:r>
        <w:t xml:space="preserve"> </w:t>
      </w:r>
      <w:r>
        <w:rPr>
          <w:rStyle w:val="VerbatimChar"/>
        </w:rPr>
        <w:t xml:space="preserve">vaultEncrypted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decryptVaultField</w:t>
      </w:r>
      <w:r>
        <w:t xml:space="preserve"> </w:t>
      </w:r>
      <w:r>
        <w:t xml:space="preserve">interpreta o envelope</w:t>
      </w:r>
      <w:r>
        <w:t xml:space="preserve"> </w:t>
      </w:r>
      <w:r>
        <w:rPr>
          <w:rStyle w:val="VerbatimChar"/>
        </w:rPr>
        <w:t xml:space="preserve">v1</w:t>
      </w:r>
      <w:r>
        <w:t xml:space="preserve">, converte seus componentes de Base64 e executa a decifragem com a tag. Para entrada vazia, formato sem prefixo</w:t>
      </w:r>
      <w:r>
        <w:t xml:space="preserve"> </w:t>
      </w:r>
      <w:r>
        <w:rPr>
          <w:rStyle w:val="VerbatimChar"/>
        </w:rPr>
        <w:t xml:space="preserve">v1:</w:t>
      </w:r>
      <w:r>
        <w:t xml:space="preserve"> </w:t>
      </w:r>
      <w:r>
        <w:t xml:space="preserve">ou quantidade diferente de quatro componentes, retorna o texto recebido. Uma exceção durante a decifragem resulta no marcador</w:t>
      </w:r>
      <w:r>
        <w:t xml:space="preserve"> </w:t>
      </w:r>
      <w:r>
        <w:rPr>
          <w:rStyle w:val="VerbatimChar"/>
        </w:rPr>
        <w:t xml:space="preserve">[ENCRYPTED_VAULT_PAYLOAD]</w:t>
      </w:r>
      <w:r>
        <w:t xml:space="preserve">. A ausência das variáveis exigidas para calcular HMAC ou cifrar campos lança uma exceção no processamento correspondente.</w:t>
      </w:r>
    </w:p>
    <w:bookmarkEnd w:id="63"/>
    <w:bookmarkStart w:id="64" w:name="mensagens-operacionais-e-sanitização"/>
    <w:p>
      <w:pPr>
        <w:pStyle w:val="Heading2"/>
      </w:pPr>
      <w:bookmarkStart w:id="10037" w:name="docsec_037"/>
      <w:r>
        <w:t xml:space="preserve">5.6 Mensagens operacionais e sanitização</w:t>
      </w:r>
      <w:bookmarkEnd w:id="10037"/>
    </w:p>
    <w:p>
      <w:pPr>
        <w:pStyle w:val="FirstParagraph"/>
      </w:pPr>
      <w:r>
        <w:t xml:space="preserve">As mensagens operacionais distinguem a inicialização Firestore, a gravação, o processamento do cofre e o handler geral. As últimas três utilizam os prefixos</w:t>
      </w:r>
      <w:r>
        <w:t xml:space="preserve"> </w:t>
      </w:r>
      <w:r>
        <w:rPr>
          <w:rStyle w:val="VerbatimChar"/>
        </w:rPr>
        <w:t xml:space="preserve">[FIREBASE_WARN]</w:t>
      </w:r>
      <w:r>
        <w:t xml:space="preserve">,</w:t>
      </w:r>
      <w:r>
        <w:t xml:space="preserve"> </w:t>
      </w:r>
      <w:r>
        <w:rPr>
          <w:rStyle w:val="VerbatimChar"/>
        </w:rPr>
        <w:t xml:space="preserve">[SECURITY_VAULT_ERROR]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[SERVER_ERROR]</w:t>
      </w:r>
      <w:r>
        <w:t xml:space="preserve">, respectivamente.</w:t>
      </w:r>
    </w:p>
    <w:p>
      <w:pPr>
        <w:pStyle w:val="BodyText"/>
      </w:pPr>
      <w:r>
        <w:rPr>
          <w:rStyle w:val="VerbatimChar"/>
        </w:rPr>
        <w:t xml:space="preserve">sanitizeErrorMessage</w:t>
      </w:r>
      <w:r>
        <w:t xml:space="preserve"> </w:t>
      </w:r>
      <w:r>
        <w:t xml:space="preserve">começa selecionando os primeiros 2.000 caracteres do texto. Em sequência, substitui padrões de email, telefone, CPF e identificadores presentes em caminhos</w:t>
      </w:r>
      <w:r>
        <w:t xml:space="preserve"> </w:t>
      </w:r>
      <w:r>
        <w:rPr>
          <w:rStyle w:val="VerbatimChar"/>
        </w:rPr>
        <w:t xml:space="preserve">leads_adesao/</w:t>
      </w:r>
      <w:r>
        <w:t xml:space="preserve">. Os marcadores são</w:t>
      </w:r>
      <w:r>
        <w:t xml:space="preserve"> </w:t>
      </w:r>
      <w:r>
        <w:rPr>
          <w:rStyle w:val="VerbatimChar"/>
        </w:rPr>
        <w:t xml:space="preserve">[REDACTED_EMAIL]</w:t>
      </w:r>
      <w:r>
        <w:t xml:space="preserve">,</w:t>
      </w:r>
      <w:r>
        <w:t xml:space="preserve"> </w:t>
      </w:r>
      <w:r>
        <w:rPr>
          <w:rStyle w:val="VerbatimChar"/>
        </w:rPr>
        <w:t xml:space="preserve">[REDACTED_PHONE]</w:t>
      </w:r>
      <w:r>
        <w:t xml:space="preserve">,</w:t>
      </w:r>
      <w:r>
        <w:t xml:space="preserve"> </w:t>
      </w:r>
      <w:r>
        <w:rPr>
          <w:rStyle w:val="VerbatimChar"/>
        </w:rPr>
        <w:t xml:space="preserve">[REDACTED_CPF]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leads_adesao/[REDACTED_DOC]</w:t>
      </w:r>
      <w:r>
        <w:t xml:space="preserve">. A mensagem resultante segue para o console do processo. As respostas HTTP utilizam as mensagens do contrato do endpoint, mantendo a comunicação com o formulário organizada pelos códigos de resultado descritos no capítulo anterior.</w:t>
      </w:r>
    </w:p>
    <w:bookmarkEnd w:id="64"/>
    <w:bookmarkEnd w:id="65"/>
    <w:bookmarkStart w:id="70" w:name="Xd87be716ff8a992a33d2eb829336498adde172e"/>
    <w:p>
      <w:pPr>
        <w:pStyle w:val="Heading1"/>
      </w:pPr>
      <w:bookmarkStart w:id="10038" w:name="docsec_038"/>
      <w:r>
        <w:t xml:space="preserve">6. Protocolos HTTP e recursos de distribuição</w:t>
      </w:r>
      <w:bookmarkEnd w:id="10038"/>
    </w:p>
    <w:bookmarkStart w:id="66" w:name="cabeçalhos-definidos-pelo-backend"/>
    <w:p>
      <w:pPr>
        <w:pStyle w:val="Heading2"/>
      </w:pPr>
      <w:bookmarkStart w:id="10039" w:name="docsec_039"/>
      <w:r>
        <w:t xml:space="preserve">6.1 Cabeçalhos definidos pelo backend</w:t>
      </w:r>
      <w:bookmarkEnd w:id="10039"/>
    </w:p>
    <w:p>
      <w:pPr>
        <w:pStyle w:val="FirstParagraph"/>
      </w:pPr>
      <w:r>
        <w:t xml:space="preserve">O middleware</w:t>
      </w:r>
      <w:r>
        <w:t xml:space="preserve"> </w:t>
      </w:r>
      <w:r>
        <w:rPr>
          <w:rStyle w:val="VerbatimChar"/>
        </w:rPr>
        <w:t xml:space="preserve">applySecurityHeaders</w:t>
      </w:r>
      <w:r>
        <w:t xml:space="preserve">, em</w:t>
      </w:r>
      <w:r>
        <w:t xml:space="preserve"> </w:t>
      </w:r>
      <w:r>
        <w:rPr>
          <w:rStyle w:val="VerbatimChar"/>
        </w:rPr>
        <w:t xml:space="preserve">src/server/securityHeaders.ts</w:t>
      </w:r>
      <w:r>
        <w:t xml:space="preserve">, prepara os cabeçalhos de cada resposta Express antes da leitura do corpo e da seleção da rota. A escolha de CSP produtiva ou de desenvolvimento usa o valor de</w:t>
      </w:r>
      <w:r>
        <w:t xml:space="preserve"> </w:t>
      </w:r>
      <w:r>
        <w:rPr>
          <w:rStyle w:val="VerbatimChar"/>
        </w:rPr>
        <w:t xml:space="preserve">NODE_ENV</w:t>
      </w:r>
      <w:r>
        <w:t xml:space="preserve">. O conjunto inclui regras de transporte, tipo de conteúdo, informação de referência e interação entre origens.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DCE3ED"/>
          <w:left w:val="single" w:sz="4" w:color="DCE3ED"/>
          <w:bottom w:val="single" w:sz="4" w:color="DCE3ED"/>
          <w:right w:val="single" w:sz="4" w:color="DCE3ED"/>
          <w:insideH w:val="single" w:sz="4" w:color="DCE3ED"/>
          <w:insideV w:val="single" w:sz="4" w:color="DCE3ED"/>
        </w:tblBorders>
      </w:tblPr>
      <w:tblGrid>
        <w:gridCol w:w="3619"/>
        <w:gridCol w:w="5905"/>
      </w:tblGrid>
      <w:tr>
        <w:trPr>
          <w:tblHeader w:val="on"/>
          <w:cantSplit/>
        </w:trPr>
        <w:tc>
          <w:tcPr>
            <w:tcW w:type="dxa" w:w="3619"/>
            <w:shd w:fill="233B82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Cabeçalho</w:t>
            </w:r>
          </w:p>
        </w:tc>
        <w:tc>
          <w:tcPr>
            <w:tcW w:type="dxa" w:w="5905"/>
            <w:shd w:fill="233B82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Valor ou organização implementada</w:t>
            </w:r>
          </w:p>
        </w:tc>
      </w:tr>
      <w:tr>
        <w:trPr>
          <w:cantSplit/>
        </w:trPr>
        <w:tc>
          <w:tcPr>
            <w:tcW w:type="dxa" w:w="3619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Strict-Transport-Security</w:t>
            </w:r>
          </w:p>
        </w:tc>
        <w:tc>
          <w:tcPr>
            <w:tcW w:type="dxa" w:w="5905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max-age=63072000; includeSubDomains; preload</w:t>
            </w:r>
            <w:r>
              <w:rPr>
                <w:sz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619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X-Content-Type-Options</w:t>
            </w:r>
          </w:p>
        </w:tc>
        <w:tc>
          <w:tcPr>
            <w:tcW w:type="dxa" w:w="5905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nosniff</w:t>
            </w:r>
            <w:r>
              <w:rPr>
                <w:sz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619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Referrer-Policy</w:t>
            </w:r>
          </w:p>
        </w:tc>
        <w:tc>
          <w:tcPr>
            <w:tcW w:type="dxa" w:w="5905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no-referrer</w:t>
            </w:r>
            <w:r>
              <w:rPr>
                <w:sz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619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Cross-Origin-Opener-Policy</w:t>
            </w:r>
          </w:p>
        </w:tc>
        <w:tc>
          <w:tcPr>
            <w:tcW w:type="dxa" w:w="5905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same-origin-allow-popups</w:t>
            </w:r>
            <w:r>
              <w:rPr>
                <w:sz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619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Cross-Origin-Embedder-Policy</w:t>
            </w:r>
          </w:p>
        </w:tc>
        <w:tc>
          <w:tcPr>
            <w:tcW w:type="dxa" w:w="5905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credentialless</w:t>
            </w:r>
            <w:r>
              <w:rPr>
                <w:sz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619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Cross-Origin-Resource-Policy</w:t>
            </w:r>
          </w:p>
        </w:tc>
        <w:tc>
          <w:tcPr>
            <w:tcW w:type="dxa" w:w="5905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same-origin</w:t>
            </w:r>
            <w:r>
              <w:rPr>
                <w:sz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619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Permissions-Policy</w:t>
            </w:r>
          </w:p>
        </w:tc>
        <w:tc>
          <w:tcPr>
            <w:tcW w:type="dxa" w:w="5905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Câmera, microfone, geolocalização, pagamento, USB e browsing topics usam listas vazias.</w:t>
            </w:r>
          </w:p>
        </w:tc>
      </w:tr>
      <w:tr>
        <w:trPr>
          <w:cantSplit/>
        </w:trPr>
        <w:tc>
          <w:tcPr>
            <w:tcW w:type="dxa" w:w="3619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Content-Security-Policy</w:t>
            </w:r>
          </w:p>
        </w:tc>
        <w:tc>
          <w:tcPr>
            <w:tcW w:type="dxa" w:w="5905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String de diretivas obtida por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getActiveCsp()</w:t>
            </w:r>
            <w:r>
              <w:rPr>
                <w:sz w:val="18"/>
              </w:rPr>
              <w:t xml:space="preserve">.</w:t>
            </w:r>
          </w:p>
        </w:tc>
      </w:tr>
    </w:tbl>
    <w:p>
      <w:pPr>
        <w:pStyle w:val="BodyText"/>
      </w:pPr>
      <w:r>
        <w:t xml:space="preserve">O parâmetro</w:t>
      </w:r>
      <w:r>
        <w:t xml:space="preserve"> </w:t>
      </w:r>
      <w:r>
        <w:rPr>
          <w:rStyle w:val="VerbatimChar"/>
        </w:rPr>
        <w:t xml:space="preserve">max-age</w:t>
      </w:r>
      <w:r>
        <w:t xml:space="preserve"> </w:t>
      </w:r>
      <w:r>
        <w:t xml:space="preserve">do HSTS é expresso em segundos. As diretivas</w:t>
      </w:r>
      <w:r>
        <w:t xml:space="preserve"> </w:t>
      </w:r>
      <w:r>
        <w:rPr>
          <w:rStyle w:val="VerbatimChar"/>
        </w:rPr>
        <w:t xml:space="preserve">includeSubDomains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preload</w:t>
      </w:r>
      <w:r>
        <w:t xml:space="preserve"> </w:t>
      </w:r>
      <w:r>
        <w:t xml:space="preserve">fazem parte do valor configurado.</w:t>
      </w:r>
      <w:r>
        <w:t xml:space="preserve"> </w:t>
      </w:r>
      <w:r>
        <w:rPr>
          <w:rStyle w:val="VerbatimChar"/>
        </w:rPr>
        <w:t xml:space="preserve">no-referrer</w:t>
      </w:r>
      <w:r>
        <w:t xml:space="preserve"> </w:t>
      </w:r>
      <w:r>
        <w:t xml:space="preserve">determina a política de informação de referência nas respostas, enquanto</w:t>
      </w:r>
      <w:r>
        <w:t xml:space="preserve"> </w:t>
      </w:r>
      <w:r>
        <w:rPr>
          <w:rStyle w:val="VerbatimChar"/>
        </w:rPr>
        <w:t xml:space="preserve">nosniff</w:t>
      </w:r>
      <w:r>
        <w:t xml:space="preserve"> </w:t>
      </w:r>
      <w:r>
        <w:t xml:space="preserve">controla a interpretação do tipo de conteúdo. As políticas de origem e de capacidades são entregues como cabeçalhos HTTP pelo middleware.</w:t>
      </w:r>
    </w:p>
    <w:p>
      <w:pPr>
        <w:pStyle w:val="BodyText"/>
      </w:pPr>
      <w:r>
        <w:t xml:space="preserve">O Express desabilita a exposição do cabeçalho X-Powered-By. A função de middleware mantém uma referência ao</w:t>
      </w:r>
      <w:r>
        <w:t xml:space="preserve"> </w:t>
      </w:r>
      <w:r>
        <w:rPr>
          <w:rStyle w:val="VerbatimChar"/>
        </w:rPr>
        <w:t xml:space="preserve">setHeader</w:t>
      </w:r>
      <w:r>
        <w:t xml:space="preserve"> </w:t>
      </w:r>
      <w:r>
        <w:t xml:space="preserve">original e examina definições de Set-Cookie. Cada cookie recebe Secure, SameSite=Lax e HttpOnly somente quando o respectivo atributo ainda não existe no texto. Listas de cookies são processadas individualmente e preservadas como listas.</w:t>
      </w:r>
    </w:p>
    <w:bookmarkEnd w:id="66"/>
    <w:bookmarkStart w:id="67" w:name="organização-da-content-security-policy"/>
    <w:p>
      <w:pPr>
        <w:pStyle w:val="Heading2"/>
      </w:pPr>
      <w:bookmarkStart w:id="10040" w:name="docsec_040"/>
      <w:r>
        <w:t xml:space="preserve">6.2 Organização da Content Security Policy</w:t>
      </w:r>
      <w:bookmarkEnd w:id="10040"/>
    </w:p>
    <w:p>
      <w:pPr>
        <w:pStyle w:val="FirstParagraph"/>
      </w:pPr>
      <w:r>
        <w:t xml:space="preserve">A CSP começa com</w:t>
      </w:r>
      <w:r>
        <w:t xml:space="preserve"> </w:t>
      </w:r>
      <w:r>
        <w:rPr>
          <w:rStyle w:val="VerbatimChar"/>
        </w:rPr>
        <w:t xml:space="preserve">default-src 'none'</w:t>
      </w:r>
      <w:r>
        <w:t xml:space="preserve"> </w:t>
      </w:r>
      <w:r>
        <w:t xml:space="preserve">e declara fontes por tipo de recurso. A política produtiva contempla a origem da aplicação, os hashes declarados de conteúdo inline e os destinos externos utilizados pelas integrações. Os domínios de VLibras aparecem nas diretivas correspondentes a script, estilo, fonte, imagem, conexão, frame e worker.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DCE3ED"/>
          <w:left w:val="single" w:sz="4" w:color="DCE3ED"/>
          <w:bottom w:val="single" w:sz="4" w:color="DCE3ED"/>
          <w:right w:val="single" w:sz="4" w:color="DCE3ED"/>
          <w:insideH w:val="single" w:sz="4" w:color="DCE3ED"/>
          <w:insideV w:val="single" w:sz="4" w:color="DCE3ED"/>
        </w:tblBorders>
      </w:tblPr>
      <w:tblGrid>
        <w:gridCol w:w="2857"/>
        <w:gridCol w:w="6667"/>
      </w:tblGrid>
      <w:tr>
        <w:trPr>
          <w:tblHeader w:val="on"/>
          <w:cantSplit/>
        </w:trPr>
        <w:tc>
          <w:tcPr>
            <w:tcW w:type="dxa" w:w="2857"/>
            <w:shd w:fill="233B82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Diretiva</w:t>
            </w:r>
          </w:p>
        </w:tc>
        <w:tc>
          <w:tcPr>
            <w:tcW w:type="dxa" w:w="6667"/>
            <w:shd w:fill="233B82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Organização das fontes</w:t>
            </w:r>
          </w:p>
        </w:tc>
      </w:tr>
      <w:tr>
        <w:trPr>
          <w:cantSplit/>
        </w:trPr>
        <w:tc>
          <w:tcPr>
            <w:tcW w:type="dxa" w:w="2857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script-src</w:t>
            </w:r>
          </w:p>
        </w:tc>
        <w:tc>
          <w:tcPr>
            <w:tcW w:type="dxa" w:w="6667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Origem própria, hash SHA-256 declarado e destinos VLibras e GitHub CDN declarados no arquivo.</w:t>
            </w:r>
          </w:p>
        </w:tc>
      </w:tr>
      <w:tr>
        <w:trPr>
          <w:cantSplit/>
        </w:trPr>
        <w:tc>
          <w:tcPr>
            <w:tcW w:type="dxa" w:w="2857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style-src</w:t>
            </w:r>
          </w:p>
        </w:tc>
        <w:tc>
          <w:tcPr>
            <w:tcW w:type="dxa" w:w="6667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Origem própria, hashes declarados, Google Fonts e destinos da integração VLibras.</w:t>
            </w:r>
          </w:p>
        </w:tc>
      </w:tr>
      <w:tr>
        <w:trPr>
          <w:cantSplit/>
        </w:trPr>
        <w:tc>
          <w:tcPr>
            <w:tcW w:type="dxa" w:w="2857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style-src-attr</w:t>
            </w:r>
          </w:p>
        </w:tc>
        <w:tc>
          <w:tcPr>
            <w:tcW w:type="dxa" w:w="6667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Permite atributos inline de estilo.</w:t>
            </w:r>
          </w:p>
        </w:tc>
      </w:tr>
      <w:tr>
        <w:trPr>
          <w:cantSplit/>
        </w:trPr>
        <w:tc>
          <w:tcPr>
            <w:tcW w:type="dxa" w:w="2857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font-src</w:t>
            </w:r>
          </w:p>
        </w:tc>
        <w:tc>
          <w:tcPr>
            <w:tcW w:type="dxa" w:w="6667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Origem própria, fonts.gstatic.com e destinos declarados da integração.</w:t>
            </w:r>
          </w:p>
        </w:tc>
      </w:tr>
      <w:tr>
        <w:trPr>
          <w:cantSplit/>
        </w:trPr>
        <w:tc>
          <w:tcPr>
            <w:tcW w:type="dxa" w:w="2857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img-src</w:t>
            </w:r>
          </w:p>
        </w:tc>
        <w:tc>
          <w:tcPr>
            <w:tcW w:type="dxa" w:w="6667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Origem própria, blob/data e os destinos de imagem presentes na configuração.</w:t>
            </w:r>
          </w:p>
        </w:tc>
      </w:tr>
      <w:tr>
        <w:trPr>
          <w:cantSplit/>
        </w:trPr>
        <w:tc>
          <w:tcPr>
            <w:tcW w:type="dxa" w:w="2857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connect-src</w:t>
            </w:r>
          </w:p>
        </w:tc>
        <w:tc>
          <w:tcPr>
            <w:tcW w:type="dxa" w:w="6667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Origem própria, domínios Google APIs/Firebase e destinos VLibras declarados.</w:t>
            </w:r>
          </w:p>
        </w:tc>
      </w:tr>
      <w:tr>
        <w:trPr>
          <w:cantSplit/>
        </w:trPr>
        <w:tc>
          <w:tcPr>
            <w:tcW w:type="dxa" w:w="2857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frame-src e worker-src</w:t>
            </w:r>
          </w:p>
        </w:tc>
        <w:tc>
          <w:tcPr>
            <w:tcW w:type="dxa" w:w="6667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Conjuntos declarados para a integração e a própria origem; worker inclui blob.</w:t>
            </w:r>
          </w:p>
        </w:tc>
      </w:tr>
      <w:tr>
        <w:trPr>
          <w:cantSplit/>
        </w:trPr>
        <w:tc>
          <w:tcPr>
            <w:tcW w:type="dxa" w:w="2857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object-src</w:t>
            </w:r>
          </w:p>
        </w:tc>
        <w:tc>
          <w:tcPr>
            <w:tcW w:type="dxa" w:w="6667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none</w:t>
            </w:r>
            <w:r>
              <w:rPr>
                <w:sz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857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base-uri e form-action</w:t>
            </w:r>
          </w:p>
        </w:tc>
        <w:tc>
          <w:tcPr>
            <w:tcW w:type="dxa" w:w="6667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self</w:t>
            </w:r>
            <w:r>
              <w:rPr>
                <w:sz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857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frame-ancestors</w:t>
            </w:r>
          </w:p>
        </w:tc>
        <w:tc>
          <w:tcPr>
            <w:tcW w:type="dxa" w:w="6667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Origem própria e hosts declarados dos ambientes Google, run.app e AI Studio.</w:t>
            </w:r>
          </w:p>
        </w:tc>
      </w:tr>
      <w:tr>
        <w:trPr>
          <w:cantSplit/>
        </w:trPr>
        <w:tc>
          <w:tcPr>
            <w:tcW w:type="dxa" w:w="2857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upgrade-insecure-requests</w:t>
            </w:r>
          </w:p>
        </w:tc>
        <w:tc>
          <w:tcPr>
            <w:tcW w:type="dxa" w:w="6667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Diretiva declarada na política.</w:t>
            </w:r>
          </w:p>
        </w:tc>
      </w:tr>
    </w:tbl>
    <w:p>
      <w:pPr>
        <w:pStyle w:val="BodyText"/>
      </w:pPr>
      <w:r>
        <w:t xml:space="preserve">No desenvolvimento, a variante inclui as permissões utilizadas pela integração Vite e pelo hot module replacement. A configuração Firebase Hosting mantém seus próprios cabeçalhos no arquivo</w:t>
      </w:r>
      <w:r>
        <w:t xml:space="preserve"> </w:t>
      </w:r>
      <w:r>
        <w:rPr>
          <w:rStyle w:val="VerbatimChar"/>
        </w:rPr>
        <w:t xml:space="preserve">firebase.json</w:t>
      </w:r>
      <w:r>
        <w:t xml:space="preserve">, aplicados às respostas estáticas. Assim, a declaração do backend e a declaração do serviço de hospedagem estão localizadas em arquivos distintos do mesmo projeto.</w:t>
      </w:r>
    </w:p>
    <w:bookmarkEnd w:id="67"/>
    <w:bookmarkStart w:id="68" w:name="X24677c75753a2e376387d5c4b3a3f044b9fbb79"/>
    <w:p>
      <w:pPr>
        <w:pStyle w:val="Heading2"/>
      </w:pPr>
      <w:bookmarkStart w:id="10041" w:name="docsec_041"/>
      <w:r>
        <w:t xml:space="preserve">6.3 Integridade dos assets e distribuição estática</w:t>
      </w:r>
      <w:bookmarkEnd w:id="10041"/>
    </w:p>
    <w:p>
      <w:pPr>
        <w:pStyle w:val="FirstParagraph"/>
      </w:pPr>
      <w:r>
        <w:t xml:space="preserve">A etapa</w:t>
      </w:r>
      <w:r>
        <w:t xml:space="preserve"> </w:t>
      </w:r>
      <w:r>
        <w:rPr>
          <w:rStyle w:val="VerbatimChar"/>
        </w:rPr>
        <w:t xml:space="preserve">scripts/inject-sri.ts</w:t>
      </w:r>
      <w:r>
        <w:t xml:space="preserve"> </w:t>
      </w:r>
      <w:r>
        <w:t xml:space="preserve">completa o HTML compilado com integridade de sub-recursos, SRI. O cálculo utiliza os bytes dos arquivos referenciados pelas tags script e link do documento de entrada. SHA-384 é convertido para Base64 e identificado pelo prefixo</w:t>
      </w:r>
      <w:r>
        <w:t xml:space="preserve"> </w:t>
      </w:r>
      <w:r>
        <w:rPr>
          <w:rStyle w:val="VerbatimChar"/>
        </w:rPr>
        <w:t xml:space="preserve">sha384-</w:t>
      </w:r>
      <w:r>
        <w:t xml:space="preserve"> </w:t>
      </w:r>
      <w:r>
        <w:t xml:space="preserve">no atributo integrity. O navegador recebe o HTML com o caminho do asset e seu valor de integridade.</w:t>
      </w:r>
    </w:p>
    <w:p>
      <w:pPr>
        <w:pStyle w:val="BodyText"/>
      </w:pPr>
      <w:r>
        <w:t xml:space="preserve">A aplicação utiliza imagens WebP em banners e cartões e marcas institucionais em PNG/SVG. Os cinco logos das signatárias são recursos de</w:t>
      </w:r>
      <w:r>
        <w:t xml:space="preserve"> </w:t>
      </w:r>
      <w:r>
        <w:rPr>
          <w:rStyle w:val="VerbatimChar"/>
        </w:rPr>
        <w:t xml:space="preserve">/imgs/partners</w:t>
      </w:r>
      <w:r>
        <w:t xml:space="preserve">. Os caminhos de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tornam-se caminhos públicos no build. Os arquivos gerados em</w:t>
      </w:r>
      <w:r>
        <w:t xml:space="preserve"> </w:t>
      </w:r>
      <w:r>
        <w:rPr>
          <w:rStyle w:val="VerbatimChar"/>
        </w:rPr>
        <w:t xml:space="preserve">dist/assets</w:t>
      </w:r>
      <w:r>
        <w:t xml:space="preserve"> </w:t>
      </w:r>
      <w:r>
        <w:t xml:space="preserve">recebem os nomes definidos pela compilação Vite; index.html referencia esses resultados.</w:t>
      </w:r>
    </w:p>
    <w:p>
      <w:pPr>
        <w:pStyle w:val="BodyText"/>
      </w:pPr>
      <w:r>
        <w:t xml:space="preserve">O documento de entrada contém idioma pt-BR, viewport responsivo, descrição, identificação Open Graph, URL canônica, favicon e links para ARD e AI Catalog. Duas imagens têm preload condicionado por media query: uma para a composição desktop e outra para a composição mobile. Há também preconnect e dns-prefetch para o host VLibras.</w:t>
      </w:r>
    </w:p>
    <w:bookmarkEnd w:id="68"/>
    <w:bookmarkStart w:id="69" w:name="manifestos-e-endereços-públicos"/>
    <w:p>
      <w:pPr>
        <w:pStyle w:val="Heading2"/>
      </w:pPr>
      <w:bookmarkStart w:id="10042" w:name="docsec_042"/>
      <w:r>
        <w:t xml:space="preserve">6.4 Manifestos e endereços públicos</w:t>
      </w:r>
      <w:bookmarkEnd w:id="10042"/>
    </w:p>
    <w:p>
      <w:pPr>
        <w:pStyle w:val="FirstParagraph"/>
      </w:pPr>
      <w:r>
        <w:t xml:space="preserve">Os recursos textuais de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descrevem a navegação pública para ferramentas e consumidores externos. O sitemap relaciona as cinco páginas principais. robots.txt declara os caminhos do sitemap e a seleção de caminhos. llms.txt oferece identificação e links em formato textual; os catálogos JSON e o manifesto ARD apresentam os campos e capacidades declarados pelo projeto.</w:t>
      </w:r>
    </w:p>
    <w:p>
      <w:pPr>
        <w:pStyle w:val="BodyText"/>
      </w:pPr>
      <w:r>
        <w:t xml:space="preserve">A rota Express</w:t>
      </w:r>
      <w:r>
        <w:t xml:space="preserve"> </w:t>
      </w:r>
      <w:r>
        <w:rPr>
          <w:rStyle w:val="VerbatimChar"/>
        </w:rPr>
        <w:t xml:space="preserve">/.well-known/:file</w:t>
      </w:r>
      <w:r>
        <w:t xml:space="preserve"> </w:t>
      </w:r>
      <w:r>
        <w:t xml:space="preserve">atende os manifestos disponíveis na pasta correspondente. No Firebase Hosting, esses caminhos possuem rewrites próprios. A regra final de navegação devolve o documento da SPA, permitindo que React Router decida o conteúdo de uma rota pública aberta diretamente.</w:t>
      </w:r>
    </w:p>
    <w:p>
      <w:pPr>
        <w:pStyle w:val="BodyText"/>
      </w:pPr>
      <w:r>
        <w:t xml:space="preserve">As referências dos resultados externos identificam o domínio avaliado. A relação entre cada ferramenta e seu resultado está no quadro inicial; os nomes dos cabeçalhos observados no relatório externo são apresentados como dados daquele relatório, enquanto este capítulo descreve os valores declarados pelo código de referência.</w:t>
      </w:r>
    </w:p>
    <w:bookmarkEnd w:id="69"/>
    <w:bookmarkEnd w:id="70"/>
    <w:bookmarkStart w:id="83" w:name="operação-configuração-e-testes"/>
    <w:p>
      <w:pPr>
        <w:pStyle w:val="Heading1"/>
      </w:pPr>
      <w:bookmarkStart w:id="10043" w:name="docsec_043"/>
      <w:r>
        <w:t xml:space="preserve">7. Operação, configuração e testes</w:t>
      </w:r>
      <w:bookmarkEnd w:id="10043"/>
    </w:p>
    <w:p>
      <w:pPr>
        <w:pStyle w:val="FirstParagraph"/>
      </w:pPr>
      <w:r>
        <w:t xml:space="preserve">Este capítulo descreve os comandos e arquivos operacionais do portal Componente Curricular de ASG e ODS, conforme o código da revisão</w:t>
      </w:r>
      <w:r>
        <w:t xml:space="preserve"> </w:t>
      </w:r>
      <w:r>
        <w:rPr>
          <w:rStyle w:val="VerbatimChar"/>
        </w:rPr>
        <w:t xml:space="preserve">9a126c65ba902e19b31bc695be0ccc172df7167f</w:t>
      </w:r>
      <w:r>
        <w:t xml:space="preserve">. A aplicação reúne frontend React, servidor Express, persistência com Firebase Admin e utilitários TypeScript. Os comandos são executados na raiz do checkout, onde ficam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server.ts</w:t>
      </w:r>
      <w:r>
        <w:t xml:space="preserve"> </w:t>
      </w:r>
      <w:r>
        <w:t xml:space="preserve">e as configurações de compilação. O mesmo servidor Express atende a API e seleciona a forma de entrega da interface conforme o ambiente de execução.</w:t>
      </w:r>
    </w:p>
    <w:bookmarkStart w:id="71" w:name="runtime-e-instalação"/>
    <w:p>
      <w:pPr>
        <w:pStyle w:val="Heading2"/>
      </w:pPr>
      <w:bookmarkStart w:id="10044" w:name="docsec_044"/>
      <w:r>
        <w:t xml:space="preserve">7.1 Runtime e instalação</w:t>
      </w:r>
      <w:bookmarkEnd w:id="10044"/>
    </w:p>
    <w:p>
      <w:pPr>
        <w:pStyle w:val="FirstParagraph"/>
      </w:pPr>
      <w:r>
        <w:t xml:space="preserve">O manifesto declara Node.js</w:t>
      </w:r>
      <w:r>
        <w:t xml:space="preserve"> </w:t>
      </w:r>
      <w:r>
        <w:rPr>
          <w:b/>
          <w:bCs/>
        </w:rPr>
        <w:t xml:space="preserve">22.18.0 ou superior</w:t>
      </w:r>
      <w:r>
        <w:t xml:space="preserve">, utiliza módulos ECMAScript por meio de</w:t>
      </w:r>
      <w:r>
        <w:t xml:space="preserve"> </w:t>
      </w:r>
      <w:r>
        <w:rPr>
          <w:rStyle w:val="VerbatimChar"/>
        </w:rPr>
        <w:t xml:space="preserve">"type": "module"</w:t>
      </w:r>
      <w:r>
        <w:t xml:space="preserve"> </w:t>
      </w:r>
      <w:r>
        <w:t xml:space="preserve">e identifica o pacote como privado. A execução de produção chama diretamente</w:t>
      </w:r>
      <w:r>
        <w:t xml:space="preserve"> </w:t>
      </w:r>
      <w:r>
        <w:rPr>
          <w:rStyle w:val="VerbatimChar"/>
        </w:rPr>
        <w:t xml:space="preserve">node server.ts</w:t>
      </w:r>
      <w:r>
        <w:t xml:space="preserve">; a execução de desenvolvimento utiliza</w:t>
      </w:r>
      <w:r>
        <w:t xml:space="preserve"> </w:t>
      </w:r>
      <w:r>
        <w:rPr>
          <w:rStyle w:val="VerbatimChar"/>
        </w:rPr>
        <w:t xml:space="preserve">tsx</w:t>
      </w:r>
      <w:r>
        <w:t xml:space="preserve">. O TypeScript opera com alvo ES2022, módulos ESNext e resolução</w:t>
      </w:r>
      <w:r>
        <w:t xml:space="preserve"> </w:t>
      </w:r>
      <w:r>
        <w:rPr>
          <w:rStyle w:val="VerbatimChar"/>
        </w:rPr>
        <w:t xml:space="preserve">bundler</w:t>
      </w:r>
      <w:r>
        <w:t xml:space="preserve">. As opções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,</w:t>
      </w:r>
      <w:r>
        <w:t xml:space="preserve"> </w:t>
      </w:r>
      <w:r>
        <w:rPr>
          <w:rStyle w:val="VerbatimChar"/>
        </w:rPr>
        <w:t xml:space="preserve">noUnusedLocals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noUnusedParameters</w:t>
      </w:r>
      <w:r>
        <w:t xml:space="preserve"> </w:t>
      </w:r>
      <w:r>
        <w:t xml:space="preserve">estão habilitadas, e a verificação usa</w:t>
      </w:r>
      <w:r>
        <w:t xml:space="preserve"> </w:t>
      </w:r>
      <w:r>
        <w:rPr>
          <w:rStyle w:val="VerbatimChar"/>
        </w:rPr>
        <w:t xml:space="preserve">noEmit</w:t>
      </w:r>
      <w:r>
        <w:t xml:space="preserve">.</w:t>
      </w:r>
    </w:p>
    <w:p>
      <w:pPr>
        <w:pStyle w:val="BodyText"/>
      </w:pPr>
      <w:r>
        <w:t xml:space="preserve">O npm é o gerenciador associado aos scripts e ao lockfile de versão 3.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declara intervalos de versões;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 </w:t>
      </w:r>
      <w:r>
        <w:t xml:space="preserve">registra a árvore resolvida e os metadados dos pacotes. Entre as dependências de aplicação estão Express, Firebase Admin, React, React DOM, React Router, Zod, Motion e Lucide React. As ferramentas de desenvolvimento incluem Vite, TypeScript, tsx, Vitest, Supertest, Tailwind CSS e plugins de integração com React e Vite.</w:t>
      </w:r>
    </w:p>
    <w:p>
      <w:pPr>
        <w:pStyle w:val="BodyText"/>
      </w:pPr>
      <w:r>
        <w:t xml:space="preserve">A instalação do checkout segue o comando: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</w:p>
    <w:p>
      <w:pPr>
        <w:pStyle w:val="FirstParagraph"/>
      </w:pPr>
      <w:r>
        <w:t xml:space="preserve">Esse comando utiliza o manifesto e o lockfile para instalar a árvore de dependências em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. Os executáveis locais passam a ser resolvidos automaticamente pelos scripts npm. A pasta de dependências, os diretórios</w:t>
      </w:r>
      <w:r>
        <w:t xml:space="preserve"> </w:t>
      </w:r>
      <w:r>
        <w:rPr>
          <w:rStyle w:val="VerbatimChar"/>
        </w:rPr>
        <w:t xml:space="preserve">dist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coverage</w:t>
      </w:r>
      <w:r>
        <w:t xml:space="preserve"> </w:t>
      </w:r>
      <w:r>
        <w:t xml:space="preserve">e os arquivos de log estão entre as entradas de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bookmarkEnd w:id="71"/>
    <w:bookmarkStart w:id="72" w:name="comandos-disponíveis"/>
    <w:p>
      <w:pPr>
        <w:pStyle w:val="Heading2"/>
      </w:pPr>
      <w:bookmarkStart w:id="10045" w:name="docsec_045"/>
      <w:r>
        <w:t xml:space="preserve">7.2 Comandos disponíveis</w:t>
      </w:r>
      <w:bookmarkEnd w:id="10045"/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DCE3ED"/>
          <w:left w:val="single" w:sz="4" w:color="DCE3ED"/>
          <w:bottom w:val="single" w:sz="4" w:color="DCE3ED"/>
          <w:right w:val="single" w:sz="4" w:color="DCE3ED"/>
          <w:insideH w:val="single" w:sz="4" w:color="DCE3ED"/>
          <w:insideV w:val="single" w:sz="4" w:color="DCE3ED"/>
        </w:tblBorders>
      </w:tblPr>
      <w:tblGrid>
        <w:gridCol w:w="2095"/>
        <w:gridCol w:w="2857"/>
        <w:gridCol w:w="4572"/>
      </w:tblGrid>
      <w:tr>
        <w:trPr>
          <w:tblHeader w:val="on"/>
          <w:cantSplit/>
        </w:trPr>
        <w:tc>
          <w:tcPr>
            <w:tcW w:type="dxa" w:w="2095"/>
            <w:shd w:fill="233B82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Comando</w:t>
            </w:r>
          </w:p>
        </w:tc>
        <w:tc>
          <w:tcPr>
            <w:tcW w:type="dxa" w:w="2857"/>
            <w:shd w:fill="233B82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Implementação declarada</w:t>
            </w:r>
          </w:p>
        </w:tc>
        <w:tc>
          <w:tcPr>
            <w:tcW w:type="dxa" w:w="4572"/>
            <w:shd w:fill="233B82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Operação</w:t>
            </w:r>
          </w:p>
        </w:tc>
      </w:tr>
      <w:tr>
        <w:trPr>
          <w:cantSplit/>
        </w:trPr>
        <w:tc>
          <w:tcPr>
            <w:tcW w:type="dxa" w:w="2095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npm run dev</w:t>
            </w:r>
          </w:p>
        </w:tc>
        <w:tc>
          <w:tcPr>
            <w:tcW w:type="dxa" w:w="2857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tsx server.ts</w:t>
            </w:r>
          </w:p>
        </w:tc>
        <w:tc>
          <w:tcPr>
            <w:tcW w:type="dxa" w:w="4572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Inicia Express com integração Vite no desenvolvimento.</w:t>
            </w:r>
          </w:p>
        </w:tc>
      </w:tr>
      <w:tr>
        <w:trPr>
          <w:cantSplit/>
        </w:trPr>
        <w:tc>
          <w:tcPr>
            <w:tcW w:type="dxa" w:w="2095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npm run build</w:t>
            </w:r>
          </w:p>
        </w:tc>
        <w:tc>
          <w:tcPr>
            <w:tcW w:type="dxa" w:w="2857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vite build &amp;&amp; tsx scripts/inject-sri.ts</w:t>
            </w:r>
          </w:p>
        </w:tc>
        <w:tc>
          <w:tcPr>
            <w:tcW w:type="dxa" w:w="4572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Compila o frontend e acrescenta integridade aos assets referenciados no HTML.</w:t>
            </w:r>
          </w:p>
        </w:tc>
      </w:tr>
      <w:tr>
        <w:trPr>
          <w:cantSplit/>
        </w:trPr>
        <w:tc>
          <w:tcPr>
            <w:tcW w:type="dxa" w:w="2095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npm run preview</w:t>
            </w:r>
          </w:p>
        </w:tc>
        <w:tc>
          <w:tcPr>
            <w:tcW w:type="dxa" w:w="2857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vite preview</w:t>
            </w:r>
          </w:p>
        </w:tc>
        <w:tc>
          <w:tcPr>
            <w:tcW w:type="dxa" w:w="4572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Disponibiliza a prévia do frontend compilado pelo Vite.</w:t>
            </w:r>
          </w:p>
        </w:tc>
      </w:tr>
      <w:tr>
        <w:trPr>
          <w:cantSplit/>
        </w:trPr>
        <w:tc>
          <w:tcPr>
            <w:tcW w:type="dxa" w:w="2095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npm start</w:t>
            </w:r>
          </w:p>
        </w:tc>
        <w:tc>
          <w:tcPr>
            <w:tcW w:type="dxa" w:w="2857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node server.ts</w:t>
            </w:r>
          </w:p>
        </w:tc>
        <w:tc>
          <w:tcPr>
            <w:tcW w:type="dxa" w:w="4572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Executa o servidor usando o runtime Node.</w:t>
            </w:r>
          </w:p>
        </w:tc>
      </w:tr>
      <w:tr>
        <w:trPr>
          <w:cantSplit/>
        </w:trPr>
        <w:tc>
          <w:tcPr>
            <w:tcW w:type="dxa" w:w="2095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npm test</w:t>
            </w:r>
          </w:p>
        </w:tc>
        <w:tc>
          <w:tcPr>
            <w:tcW w:type="dxa" w:w="2857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vitest run</w:t>
            </w:r>
          </w:p>
        </w:tc>
        <w:tc>
          <w:tcPr>
            <w:tcW w:type="dxa" w:w="4572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Executa os arquivos de testes em uma rodada.</w:t>
            </w:r>
          </w:p>
        </w:tc>
      </w:tr>
      <w:tr>
        <w:trPr>
          <w:cantSplit/>
        </w:trPr>
        <w:tc>
          <w:tcPr>
            <w:tcW w:type="dxa" w:w="2095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npm run typecheck</w:t>
            </w:r>
          </w:p>
        </w:tc>
        <w:tc>
          <w:tcPr>
            <w:tcW w:type="dxa" w:w="2857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tsc --noEmit</w:t>
            </w:r>
          </w:p>
        </w:tc>
        <w:tc>
          <w:tcPr>
            <w:tcW w:type="dxa" w:w="4572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Verifica os tipos sem emitir JavaScript.</w:t>
            </w:r>
          </w:p>
        </w:tc>
      </w:tr>
      <w:tr>
        <w:trPr>
          <w:cantSplit/>
        </w:trPr>
        <w:tc>
          <w:tcPr>
            <w:tcW w:type="dxa" w:w="2095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npm run lint</w:t>
            </w:r>
          </w:p>
        </w:tc>
        <w:tc>
          <w:tcPr>
            <w:tcW w:type="dxa" w:w="2857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tsc --noEmit &amp;&amp; tsx scripts/check-metrics.ts</w:t>
            </w:r>
          </w:p>
        </w:tc>
        <w:tc>
          <w:tcPr>
            <w:tcW w:type="dxa" w:w="4572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Encadeia tipos e processamento das métricas.</w:t>
            </w:r>
          </w:p>
        </w:tc>
      </w:tr>
      <w:tr>
        <w:trPr>
          <w:cantSplit/>
        </w:trPr>
        <w:tc>
          <w:tcPr>
            <w:tcW w:type="dxa" w:w="2095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npm run check:metrics</w:t>
            </w:r>
          </w:p>
        </w:tc>
        <w:tc>
          <w:tcPr>
            <w:tcW w:type="dxa" w:w="2857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tsx scripts/check-metrics.ts</w:t>
            </w:r>
          </w:p>
        </w:tc>
        <w:tc>
          <w:tcPr>
            <w:tcW w:type="dxa" w:w="4572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Calcula métricas e grava o relatório Markdown.</w:t>
            </w:r>
          </w:p>
        </w:tc>
      </w:tr>
      <w:tr>
        <w:trPr>
          <w:cantSplit/>
        </w:trPr>
        <w:tc>
          <w:tcPr>
            <w:tcW w:type="dxa" w:w="2095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npm run codigofonte</w:t>
            </w:r>
          </w:p>
        </w:tc>
        <w:tc>
          <w:tcPr>
            <w:tcW w:type="dxa" w:w="2857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tsx scripts/generate-codigofonte.ts</w:t>
            </w:r>
          </w:p>
        </w:tc>
        <w:tc>
          <w:tcPr>
            <w:tcW w:type="dxa" w:w="4572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Gera o agregado textual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CODIGOFONTE.txt</w:t>
            </w:r>
            <w:r>
              <w:rPr>
                <w:sz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095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npm run clean</w:t>
            </w:r>
          </w:p>
        </w:tc>
        <w:tc>
          <w:tcPr>
            <w:tcW w:type="dxa" w:w="2857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rm -rf dist</w:t>
            </w:r>
          </w:p>
        </w:tc>
        <w:tc>
          <w:tcPr>
            <w:tcW w:type="dxa" w:w="4572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Remove o diretório de saída do build.</w:t>
            </w:r>
          </w:p>
        </w:tc>
      </w:tr>
    </w:tbl>
    <w:bookmarkEnd w:id="72"/>
    <w:bookmarkStart w:id="73" w:name="desenvolvimento-build-e-produção"/>
    <w:p>
      <w:pPr>
        <w:pStyle w:val="Heading2"/>
      </w:pPr>
      <w:bookmarkStart w:id="10046" w:name="docsec_046"/>
      <w:r>
        <w:t xml:space="preserve">7.3 Desenvolvimento, build e produção</w:t>
      </w:r>
      <w:bookmarkEnd w:id="10046"/>
    </w:p>
    <w:p>
      <w:pPr>
        <w:pStyle w:val="FirstParagraph"/>
      </w:pPr>
      <w:r>
        <w:t xml:space="preserve">No desenvolvimento,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executa</w:t>
      </w:r>
      <w:r>
        <w:t xml:space="preserve"> </w:t>
      </w:r>
      <w:r>
        <w:rPr>
          <w:rStyle w:val="VerbatimChar"/>
        </w:rPr>
        <w:t xml:space="preserve">server.ts</w:t>
      </w:r>
      <w:r>
        <w:t xml:space="preserve">. Ao iniciar o servidor em ambiente diferente de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e de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 é criada uma instância Vite em</w:t>
      </w:r>
      <w:r>
        <w:t xml:space="preserve"> </w:t>
      </w:r>
      <w:r>
        <w:rPr>
          <w:rStyle w:val="VerbatimChar"/>
        </w:rPr>
        <w:t xml:space="preserve">middlewareMode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appType: 'spa'</w:t>
      </w:r>
      <w:r>
        <w:t xml:space="preserve">, e incorpora seus middlewares ao Express. A aplicação continua usando suas rotas de API no mesmo processo.</w:t>
      </w:r>
    </w:p>
    <w:p>
      <w:pPr>
        <w:pStyle w:val="BodyText"/>
      </w:pPr>
      <w:r>
        <w:rPr>
          <w:rStyle w:val="VerbatimChar"/>
        </w:rPr>
        <w:t xml:space="preserve">vite.config.ts</w:t>
      </w:r>
      <w:r>
        <w:t xml:space="preserve"> </w:t>
      </w:r>
      <w:r>
        <w:t xml:space="preserve">registra os plugins React e Tailwind CSS. O alias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aponta para a raiz do projeto, correspondendo ao mapeamento</w:t>
      </w:r>
      <w:r>
        <w:t xml:space="preserve"> </w:t>
      </w:r>
      <w:r>
        <w:rPr>
          <w:rStyle w:val="VerbatimChar"/>
        </w:rPr>
        <w:t xml:space="preserve">@/*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tsconfig.json</w:t>
      </w:r>
      <w:r>
        <w:t xml:space="preserve">. A configuração de desenvolvimento usa porta 3000, interface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e hosts permitidos com sufixos</w:t>
      </w:r>
      <w:r>
        <w:t xml:space="preserve"> </w:t>
      </w:r>
      <w:r>
        <w:rPr>
          <w:rStyle w:val="VerbatimChar"/>
        </w:rPr>
        <w:t xml:space="preserve">.ai.studio</w:t>
      </w:r>
      <w:r>
        <w:t xml:space="preserve">,</w:t>
      </w:r>
      <w:r>
        <w:t xml:space="preserve"> </w:t>
      </w:r>
      <w:r>
        <w:rPr>
          <w:rStyle w:val="VerbatimChar"/>
        </w:rPr>
        <w:t xml:space="preserve">.run.app</w:t>
      </w:r>
      <w:r>
        <w:t xml:space="preserve">, além de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. O servidor Express fornece essa mesma lista ao criar a instância Vite. A opção HMR é calculada pela expressão</w:t>
      </w:r>
      <w:r>
        <w:t xml:space="preserve"> </w:t>
      </w:r>
      <w:r>
        <w:rPr>
          <w:rStyle w:val="VerbatimChar"/>
        </w:rPr>
        <w:t xml:space="preserve">process.env.DISABLE_HMR !== 'true'</w:t>
      </w:r>
      <w:r>
        <w:t xml:space="preserve">.</w:t>
      </w:r>
    </w:p>
    <w:p>
      <w:pPr>
        <w:pStyle w:val="BodyText"/>
      </w:pPr>
      <w:r>
        <w:t xml:space="preserve">O build gera</w:t>
      </w:r>
      <w:r>
        <w:t xml:space="preserve"> </w:t>
      </w:r>
      <w:r>
        <w:rPr>
          <w:rStyle w:val="VerbatimChar"/>
        </w:rPr>
        <w:t xml:space="preserve">dist/index.html</w:t>
      </w:r>
      <w:r>
        <w:t xml:space="preserve"> </w:t>
      </w:r>
      <w:r>
        <w:t xml:space="preserve">e os assets compilados. Na segunda etapa,</w:t>
      </w:r>
      <w:r>
        <w:t xml:space="preserve"> </w:t>
      </w:r>
      <w:r>
        <w:rPr>
          <w:rStyle w:val="VerbatimChar"/>
        </w:rPr>
        <w:t xml:space="preserve">inject-sri.ts</w:t>
      </w:r>
      <w:r>
        <w:t xml:space="preserve"> </w:t>
      </w:r>
      <w:r>
        <w:t xml:space="preserve">procura tags de script e link com caminhos em</w:t>
      </w:r>
      <w:r>
        <w:t xml:space="preserve"> </w:t>
      </w:r>
      <w:r>
        <w:rPr>
          <w:rStyle w:val="VerbatimChar"/>
        </w:rPr>
        <w:t xml:space="preserve">/assets/</w:t>
      </w:r>
      <w:r>
        <w:t xml:space="preserve">, lê os arquivos correspondentes e calcula SHA-384 em Base64. O atributo</w:t>
      </w:r>
      <w:r>
        <w:t xml:space="preserve"> </w:t>
      </w:r>
      <w:r>
        <w:rPr>
          <w:rStyle w:val="VerbatimChar"/>
        </w:rPr>
        <w:t xml:space="preserve">integrity</w:t>
      </w:r>
      <w:r>
        <w:t xml:space="preserve"> </w:t>
      </w:r>
      <w:r>
        <w:t xml:space="preserve">é inserido ou atualizado no HTML. A etapa sinaliza erro quando o HTML ou um asset referenciado não é encontrado. A execução automática do utilitário é condicionada a</w:t>
      </w:r>
      <w:r>
        <w:t xml:space="preserve"> </w:t>
      </w:r>
      <w:r>
        <w:rPr>
          <w:rStyle w:val="VerbatimChar"/>
        </w:rPr>
        <w:t xml:space="preserve">NODE_ENV</w:t>
      </w:r>
      <w:r>
        <w:t xml:space="preserve"> </w:t>
      </w:r>
      <w:r>
        <w:t xml:space="preserve">diferente de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.</w:t>
      </w:r>
    </w:p>
    <w:p>
      <w:pPr>
        <w:pStyle w:val="BodyText"/>
      </w:pPr>
      <w:r>
        <w:t xml:space="preserve">O fluxo de produção é: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VariableTok"/>
        </w:rPr>
        <w:t xml:space="preserve">NODE_ENV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p>
      <w:pPr>
        <w:pStyle w:val="FirstParagraph"/>
      </w:pPr>
      <w:r>
        <w:t xml:space="preserve">Express disponibiliza os arquivos de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e entrega</w:t>
      </w:r>
      <w:r>
        <w:t xml:space="preserve"> </w:t>
      </w:r>
      <w:r>
        <w:rPr>
          <w:rStyle w:val="VerbatimChar"/>
        </w:rPr>
        <w:t xml:space="preserve">dist/index.html</w:t>
      </w:r>
      <w:r>
        <w:t xml:space="preserve"> </w:t>
      </w:r>
      <w:r>
        <w:t xml:space="preserve">como resposta das rotas de navegação da SPA. Recursos não encontrados sob</w:t>
      </w:r>
      <w:r>
        <w:t xml:space="preserve"> </w:t>
      </w:r>
      <w:r>
        <w:rPr>
          <w:rStyle w:val="VerbatimChar"/>
        </w:rPr>
        <w:t xml:space="preserve">/api/</w:t>
      </w:r>
      <w:r>
        <w:t xml:space="preserve">,</w:t>
      </w:r>
      <w:r>
        <w:t xml:space="preserve"> </w:t>
      </w:r>
      <w:r>
        <w:rPr>
          <w:rStyle w:val="VerbatimChar"/>
        </w:rPr>
        <w:t xml:space="preserve">/.well-known/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/assets/</w:t>
      </w:r>
      <w:r>
        <w:t xml:space="preserve"> </w:t>
      </w:r>
      <w:r>
        <w:t xml:space="preserve">recebem resposta JSON 404. O serviço escuta em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; a porta é obtida por</w:t>
      </w:r>
      <w:r>
        <w:t xml:space="preserve"> </w:t>
      </w:r>
      <w:r>
        <w:rPr>
          <w:rStyle w:val="VerbatimChar"/>
        </w:rPr>
        <w:t xml:space="preserve">Number(process.env.PORT) || 3000</w:t>
      </w:r>
      <w:r>
        <w:t xml:space="preserve">. Assim, a infraestrutura pode fornecer</w:t>
      </w:r>
      <w:r>
        <w:t xml:space="preserve"> </w:t>
      </w:r>
      <w:r>
        <w:rPr>
          <w:rStyle w:val="VerbatimChar"/>
        </w:rPr>
        <w:t xml:space="preserve">PORT</w:t>
      </w:r>
      <w:r>
        <w:t xml:space="preserve">, enquanto 3000 é o valor padrão. Com</w:t>
      </w:r>
      <w:r>
        <w:t xml:space="preserve"> </w:t>
      </w:r>
      <w:r>
        <w:rPr>
          <w:rStyle w:val="VerbatimChar"/>
        </w:rPr>
        <w:t xml:space="preserve">NODE_ENV=test</w:t>
      </w:r>
      <w:r>
        <w:t xml:space="preserve">, o módulo exporta a aplicação para os testes sem chamar a rotina de inicialização do listener.</w:t>
      </w:r>
    </w:p>
    <w:bookmarkEnd w:id="73"/>
    <w:bookmarkStart w:id="77" w:name="firebase-hosting-e-cloud-run"/>
    <w:p>
      <w:pPr>
        <w:pStyle w:val="Heading2"/>
      </w:pPr>
      <w:bookmarkStart w:id="10047" w:name="docsec_047"/>
      <w:r>
        <w:t xml:space="preserve">7.4 Firebase Hosting e Cloud Run</w:t>
      </w:r>
      <w:bookmarkEnd w:id="10047"/>
    </w:p>
    <w:p>
      <w:pPr>
        <w:pStyle w:val="FirstParagraph"/>
      </w:pPr>
      <w:r>
        <w:rPr>
          <w:rStyle w:val="VerbatimChar"/>
        </w:rPr>
        <w:t xml:space="preserve">firebase.json</w:t>
      </w:r>
      <w:r>
        <w:t xml:space="preserve"> </w:t>
      </w:r>
      <w:r>
        <w:t xml:space="preserve">define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como diretório público do Firebase Hosting. As regras de exclusão listam a própria configuração e caminhos de Git, AI Studio e dependências. A seção de cabeçalhos aplica CSP, HSTS, política de referência, controles de origem e permissões às respostas abrangidas por</w:t>
      </w:r>
      <w:r>
        <w:t xml:space="preserve"> </w:t>
      </w:r>
      <w:r>
        <w:rPr>
          <w:rStyle w:val="VerbatimChar"/>
        </w:rPr>
        <w:t xml:space="preserve">**</w:t>
      </w:r>
      <w:r>
        <w:t xml:space="preserve">.</w:t>
      </w:r>
    </w:p>
    <w:p>
      <w:pPr>
        <w:pStyle w:val="BodyText"/>
      </w:pPr>
      <w:r>
        <w:t xml:space="preserve">O rewrite de</w:t>
      </w:r>
      <w:r>
        <w:t xml:space="preserve"> </w:t>
      </w:r>
      <w:r>
        <w:rPr>
          <w:rStyle w:val="VerbatimChar"/>
        </w:rPr>
        <w:t xml:space="preserve">/api/**</w:t>
      </w:r>
      <w:r>
        <w:t xml:space="preserve"> </w:t>
      </w:r>
      <w:r>
        <w:t xml:space="preserve">encaminha solicitações ao serviço Cloud Run</w:t>
      </w:r>
      <w:r>
        <w:t xml:space="preserve"> </w:t>
      </w:r>
      <w:r>
        <w:rPr>
          <w:rStyle w:val="VerbatimChar"/>
          <w:b/>
          <w:bCs/>
        </w:rPr>
        <w:t xml:space="preserve">asg-ods</w:t>
      </w:r>
      <w:r>
        <w:t xml:space="preserve">, na região</w:t>
      </w:r>
      <w:r>
        <w:t xml:space="preserve"> </w:t>
      </w:r>
      <w:r>
        <w:rPr>
          <w:rStyle w:val="VerbatimChar"/>
          <w:b/>
          <w:bCs/>
        </w:rPr>
        <w:t xml:space="preserve">southamerica-east1</w:t>
      </w:r>
      <w:r>
        <w:t xml:space="preserve">. Os manifestos</w:t>
      </w:r>
      <w:r>
        <w:t xml:space="preserve"> </w:t>
      </w:r>
      <w:r>
        <w:rPr>
          <w:rStyle w:val="VerbatimChar"/>
        </w:rPr>
        <w:t xml:space="preserve">/.well-known/ard.json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/.well-known/ai-catalog.json</w:t>
      </w:r>
      <w:r>
        <w:t xml:space="preserve">, assim como robots, sitemap,</w:t>
      </w:r>
      <w:r>
        <w:t xml:space="preserve"> </w:t>
      </w:r>
      <w:r>
        <w:rPr>
          <w:rStyle w:val="VerbatimChar"/>
        </w:rPr>
        <w:t xml:space="preserve">llms.txt</w:t>
      </w:r>
      <w:r>
        <w:t xml:space="preserve"> </w:t>
      </w:r>
      <w:r>
        <w:t xml:space="preserve">e o catálogo da raiz, possuem entradas próprias de rewrite. A regra final direciona as demais rotas para</w:t>
      </w:r>
      <w:r>
        <w:t xml:space="preserve"> </w:t>
      </w:r>
      <w:r>
        <w:rPr>
          <w:rStyle w:val="VerbatimChar"/>
        </w:rPr>
        <w:t xml:space="preserve">/index.html</w:t>
      </w:r>
      <w:r>
        <w:t xml:space="preserve">, permitindo a navegação React a partir de URLs completas.</w:t>
      </w:r>
    </w:p>
    <w:p>
      <w:pPr>
        <w:pStyle w:val="BodyText"/>
      </w:pPr>
      <w:r>
        <w:rPr>
          <w:rStyle w:val="VerbatimChar"/>
        </w:rPr>
        <w:t xml:space="preserve">.firebaserc</w:t>
      </w:r>
      <w:r>
        <w:t xml:space="preserve"> </w:t>
      </w:r>
      <w:r>
        <w:t xml:space="preserve">associa o alias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ao projeto</w:t>
      </w:r>
      <w:r>
        <w:t xml:space="preserve"> </w:t>
      </w:r>
      <w:r>
        <w:rPr>
          <w:rStyle w:val="VerbatimChar"/>
        </w:rPr>
        <w:t xml:space="preserve">asg-ods</w:t>
      </w:r>
      <w:r>
        <w:t xml:space="preserve">. A seção Firestore de</w:t>
      </w:r>
      <w:r>
        <w:t xml:space="preserve"> </w:t>
      </w:r>
      <w:r>
        <w:rPr>
          <w:rStyle w:val="VerbatimChar"/>
        </w:rPr>
        <w:t xml:space="preserve">firebase.json</w:t>
      </w:r>
      <w:r>
        <w:t xml:space="preserve"> </w:t>
      </w:r>
      <w:r>
        <w:t xml:space="preserve">aponta para</w:t>
      </w:r>
      <w:r>
        <w:t xml:space="preserve"> </w:t>
      </w:r>
      <w:r>
        <w:rPr>
          <w:rStyle w:val="VerbatimChar"/>
        </w:rPr>
        <w:t xml:space="preserve">firestore.rules</w:t>
      </w:r>
      <w:r>
        <w:t xml:space="preserve">.</w:t>
      </w:r>
      <w:r>
        <w:t xml:space="preserve"> </w:t>
      </w:r>
      <w:r>
        <w:rPr>
          <w:rStyle w:val="VerbatimChar"/>
        </w:rPr>
        <w:t xml:space="preserve">firebase-blueprint.json</w:t>
      </w:r>
      <w:r>
        <w:t xml:space="preserve"> </w:t>
      </w:r>
      <w:r>
        <w:t xml:space="preserve">descreve os documentos agregadores</w:t>
      </w:r>
      <w:r>
        <w:t xml:space="preserve"> </w:t>
      </w:r>
      <w:r>
        <w:rPr>
          <w:rStyle w:val="VerbatimChar"/>
        </w:rPr>
        <w:t xml:space="preserve">leads_adesao</w:t>
      </w:r>
      <w:r>
        <w:t xml:space="preserve">, incluindo número da parte, datas, total de registros, tamanho aproximado e lista de manifestações.</w:t>
      </w:r>
    </w:p>
    <w:p>
      <w:pPr>
        <w:pStyle w:val="CaptionedFigure"/>
        <w:keepNext w:val="0"/>
        <w:jc w:val="center"/>
      </w:pPr>
      <w:r>
        <w:drawing>
          <wp:inline>
            <wp:extent cx="6045200" cy="2380558"/>
            <wp:effectExtent b="0" l="0" r="0" t="0"/>
            <wp:docPr descr="Figura 4 — Build, distribuição estática e encaminhamento da API." title="" id="75" name="Picture"/>
            <a:graphic>
              <a:graphicData uri="http://schemas.openxmlformats.org/drawingml/2006/picture">
                <pic:pic>
                  <pic:nvPicPr>
                    <pic:cNvPr descr="diagrams/04_entrega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2380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 xml:space="preserve">Figura 4 — Build, distribuição estática e encaminhamento da API.</w:t>
      </w:r>
    </w:p>
    <w:bookmarkEnd w:id="77"/>
    <w:bookmarkStart w:id="78" w:name="variáveis-e-credenciais"/>
    <w:p>
      <w:pPr>
        <w:pStyle w:val="Heading2"/>
      </w:pPr>
      <w:bookmarkStart w:id="10048" w:name="docsec_048"/>
      <w:r>
        <w:t xml:space="preserve">7.5 Variáveis e credenciais</w:t>
      </w:r>
      <w:bookmarkEnd w:id="10048"/>
    </w:p>
    <w:p>
      <w:pPr>
        <w:pStyle w:val="FirstParagraph"/>
      </w:pPr>
      <w:r>
        <w:t xml:space="preserve">O backend lê suas configurações diretamente de</w:t>
      </w:r>
      <w:r>
        <w:t xml:space="preserve"> </w:t>
      </w:r>
      <w:r>
        <w:rPr>
          <w:rStyle w:val="VerbatimChar"/>
        </w:rPr>
        <w:t xml:space="preserve">process.env</w:t>
      </w:r>
      <w:r>
        <w:t xml:space="preserve"> </w:t>
      </w:r>
      <w:r>
        <w:t xml:space="preserve">e, para identificar o projeto e banco, também consulta</w:t>
      </w:r>
      <w:r>
        <w:t xml:space="preserve"> </w:t>
      </w:r>
      <w:r>
        <w:rPr>
          <w:rStyle w:val="VerbatimChar"/>
        </w:rPr>
        <w:t xml:space="preserve">firebase-applet-config.json</w:t>
      </w:r>
      <w:r>
        <w:t xml:space="preserve">. Esse arquivo local utiliza os campos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firestoreDatabaseId</w:t>
      </w:r>
      <w:r>
        <w:t xml:space="preserve">; quando sua leitura ou interpretação não produz configuração, o carregador retorna um objeto vazio.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DCE3ED"/>
          <w:left w:val="single" w:sz="4" w:color="DCE3ED"/>
          <w:bottom w:val="single" w:sz="4" w:color="DCE3ED"/>
          <w:right w:val="single" w:sz="4" w:color="DCE3ED"/>
          <w:insideH w:val="single" w:sz="4" w:color="DCE3ED"/>
          <w:insideV w:val="single" w:sz="4" w:color="DCE3ED"/>
        </w:tblBorders>
      </w:tblPr>
      <w:tblGrid>
        <w:gridCol w:w="3334"/>
        <w:gridCol w:w="6191"/>
      </w:tblGrid>
      <w:tr>
        <w:trPr>
          <w:tblHeader w:val="on"/>
          <w:cantSplit/>
        </w:trPr>
        <w:tc>
          <w:tcPr>
            <w:tcW w:type="dxa" w:w="3334"/>
            <w:shd w:fill="233B82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Variável</w:t>
            </w:r>
          </w:p>
        </w:tc>
        <w:tc>
          <w:tcPr>
            <w:tcW w:type="dxa" w:w="6191"/>
            <w:shd w:fill="233B82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Leitura e função na aplicação</w:t>
            </w:r>
          </w:p>
        </w:tc>
      </w:tr>
      <w:tr>
        <w:trPr>
          <w:cantSplit/>
        </w:trPr>
        <w:tc>
          <w:tcPr>
            <w:tcW w:type="dxa" w:w="3334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NODE_ENV</w:t>
            </w:r>
          </w:p>
        </w:tc>
        <w:tc>
          <w:tcPr>
            <w:tcW w:type="dxa" w:w="6191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Seleciona entrega de produção, inicialização em testes e variante dos cabeçalhos CSP. Também controla a execução automática do utilitário SRI.</w:t>
            </w:r>
          </w:p>
        </w:tc>
      </w:tr>
      <w:tr>
        <w:trPr>
          <w:cantSplit/>
        </w:trPr>
        <w:tc>
          <w:tcPr>
            <w:tcW w:type="dxa" w:w="3334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PORT</w:t>
            </w:r>
          </w:p>
        </w:tc>
        <w:tc>
          <w:tcPr>
            <w:tcW w:type="dxa" w:w="6191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Define a porta do listener Express, com padrão 3000.</w:t>
            </w:r>
          </w:p>
        </w:tc>
      </w:tr>
      <w:tr>
        <w:trPr>
          <w:cantSplit/>
        </w:trPr>
        <w:tc>
          <w:tcPr>
            <w:tcW w:type="dxa" w:w="3334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DISABLE_HMR</w:t>
            </w:r>
          </w:p>
        </w:tc>
        <w:tc>
          <w:tcPr>
            <w:tcW w:type="dxa" w:w="6191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Participa da configuração HMR do Vite; a string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true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resulta na opção desabilitada.</w:t>
            </w:r>
          </w:p>
        </w:tc>
      </w:tr>
      <w:tr>
        <w:trPr>
          <w:cantSplit/>
        </w:trPr>
        <w:tc>
          <w:tcPr>
            <w:tcW w:type="dxa" w:w="3334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FIREBASE_PROJECT_ID</w:t>
            </w:r>
          </w:p>
        </w:tc>
        <w:tc>
          <w:tcPr>
            <w:tcW w:type="dxa" w:w="6191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Tem precedência sobre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do arquivo local; o último padrão é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asg-ods</w:t>
            </w:r>
            <w:r>
              <w:rPr>
                <w:sz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334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FIRESTORE_DATABASE_ID</w:t>
            </w:r>
          </w:p>
        </w:tc>
        <w:tc>
          <w:tcPr>
            <w:tcW w:type="dxa" w:w="6191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Seleciona banco nomeado quando definido com valor diferente de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(default)</w:t>
            </w:r>
            <w:r>
              <w:rPr>
                <w:sz w:val="18"/>
              </w:rPr>
              <w:t xml:space="preserve">. Nos demais casos, participa da seleção junto ao arquivo local.</w:t>
            </w:r>
          </w:p>
        </w:tc>
      </w:tr>
      <w:tr>
        <w:trPr>
          <w:cantSplit/>
        </w:trPr>
        <w:tc>
          <w:tcPr>
            <w:tcW w:type="dxa" w:w="3334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HMAC_PEPPER_KEY</w:t>
            </w:r>
          </w:p>
        </w:tc>
        <w:tc>
          <w:tcPr>
            <w:tcW w:type="dxa" w:w="6191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Fornece a chave do HMAC-SHA256 usado para o índice derivado do e-mail normalizado. A função solicita sua presença ao calcular o índice.</w:t>
            </w:r>
          </w:p>
        </w:tc>
      </w:tr>
      <w:tr>
        <w:trPr>
          <w:cantSplit/>
        </w:trPr>
        <w:tc>
          <w:tcPr>
            <w:tcW w:type="dxa" w:w="3334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VAULT_ENCRYPTION_KEY</w:t>
            </w:r>
          </w:p>
        </w:tc>
        <w:tc>
          <w:tcPr>
            <w:tcW w:type="dxa" w:w="6191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Fornece o material do qual SHA-256 deriva a chave de 32 bytes usada pelo AES-256-GCM. A função solicita sua presença ao cifrar um campo preenchido.</w:t>
            </w:r>
          </w:p>
        </w:tc>
      </w:tr>
    </w:tbl>
    <w:p>
      <w:pPr>
        <w:pStyle w:val="BodyText"/>
      </w:pPr>
      <w:r>
        <w:t xml:space="preserve">Na seleção do banco, um identificador nomeado vindo da variável tem prioridade. Caso contrário, o código considera</w:t>
      </w:r>
      <w:r>
        <w:t xml:space="preserve"> </w:t>
      </w:r>
      <w:r>
        <w:rPr>
          <w:rStyle w:val="VerbatimChar"/>
        </w:rPr>
        <w:t xml:space="preserve">firestoreDatabaseId</w:t>
      </w:r>
      <w:r>
        <w:t xml:space="preserve"> </w:t>
      </w:r>
      <w:r>
        <w:t xml:space="preserve">do arquivo e o valor da variável. O Admin SDK recebe</w:t>
      </w:r>
      <w:r>
        <w:t xml:space="preserve"> </w:t>
      </w:r>
      <w:r>
        <w:rPr>
          <w:rStyle w:val="VerbatimChar"/>
        </w:rPr>
        <w:t xml:space="preserve">getFirestore(app, dbId)</w:t>
      </w:r>
      <w:r>
        <w:t xml:space="preserve"> </w:t>
      </w:r>
      <w:r>
        <w:t xml:space="preserve">para bancos nomeados e</w:t>
      </w:r>
      <w:r>
        <w:t xml:space="preserve"> </w:t>
      </w:r>
      <w:r>
        <w:rPr>
          <w:rStyle w:val="VerbatimChar"/>
        </w:rPr>
        <w:t xml:space="preserve">getFirestore(app)</w:t>
      </w:r>
      <w:r>
        <w:t xml:space="preserve"> </w:t>
      </w:r>
      <w:r>
        <w:t xml:space="preserve">para o banco padrão.</w:t>
      </w:r>
    </w:p>
    <w:p>
      <w:pPr>
        <w:pStyle w:val="BodyText"/>
      </w:pPr>
      <w:r>
        <w:t xml:space="preserve">O SDK é inicializado com o identificador do projeto e utiliza o mecanismo de Application Default Credentials, ou ADC, para a identidade do backend. Em um runtime gerenciado, essa identidade pode ser fornecida pela conta de serviço associada à execução. Em outro ambiente, a infraestrutura pode disponibilizar credenciais ADC por seu mecanismo seguro, inclusive por um arquivo associado a</w:t>
      </w:r>
      <w:r>
        <w:t xml:space="preserve"> </w:t>
      </w:r>
      <w:r>
        <w:rPr>
          <w:rStyle w:val="VerbatimChar"/>
        </w:rPr>
        <w:t xml:space="preserve">GOOGLE_APPLICATION_CREDENTIALS</w:t>
      </w:r>
      <w:r>
        <w:t xml:space="preserve">. As credenciais e as duas chaves de aplicação são provisionadas no ambiente do processo servidor por configuração e gestão de segredos.</w:t>
      </w:r>
    </w:p>
    <w:p>
      <w:pPr>
        <w:pStyle w:val="BodyText"/>
      </w:pPr>
      <w:r>
        <w:rPr>
          <w:rStyle w:val="VerbatimChar"/>
        </w:rPr>
        <w:t xml:space="preserve">.env.example</w:t>
      </w:r>
      <w:r>
        <w:t xml:space="preserve"> </w:t>
      </w:r>
      <w:r>
        <w:t xml:space="preserve">reúne os nomes de configuração e descrições. Além das variáveis Firebase e criptográficas usadas, contém</w:t>
      </w:r>
      <w:r>
        <w:t xml:space="preserve"> </w:t>
      </w:r>
      <w:r>
        <w:rPr>
          <w:rStyle w:val="VerbatimChar"/>
        </w:rPr>
        <w:t xml:space="preserve">GEMINI_API_KEY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FIREBASE_AUTH_DOMAIN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FIREBASE_STORAGE_BUCKET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FIREBASE_MESSAGING_SENDER_ID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FIREBASE_APP_ID</w:t>
      </w:r>
      <w:r>
        <w:t xml:space="preserve">. Esses nomes não possuem leitura direta nos módulos atuais da aplicação.</w:t>
      </w:r>
      <w:r>
        <w:t xml:space="preserve"> </w:t>
      </w:r>
      <w:r>
        <w:rPr>
          <w:rStyle w:val="VerbatimChar"/>
        </w:rPr>
        <w:t xml:space="preserve">GOOGLE_CLOUD_PROJECT</w:t>
      </w:r>
      <w:r>
        <w:t xml:space="preserve"> </w:t>
      </w:r>
      <w:r>
        <w:t xml:space="preserve">também não participa da expressão de seleção do projeto em</w:t>
      </w:r>
      <w:r>
        <w:t xml:space="preserve"> </w:t>
      </w:r>
      <w:r>
        <w:rPr>
          <w:rStyle w:val="VerbatimChar"/>
        </w:rPr>
        <w:t xml:space="preserve">server.ts</w:t>
      </w:r>
      <w:r>
        <w:t xml:space="preserve">.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exclui</w:t>
      </w:r>
      <w:r>
        <w:t xml:space="preserve"> </w:t>
      </w:r>
      <w:r>
        <w:rPr>
          <w:rStyle w:val="VerbatimChar"/>
        </w:rPr>
        <w:t xml:space="preserve">.env*</w:t>
      </w:r>
      <w:r>
        <w:t xml:space="preserve">, preservando a inclusão de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, e exclui</w:t>
      </w:r>
      <w:r>
        <w:t xml:space="preserve"> </w:t>
      </w:r>
      <w:r>
        <w:rPr>
          <w:rStyle w:val="VerbatimChar"/>
        </w:rPr>
        <w:t xml:space="preserve">firebase-applet-config.json</w:t>
      </w:r>
      <w:r>
        <w:t xml:space="preserve">.</w:t>
      </w:r>
    </w:p>
    <w:bookmarkEnd w:id="78"/>
    <w:bookmarkStart w:id="79" w:name="organização-dos-testes"/>
    <w:p>
      <w:pPr>
        <w:pStyle w:val="Heading2"/>
      </w:pPr>
      <w:bookmarkStart w:id="10049" w:name="docsec_049"/>
      <w:r>
        <w:t xml:space="preserve">7.6 Organização dos testes</w:t>
      </w:r>
      <w:bookmarkEnd w:id="10049"/>
    </w:p>
    <w:p>
      <w:pPr>
        <w:pStyle w:val="FirstParagraph"/>
      </w:pPr>
      <w:r>
        <w:t xml:space="preserve">Os testes utilizam Vitest e estão distribuídos em</w:t>
      </w:r>
      <w:r>
        <w:t xml:space="preserve"> </w:t>
      </w:r>
      <w:r>
        <w:rPr>
          <w:b/>
          <w:bCs/>
        </w:rPr>
        <w:t xml:space="preserve">quatro arquivos, com 31 casos</w:t>
      </w:r>
      <w:r>
        <w:t xml:space="preserve">. Supertest envia requisições à aplicação Express exportada, e os testes do cliente HTTP configuram respostas de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durante seus cenários. As funções de normalização, agregação, criptografia e métricas são chamadas diretamente.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DCE3ED"/>
          <w:left w:val="single" w:sz="4" w:color="DCE3ED"/>
          <w:bottom w:val="single" w:sz="4" w:color="DCE3ED"/>
          <w:right w:val="single" w:sz="4" w:color="DCE3ED"/>
          <w:insideH w:val="single" w:sz="4" w:color="DCE3ED"/>
          <w:insideV w:val="single" w:sz="4" w:color="DCE3ED"/>
        </w:tblBorders>
      </w:tblPr>
      <w:tblGrid>
        <w:gridCol w:w="2762"/>
        <w:gridCol w:w="762"/>
        <w:gridCol w:w="6000"/>
      </w:tblGrid>
      <w:tr>
        <w:trPr>
          <w:tblHeader w:val="on"/>
          <w:cantSplit/>
        </w:trPr>
        <w:tc>
          <w:tcPr>
            <w:tcW w:type="dxa" w:w="2762"/>
            <w:shd w:fill="233B82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Arquivo</w:t>
            </w:r>
          </w:p>
        </w:tc>
        <w:tc>
          <w:tcPr>
            <w:tcW w:type="dxa" w:w="762"/>
            <w:shd w:fill="233B82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Casos</w:t>
            </w:r>
          </w:p>
        </w:tc>
        <w:tc>
          <w:tcPr>
            <w:tcW w:type="dxa" w:w="6000"/>
            <w:shd w:fill="233B82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Comportamentos descritos pelos testes</w:t>
            </w:r>
          </w:p>
        </w:tc>
      </w:tr>
      <w:tr>
        <w:trPr>
          <w:cantSplit/>
        </w:trPr>
        <w:tc>
          <w:tcPr>
            <w:tcW w:type="dxa" w:w="2762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tests/leads.test.ts</w:t>
            </w:r>
          </w:p>
        </w:tc>
        <w:tc>
          <w:tcPr>
            <w:tcW w:type="dxa" w:w="762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20</w:t>
            </w:r>
          </w:p>
        </w:tc>
        <w:tc>
          <w:tcPr>
            <w:tcW w:type="dxa" w:w="6000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Schema, cliente HTTP, respostas Express, limitação de tráfego, manifesto ARD, sanitização, buckets, cabeçalhos e SRI.</w:t>
            </w:r>
          </w:p>
        </w:tc>
      </w:tr>
      <w:tr>
        <w:trPr>
          <w:cantSplit/>
        </w:trPr>
        <w:tc>
          <w:tcPr>
            <w:tcW w:type="dxa" w:w="2762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tests/check-metrics.test.ts</w:t>
            </w:r>
          </w:p>
        </w:tc>
        <w:tc>
          <w:tcPr>
            <w:tcW w:type="dxa" w:w="762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>
            <w:tcW w:type="dxa" w:w="6000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Classificação declarativa, complexidade, linhas lógicas e métricas do repositório.</w:t>
            </w:r>
          </w:p>
        </w:tc>
      </w:tr>
      <w:tr>
        <w:trPr>
          <w:cantSplit/>
        </w:trPr>
        <w:tc>
          <w:tcPr>
            <w:tcW w:type="dxa" w:w="2762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tests/vault.test.ts</w:t>
            </w:r>
          </w:p>
        </w:tc>
        <w:tc>
          <w:tcPr>
            <w:tcW w:type="dxa" w:w="762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>
            <w:tcW w:type="dxa" w:w="6000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Presença das chaves, cifra e decifra, índice HMAC e separação entre cofre e registro operacional.</w:t>
            </w:r>
          </w:p>
        </w:tc>
      </w:tr>
      <w:tr>
        <w:trPr>
          <w:cantSplit/>
        </w:trPr>
        <w:tc>
          <w:tcPr>
            <w:tcW w:type="dxa" w:w="2762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tests/firestore-rules.test.ts</w:t>
            </w:r>
          </w:p>
        </w:tc>
        <w:tc>
          <w:tcPr>
            <w:tcW w:type="dxa" w:w="762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6000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Inspeção textual das regras Firestore e declaração de negação de leitura e escrita.</w:t>
            </w:r>
          </w:p>
        </w:tc>
      </w:tr>
    </w:tbl>
    <w:p>
      <w:pPr>
        <w:pStyle w:val="BodyText"/>
      </w:pPr>
      <w:r>
        <w:t xml:space="preserve">Em</w:t>
      </w:r>
      <w:r>
        <w:t xml:space="preserve"> </w:t>
      </w:r>
      <w:r>
        <w:rPr>
          <w:rStyle w:val="VerbatimChar"/>
        </w:rPr>
        <w:t xml:space="preserve">leads.test.ts</w:t>
      </w:r>
      <w:r>
        <w:t xml:space="preserve">, os casos Zod verificam normalização do e-mail, campos não declarados e entradas incompletas. O cliente trata sucesso 201, duplicidade 409, erro 500 e resposta sem o marcador</w:t>
      </w:r>
      <w:r>
        <w:t xml:space="preserve"> </w:t>
      </w:r>
      <w:r>
        <w:rPr>
          <w:rStyle w:val="VerbatimChar"/>
        </w:rPr>
        <w:t xml:space="preserve">success: true</w:t>
      </w:r>
      <w:r>
        <w:t xml:space="preserve">. O backend é exercitado com entrada inválida, JSON malformado, persistência indisponível e limite de tráfego atingido.</w:t>
      </w:r>
    </w:p>
    <w:p>
      <w:pPr>
        <w:pStyle w:val="BodyText"/>
      </w:pPr>
      <w:r>
        <w:t xml:space="preserve">Os casos de limitação manipulam o mapa de contadores para verificar expiração, limite de entradas e preservação do IP corrente durante a poda. A sanitização é examinada com e-mail, telefone e referência documental. Os testes de bucket verificam o teto de 943.718 bytes, a criação da primeira parte e a inclusão de outra manifestação preservando a data de criação. O manifesto ARD é solicitado por HTTP e examinado como JSON.</w:t>
      </w:r>
    </w:p>
    <w:p>
      <w:pPr>
        <w:pStyle w:val="BodyText"/>
      </w:pPr>
      <w:r>
        <w:t xml:space="preserve">Os cabeçalhos são conferidos em uma requisição sob a configuração de produção, incluindo CSP, HSTS e ausência de</w:t>
      </w:r>
      <w:r>
        <w:t xml:space="preserve"> </w:t>
      </w:r>
      <w:r>
        <w:rPr>
          <w:rStyle w:val="VerbatimChar"/>
        </w:rPr>
        <w:t xml:space="preserve">x-powered-by</w:t>
      </w:r>
      <w:r>
        <w:t xml:space="preserve">. Quando</w:t>
      </w:r>
      <w:r>
        <w:t xml:space="preserve"> </w:t>
      </w:r>
      <w:r>
        <w:rPr>
          <w:rStyle w:val="VerbatimChar"/>
        </w:rPr>
        <w:t xml:space="preserve">dist/index.html</w:t>
      </w:r>
      <w:r>
        <w:t xml:space="preserve"> </w:t>
      </w:r>
      <w:r>
        <w:t xml:space="preserve">existe, o caso SRI procura o atributo</w:t>
      </w:r>
      <w:r>
        <w:t xml:space="preserve"> </w:t>
      </w:r>
      <w:r>
        <w:rPr>
          <w:rStyle w:val="VerbatimChar"/>
        </w:rPr>
        <w:t xml:space="preserve">integrity</w:t>
      </w:r>
      <w:r>
        <w:t xml:space="preserve"> </w:t>
      </w:r>
      <w:r>
        <w:t xml:space="preserve">com prefixo SHA-384. Em</w:t>
      </w:r>
      <w:r>
        <w:t xml:space="preserve"> </w:t>
      </w:r>
      <w:r>
        <w:rPr>
          <w:rStyle w:val="VerbatimChar"/>
        </w:rPr>
        <w:t xml:space="preserve">vault.test.ts</w:t>
      </w:r>
      <w:r>
        <w:t xml:space="preserve">, os testes comparam duas cifras do mesmo texto, conferem a restauração do conteúdo, a estabilidade do HMAC após normalização e os campos presentes em cada modelo de registro.</w:t>
      </w:r>
    </w:p>
    <w:bookmarkEnd w:id="79"/>
    <w:bookmarkStart w:id="80" w:name="métricas-e-geração-de-relatórios"/>
    <w:p>
      <w:pPr>
        <w:pStyle w:val="Heading2"/>
      </w:pPr>
      <w:bookmarkStart w:id="10050" w:name="docsec_050"/>
      <w:r>
        <w:t xml:space="preserve">7.7 Métricas e geração de relatórios</w:t>
      </w:r>
      <w:bookmarkEnd w:id="10050"/>
    </w:p>
    <w:p>
      <w:pPr>
        <w:pStyle w:val="FirstParagraph"/>
      </w:pPr>
      <w:r>
        <w:rPr>
          <w:rStyle w:val="VerbatimChar"/>
        </w:rPr>
        <w:t xml:space="preserve">check-metrics.ts</w:t>
      </w:r>
      <w:r>
        <w:t xml:space="preserve"> </w:t>
      </w:r>
      <w:r>
        <w:t xml:space="preserve">chama</w:t>
      </w:r>
      <w:r>
        <w:t xml:space="preserve"> </w:t>
      </w:r>
      <w:r>
        <w:rPr>
          <w:rStyle w:val="VerbatimChar"/>
        </w:rPr>
        <w:t xml:space="preserve">runMetricsAudit()</w:t>
      </w:r>
      <w:r>
        <w:t xml:space="preserve">, grava</w:t>
      </w:r>
      <w:r>
        <w:t xml:space="preserve"> </w:t>
      </w:r>
      <w:r>
        <w:rPr>
          <w:rStyle w:val="VerbatimChar"/>
        </w:rPr>
        <w:t xml:space="preserve">RELATORIO-CONFORMIDADE-METRICAS.md</w:t>
      </w:r>
      <w:r>
        <w:t xml:space="preserve"> </w:t>
      </w:r>
      <w:r>
        <w:t xml:space="preserve">e apresenta o resultado no terminal. O processamento percorre a árvore em busca de</w:t>
      </w:r>
      <w:r>
        <w:t xml:space="preserve"> </w:t>
      </w:r>
      <w:r>
        <w:rPr>
          <w:rStyle w:val="VerbatimChar"/>
        </w:rPr>
        <w:t xml:space="preserve">.ts</w:t>
      </w:r>
      <w:r>
        <w:t xml:space="preserve">,</w:t>
      </w:r>
      <w:r>
        <w:t xml:space="preserve"> </w:t>
      </w:r>
      <w:r>
        <w:rPr>
          <w:rStyle w:val="VerbatimChar"/>
        </w:rPr>
        <w:t xml:space="preserve">.tsx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.js</w:t>
      </w:r>
      <w:r>
        <w:t xml:space="preserve">, ignorando diretórios chamados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</w:t>
      </w:r>
      <w:r>
        <w:t xml:space="preserve">,</w:t>
      </w:r>
      <w:r>
        <w:t xml:space="preserve"> </w:t>
      </w:r>
      <w:r>
        <w:rPr>
          <w:rStyle w:val="VerbatimChar"/>
        </w:rPr>
        <w:t xml:space="preserve">coverage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functions</w:t>
      </w:r>
      <w:r>
        <w:t xml:space="preserve">.</w:t>
      </w:r>
    </w:p>
    <w:p>
      <w:pPr>
        <w:pStyle w:val="BodyText"/>
      </w:pPr>
      <w:r>
        <w:t xml:space="preserve">O analisador usa a AST do TypeScript para identificar funções, métodos, construtores e acessores. Registra tamanho físico, linhas lógicas, complexidade ciclomática e cognitiva, além do aninhamento. Os limites implementados são 250 linhas por arquivo de lógica, 120 caracteres por linha, 40 linhas físicas e 25 lógicas por função, CC até 7, cognitiva até 15 e aninhamento até três níveis. A classificação declarativa procura os nós imperativos definidos no utilitário, como condições, laços,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,</w:t>
      </w:r>
      <w:r>
        <w:t xml:space="preserve"> </w:t>
      </w:r>
      <w:r>
        <w:rPr>
          <w:rStyle w:val="VerbatimChar"/>
        </w:rPr>
        <w:t xml:space="preserve">try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throw</w:t>
      </w:r>
      <w:r>
        <w:t xml:space="preserve">; a exceção de tamanho do arquivo usa o resultado dessa classificação.</w:t>
      </w:r>
    </w:p>
    <w:p>
      <w:pPr>
        <w:pStyle w:val="BodyText"/>
      </w:pPr>
      <w:r>
        <w:t xml:space="preserve">As linhas lógicas são obtidas do corpo da função, excluindo linhas vazias, comentários e os delimitadores reconhecidos pelo contador. As funções internas possuem medição própria. O resultado reúne máximos, caminhos, violações e um livro de registros. O relatório Markdown apresenta data, matriz e até 30 funções ordenadas por complexidade e linhas lógicas. Se a lista de erros não estiver vazia, o comando termina com código 1 depois de gravar o relatório.</w:t>
      </w:r>
    </w:p>
    <w:bookmarkEnd w:id="80"/>
    <w:bookmarkStart w:id="81" w:name="agregado-de-código-e-arquivos-públicos"/>
    <w:p>
      <w:pPr>
        <w:pStyle w:val="Heading2"/>
      </w:pPr>
      <w:bookmarkStart w:id="10051" w:name="docsec_051"/>
      <w:r>
        <w:t xml:space="preserve">7.8 Agregado de código e arquivos públicos</w:t>
      </w:r>
      <w:bookmarkEnd w:id="10051"/>
    </w:p>
    <w:p>
      <w:pPr>
        <w:pStyle w:val="FirstParagraph"/>
      </w:pPr>
      <w:r>
        <w:rPr>
          <w:rStyle w:val="VerbatimChar"/>
        </w:rPr>
        <w:t xml:space="preserve">generate-codigofonte.ts</w:t>
      </w:r>
      <w:r>
        <w:t xml:space="preserve"> </w:t>
      </w:r>
      <w:r>
        <w:t xml:space="preserve">seleciona uma lista explícita de arquivos da raiz e percorre</w:t>
      </w:r>
      <w:r>
        <w:t xml:space="preserve"> </w:t>
      </w:r>
      <w:r>
        <w:rPr>
          <w:rStyle w:val="VerbatimChar"/>
        </w:rPr>
        <w:t xml:space="preserve">src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. A lista é ordenada antes da concatenação. Na travessia, ignora links simbólicos e entradas iniciadas por ponto. A seleção por nome aplica os padrões credential, secret,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token e extensões PEM e KEY. Uma lista de extensões separa formatos de imagens, arquivos compactados, PDF e fontes.</w:t>
      </w:r>
    </w:p>
    <w:p>
      <w:pPr>
        <w:pStyle w:val="BodyText"/>
      </w:pPr>
      <w:r>
        <w:t xml:space="preserve">Após a leitura textual, o filtro de conteúdo procura os padrões configurados para chaves privadas, formatos Google e algumas atribuições de senha ou chave. Um arquivo identificado por esse filtro é omitido, com aviso no terminal. Cada bloco exportado recebe o cabeçalho</w:t>
      </w:r>
      <w:r>
        <w:t xml:space="preserve"> </w:t>
      </w:r>
      <w:r>
        <w:rPr>
          <w:rStyle w:val="VerbatimChar"/>
        </w:rPr>
        <w:t xml:space="preserve">ARQUIVO: caminho</w:t>
      </w:r>
      <w:r>
        <w:t xml:space="preserve">, o conteúdo e um separador de 60 sinais de igualdade. O resultado é gravado como</w:t>
      </w:r>
      <w:r>
        <w:t xml:space="preserve"> </w:t>
      </w:r>
      <w:r>
        <w:rPr>
          <w:rStyle w:val="VerbatimChar"/>
        </w:rPr>
        <w:t xml:space="preserve">CODIGOFONTE.txt</w:t>
      </w:r>
      <w:r>
        <w:t xml:space="preserve"> </w:t>
      </w:r>
      <w:r>
        <w:t xml:space="preserve">na raiz.</w:t>
      </w:r>
    </w:p>
    <w:p>
      <w:pPr>
        <w:pStyle w:val="BodyText"/>
      </w:pPr>
      <w:r>
        <w:t xml:space="preserve">Os arquivos de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acompanham o build com seus caminhos públicos. Há imagens WebP, marcas de parceiros em PNG/SVG e</w:t>
      </w:r>
      <w:r>
        <w:t xml:space="preserve"> </w:t>
      </w:r>
      <w:r>
        <w:rPr>
          <w:rStyle w:val="VerbatimChar"/>
        </w:rPr>
        <w:t xml:space="preserve">favicon.svg</w:t>
      </w:r>
      <w:r>
        <w:t xml:space="preserve">. Os manifestos ARD e AI Catalog usam</w:t>
      </w:r>
      <w:r>
        <w:t xml:space="preserve"> </w:t>
      </w:r>
      <w:r>
        <w:rPr>
          <w:rStyle w:val="VerbatimChar"/>
        </w:rPr>
        <w:t xml:space="preserve">specVersion</w:t>
      </w:r>
      <w:r>
        <w:t xml:space="preserve">, identificador, nome, capacidades e consultas representativas.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 </w:t>
      </w:r>
      <w:r>
        <w:t xml:space="preserve">permite a navegação geral, declara</w:t>
      </w:r>
      <w:r>
        <w:t xml:space="preserve"> </w:t>
      </w:r>
      <w:r>
        <w:rPr>
          <w:rStyle w:val="VerbatimChar"/>
        </w:rPr>
        <w:t xml:space="preserve">/api/</w:t>
      </w:r>
      <w:r>
        <w:t xml:space="preserve"> </w:t>
      </w:r>
      <w:r>
        <w:t xml:space="preserve">como caminho excluído e lista dois endereços de sitemap.</w:t>
      </w:r>
      <w:r>
        <w:t xml:space="preserve"> </w:t>
      </w:r>
      <w:r>
        <w:rPr>
          <w:rStyle w:val="VerbatimChar"/>
        </w:rPr>
        <w:t xml:space="preserve">sitemap.xml</w:t>
      </w:r>
      <w:r>
        <w:t xml:space="preserve"> </w:t>
      </w:r>
      <w:r>
        <w:t xml:space="preserve">registra as cinco páginas públicas;</w:t>
      </w:r>
      <w:r>
        <w:t xml:space="preserve"> </w:t>
      </w:r>
      <w:r>
        <w:rPr>
          <w:rStyle w:val="VerbatimChar"/>
        </w:rPr>
        <w:t xml:space="preserve">llms.txt</w:t>
      </w:r>
      <w:r>
        <w:t xml:space="preserve"> </w:t>
      </w:r>
      <w:r>
        <w:t xml:space="preserve">oferece os mesmos destinos em Markdown.</w:t>
      </w:r>
    </w:p>
    <w:bookmarkEnd w:id="81"/>
    <w:bookmarkStart w:id="82" w:name="catálogo-operacional-de-arquivos"/>
    <w:p>
      <w:pPr>
        <w:pStyle w:val="Heading2"/>
      </w:pPr>
      <w:bookmarkStart w:id="10052" w:name="docsec_052"/>
      <w:r>
        <w:t xml:space="preserve">7.9 Catálogo operacional de arquivos</w:t>
      </w:r>
      <w:bookmarkEnd w:id="10052"/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DCE3ED"/>
          <w:left w:val="single" w:sz="4" w:color="DCE3ED"/>
          <w:bottom w:val="single" w:sz="4" w:color="DCE3ED"/>
          <w:right w:val="single" w:sz="4" w:color="DCE3ED"/>
          <w:insideH w:val="single" w:sz="4" w:color="DCE3ED"/>
          <w:insideV w:val="single" w:sz="4" w:color="DCE3ED"/>
        </w:tblBorders>
      </w:tblPr>
      <w:tblGrid>
        <w:gridCol w:w="1905"/>
        <w:gridCol w:w="7620"/>
      </w:tblGrid>
      <w:tr>
        <w:trPr>
          <w:tblHeader w:val="on"/>
          <w:cantSplit/>
        </w:trPr>
        <w:tc>
          <w:tcPr>
            <w:tcW w:type="dxa" w:w="1905"/>
            <w:shd w:fill="233B82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Grupo</w:t>
            </w:r>
          </w:p>
        </w:tc>
        <w:tc>
          <w:tcPr>
            <w:tcW w:type="dxa" w:w="7620"/>
            <w:shd w:fill="233B82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Arquivos e finalidade</w:t>
            </w:r>
          </w:p>
        </w:tc>
      </w:tr>
      <w:tr>
        <w:trPr>
          <w:cantSplit/>
        </w:trPr>
        <w:tc>
          <w:tcPr>
            <w:tcW w:type="dxa" w:w="1905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Inicialização</w:t>
            </w:r>
          </w:p>
        </w:tc>
        <w:tc>
          <w:tcPr>
            <w:tcW w:type="dxa" w:w="7620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server.ts</w:t>
            </w:r>
            <w:r>
              <w:rPr>
                <w:sz w:val="18"/>
              </w:rPr>
              <w:t xml:space="preserve">: servidor;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index.html</w:t>
            </w:r>
            <w:r>
              <w:rPr>
                <w:sz w:val="18"/>
              </w:rPr>
              <w:t xml:space="preserve">: documento de entrada;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metadata.json</w:t>
            </w:r>
            <w:r>
              <w:rPr>
                <w:sz w:val="18"/>
              </w:rPr>
              <w:t xml:space="preserve">: identificação do aplicativo.</w:t>
            </w:r>
          </w:p>
        </w:tc>
      </w:tr>
      <w:tr>
        <w:trPr>
          <w:cantSplit/>
        </w:trPr>
        <w:tc>
          <w:tcPr>
            <w:tcW w:type="dxa" w:w="1905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Dependências e ferramentas</w:t>
            </w:r>
          </w:p>
        </w:tc>
        <w:tc>
          <w:tcPr>
            <w:tcW w:type="dxa" w:w="7620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package.json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package-lock.json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tsconfig.json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vite.config.ts</w:t>
            </w:r>
            <w:r>
              <w:rPr>
                <w:sz w:val="18"/>
              </w:rPr>
              <w:t xml:space="preserve">: scripts, resolução de pacotes, tipos e build.</w:t>
            </w:r>
          </w:p>
        </w:tc>
      </w:tr>
      <w:tr>
        <w:trPr>
          <w:cantSplit/>
        </w:trPr>
        <w:tc>
          <w:tcPr>
            <w:tcW w:type="dxa" w:w="1905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Configuração de ambiente</w:t>
            </w:r>
          </w:p>
        </w:tc>
        <w:tc>
          <w:tcPr>
            <w:tcW w:type="dxa" w:w="7620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.env.example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.gitignore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.firebaserc</w:t>
            </w:r>
            <w:r>
              <w:rPr>
                <w:sz w:val="18"/>
              </w:rPr>
              <w:t xml:space="preserve">: nomes de variáveis, exclusões e alias Firebase.</w:t>
            </w:r>
          </w:p>
        </w:tc>
      </w:tr>
      <w:tr>
        <w:trPr>
          <w:cantSplit/>
        </w:trPr>
        <w:tc>
          <w:tcPr>
            <w:tcW w:type="dxa" w:w="1905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Firebase</w:t>
            </w:r>
          </w:p>
        </w:tc>
        <w:tc>
          <w:tcPr>
            <w:tcW w:type="dxa" w:w="7620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firebase.json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firestore.rules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firebase-blueprint.json</w:t>
            </w:r>
            <w:r>
              <w:rPr>
                <w:sz w:val="18"/>
              </w:rPr>
              <w:t xml:space="preserve">: publicação, regras e descrição dos agregadores.</w:t>
            </w:r>
          </w:p>
        </w:tc>
      </w:tr>
      <w:tr>
        <w:trPr>
          <w:cantSplit/>
        </w:trPr>
        <w:tc>
          <w:tcPr>
            <w:tcW w:type="dxa" w:w="1905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Governança e artefatos</w:t>
            </w:r>
          </w:p>
        </w:tc>
        <w:tc>
          <w:tcPr>
            <w:tcW w:type="dxa" w:w="7620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AGENTS.MD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RELATORIO-CONFORMIDADE-METRICAS.md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CODIGOFONTE.txt</w:t>
            </w:r>
            <w:r>
              <w:rPr>
                <w:sz w:val="18"/>
              </w:rPr>
              <w:t xml:space="preserve">: contrato do projeto e saídas dos utilitários.</w:t>
            </w:r>
          </w:p>
        </w:tc>
      </w:tr>
      <w:tr>
        <w:trPr>
          <w:cantSplit/>
        </w:trPr>
        <w:tc>
          <w:tcPr>
            <w:tcW w:type="dxa" w:w="1905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Scripts de métricas</w:t>
            </w:r>
          </w:p>
        </w:tc>
        <w:tc>
          <w:tcPr>
            <w:tcW w:type="dxa" w:w="7620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check-metrics.ts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metrics-runner.ts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metrics-ast.ts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metrics-report.ts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metrics-types.ts</w:t>
            </w:r>
            <w:r>
              <w:rPr>
                <w:sz w:val="18"/>
              </w:rPr>
              <w:t xml:space="preserve">: comando, travessia, medição, apresentação e estruturas de resultado.</w:t>
            </w:r>
          </w:p>
        </w:tc>
      </w:tr>
      <w:tr>
        <w:trPr>
          <w:cantSplit/>
        </w:trPr>
        <w:tc>
          <w:tcPr>
            <w:tcW w:type="dxa" w:w="1905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Outros scripts</w:t>
            </w:r>
          </w:p>
        </w:tc>
        <w:tc>
          <w:tcPr>
            <w:tcW w:type="dxa" w:w="7620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inject-sri.ts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generate-codigofonte.ts</w:t>
            </w:r>
            <w:r>
              <w:rPr>
                <w:sz w:val="18"/>
              </w:rPr>
              <w:t xml:space="preserve">: enriquecimento do HTML e agregado textual.</w:t>
            </w:r>
          </w:p>
        </w:tc>
      </w:tr>
      <w:tr>
        <w:trPr>
          <w:cantSplit/>
        </w:trPr>
        <w:tc>
          <w:tcPr>
            <w:tcW w:type="dxa" w:w="1905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Testes</w:t>
            </w:r>
          </w:p>
        </w:tc>
        <w:tc>
          <w:tcPr>
            <w:tcW w:type="dxa" w:w="7620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Os quatro arquivos em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tests</w:t>
            </w:r>
            <w:r>
              <w:rPr>
                <w:sz w:val="18"/>
              </w:rPr>
              <w:t xml:space="preserve">: cenários HTTP, regras, criptografia e métricas.</w:t>
            </w:r>
          </w:p>
        </w:tc>
      </w:tr>
      <w:tr>
        <w:trPr>
          <w:cantSplit/>
        </w:trPr>
        <w:tc>
          <w:tcPr>
            <w:tcW w:type="dxa" w:w="1905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Contratos</w:t>
            </w:r>
          </w:p>
        </w:tc>
        <w:tc>
          <w:tcPr>
            <w:tcW w:type="dxa" w:w="7620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rStyle w:val="VerbatimChar"/>
                <w:sz w:val="17"/>
              </w:rPr>
              <w:t xml:space="preserve">src/types/leads.ts</w:t>
            </w:r>
            <w:r>
              <w:rPr>
                <w:sz w:val="18"/>
              </w:rPr>
              <w:t xml:space="preserve">: schema Zod de entrada, tipo inferido e interface de registro;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scripts/metrics-types.ts</w:t>
            </w:r>
            <w:r>
              <w:rPr>
                <w:sz w:val="18"/>
              </w:rPr>
              <w:t xml:space="preserve">: interfaces das medições.</w:t>
            </w:r>
          </w:p>
        </w:tc>
      </w:tr>
    </w:tbl>
    <w:p>
      <w:pPr>
        <w:pStyle w:val="BodyText"/>
      </w:pPr>
      <w:r>
        <w:t xml:space="preserve">O diretório</w:t>
      </w:r>
      <w:r>
        <w:t xml:space="preserve"> </w:t>
      </w:r>
      <w:r>
        <w:rPr>
          <w:rStyle w:val="VerbatimChar"/>
        </w:rPr>
        <w:t xml:space="preserve">.aistudio</w:t>
      </w:r>
      <w:r>
        <w:t xml:space="preserve"> </w:t>
      </w:r>
      <w:r>
        <w:t xml:space="preserve">mantém um plano de publicação e seus metadados.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contém a saída de frontend preparada pelo build;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concentra os recursos estáticos de origem. Esses grupos complementam os módulos de frontend e backend descritos nos demais capítulos.</w:t>
      </w:r>
    </w:p>
    <w:bookmarkEnd w:id="82"/>
    <w:bookmarkEnd w:id="83"/>
    <w:bookmarkStart w:id="95" w:name="glossário-e-referências-de-implementação"/>
    <w:p>
      <w:pPr>
        <w:pStyle w:val="Heading1"/>
      </w:pPr>
      <w:bookmarkStart w:id="10053" w:name="docsec_053"/>
      <w:r>
        <w:t xml:space="preserve">8. Glossário e referências de implementação</w:t>
      </w:r>
      <w:bookmarkEnd w:id="10053"/>
    </w:p>
    <w:bookmarkStart w:id="84" w:name="termos-utilizados"/>
    <w:p>
      <w:pPr>
        <w:pStyle w:val="Heading2"/>
      </w:pPr>
      <w:bookmarkStart w:id="10054" w:name="docsec_054"/>
      <w:r>
        <w:t xml:space="preserve">8.1 Termos utilizados</w:t>
      </w:r>
      <w:bookmarkEnd w:id="10054"/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DCE3ED"/>
          <w:left w:val="single" w:sz="4" w:color="DCE3ED"/>
          <w:bottom w:val="single" w:sz="4" w:color="DCE3ED"/>
          <w:right w:val="single" w:sz="4" w:color="DCE3ED"/>
          <w:insideH w:val="single" w:sz="4" w:color="DCE3ED"/>
          <w:insideV w:val="single" w:sz="4" w:color="DCE3ED"/>
        </w:tblBorders>
      </w:tblPr>
      <w:tblGrid>
        <w:gridCol w:w="2286"/>
        <w:gridCol w:w="7239"/>
      </w:tblGrid>
      <w:tr>
        <w:trPr>
          <w:tblHeader w:val="on"/>
          <w:cantSplit/>
        </w:trPr>
        <w:tc>
          <w:tcPr>
            <w:tcW w:type="dxa" w:w="2286"/>
            <w:shd w:fill="233B82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Termo</w:t>
            </w:r>
          </w:p>
        </w:tc>
        <w:tc>
          <w:tcPr>
            <w:tcW w:type="dxa" w:w="7239"/>
            <w:shd w:fill="233B82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Uso neste documento</w:t>
            </w:r>
          </w:p>
        </w:tc>
      </w:tr>
      <w:tr>
        <w:trPr>
          <w:cantSplit/>
        </w:trPr>
        <w:tc>
          <w:tcPr>
            <w:tcW w:type="dxa" w:w="2286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ASG</w:t>
            </w:r>
          </w:p>
        </w:tc>
        <w:tc>
          <w:tcPr>
            <w:tcW w:type="dxa" w:w="7239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Ambiental, Social e Governança.</w:t>
            </w:r>
          </w:p>
        </w:tc>
      </w:tr>
      <w:tr>
        <w:trPr>
          <w:cantSplit/>
        </w:trPr>
        <w:tc>
          <w:tcPr>
            <w:tcW w:type="dxa" w:w="2286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ODS</w:t>
            </w:r>
          </w:p>
        </w:tc>
        <w:tc>
          <w:tcPr>
            <w:tcW w:type="dxa" w:w="7239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Objetivos de Desenvolvimento Sustentável.</w:t>
            </w:r>
          </w:p>
        </w:tc>
      </w:tr>
      <w:tr>
        <w:trPr>
          <w:cantSplit/>
        </w:trPr>
        <w:tc>
          <w:tcPr>
            <w:tcW w:type="dxa" w:w="2286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IES</w:t>
            </w:r>
          </w:p>
        </w:tc>
        <w:tc>
          <w:tcPr>
            <w:tcW w:type="dxa" w:w="7239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Instituição de Educação Superior.</w:t>
            </w:r>
          </w:p>
        </w:tc>
      </w:tr>
      <w:tr>
        <w:trPr>
          <w:cantSplit/>
        </w:trPr>
        <w:tc>
          <w:tcPr>
            <w:tcW w:type="dxa" w:w="2286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SPA</w:t>
            </w:r>
          </w:p>
        </w:tc>
        <w:tc>
          <w:tcPr>
            <w:tcW w:type="dxa" w:w="7239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Aplicação de página única; React compõe as telas a partir do documento de entrada.</w:t>
            </w:r>
          </w:p>
        </w:tc>
      </w:tr>
      <w:tr>
        <w:trPr>
          <w:cantSplit/>
        </w:trPr>
        <w:tc>
          <w:tcPr>
            <w:tcW w:type="dxa" w:w="2286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API</w:t>
            </w:r>
          </w:p>
        </w:tc>
        <w:tc>
          <w:tcPr>
            <w:tcW w:type="dxa" w:w="7239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Interface HTTP utilizada pela manifestação de interesse.</w:t>
            </w:r>
          </w:p>
        </w:tc>
      </w:tr>
      <w:tr>
        <w:trPr>
          <w:cantSplit/>
        </w:trPr>
        <w:tc>
          <w:tcPr>
            <w:tcW w:type="dxa" w:w="2286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Schema</w:t>
            </w:r>
          </w:p>
        </w:tc>
        <w:tc>
          <w:tcPr>
            <w:tcW w:type="dxa" w:w="7239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Estrutura declarada no Zod para validar o objeto de entrada.</w:t>
            </w:r>
          </w:p>
        </w:tc>
      </w:tr>
      <w:tr>
        <w:trPr>
          <w:cantSplit/>
        </w:trPr>
        <w:tc>
          <w:tcPr>
            <w:tcW w:type="dxa" w:w="2286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Payload</w:t>
            </w:r>
          </w:p>
        </w:tc>
        <w:tc>
          <w:tcPr>
            <w:tcW w:type="dxa" w:w="7239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Corpo JSON enviado ou recebido em uma operação.</w:t>
            </w:r>
          </w:p>
        </w:tc>
      </w:tr>
      <w:tr>
        <w:trPr>
          <w:cantSplit/>
        </w:trPr>
        <w:tc>
          <w:tcPr>
            <w:tcW w:type="dxa" w:w="2286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Middleware</w:t>
            </w:r>
          </w:p>
        </w:tc>
        <w:tc>
          <w:tcPr>
            <w:tcW w:type="dxa" w:w="7239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Etapa do pipeline de processamento Express.</w:t>
            </w:r>
          </w:p>
        </w:tc>
      </w:tr>
      <w:tr>
        <w:trPr>
          <w:cantSplit/>
        </w:trPr>
        <w:tc>
          <w:tcPr>
            <w:tcW w:type="dxa" w:w="2286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Bucket / parte</w:t>
            </w:r>
          </w:p>
        </w:tc>
        <w:tc>
          <w:tcPr>
            <w:tcW w:type="dxa" w:w="7239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Documento agregador de manifestações em leads_adesao.</w:t>
            </w:r>
          </w:p>
        </w:tc>
      </w:tr>
      <w:tr>
        <w:trPr>
          <w:cantSplit/>
        </w:trPr>
        <w:tc>
          <w:tcPr>
            <w:tcW w:type="dxa" w:w="2286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Cofre</w:t>
            </w:r>
          </w:p>
        </w:tc>
        <w:tc>
          <w:tcPr>
            <w:tcW w:type="dxa" w:w="7239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Documento de vault_leads que reúne campos cifrados.</w:t>
            </w:r>
          </w:p>
        </w:tc>
      </w:tr>
      <w:tr>
        <w:trPr>
          <w:cantSplit/>
        </w:trPr>
        <w:tc>
          <w:tcPr>
            <w:tcW w:type="dxa" w:w="2286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HMAC</w:t>
            </w:r>
          </w:p>
        </w:tc>
        <w:tc>
          <w:tcPr>
            <w:tcW w:type="dxa" w:w="7239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Código calculado com hash e chave; neste projeto, compõe o índice do email normalizado.</w:t>
            </w:r>
          </w:p>
        </w:tc>
      </w:tr>
      <w:tr>
        <w:trPr>
          <w:cantSplit/>
        </w:trPr>
        <w:tc>
          <w:tcPr>
            <w:tcW w:type="dxa" w:w="2286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AES-GCM</w:t>
            </w:r>
          </w:p>
        </w:tc>
        <w:tc>
          <w:tcPr>
            <w:tcW w:type="dxa" w:w="7239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Algoritmo e modo de cifragem dos campos do cofre.</w:t>
            </w:r>
          </w:p>
        </w:tc>
      </w:tr>
      <w:tr>
        <w:trPr>
          <w:cantSplit/>
        </w:trPr>
        <w:tc>
          <w:tcPr>
            <w:tcW w:type="dxa" w:w="2286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IV</w:t>
            </w:r>
          </w:p>
        </w:tc>
        <w:tc>
          <w:tcPr>
            <w:tcW w:type="dxa" w:w="7239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Valor aleatório utilizado por uma chamada de cifragem.</w:t>
            </w:r>
          </w:p>
        </w:tc>
      </w:tr>
      <w:tr>
        <w:trPr>
          <w:cantSplit/>
        </w:trPr>
        <w:tc>
          <w:tcPr>
            <w:tcW w:type="dxa" w:w="2286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Tag</w:t>
            </w:r>
          </w:p>
        </w:tc>
        <w:tc>
          <w:tcPr>
            <w:tcW w:type="dxa" w:w="7239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Valor de autenticação produzido pelo GCM.</w:t>
            </w:r>
          </w:p>
        </w:tc>
      </w:tr>
      <w:tr>
        <w:trPr>
          <w:cantSplit/>
        </w:trPr>
        <w:tc>
          <w:tcPr>
            <w:tcW w:type="dxa" w:w="2286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ADC</w:t>
            </w:r>
          </w:p>
        </w:tc>
        <w:tc>
          <w:tcPr>
            <w:tcW w:type="dxa" w:w="7239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Application Default Credentials, mecanismo de identidade do SDK Admin.</w:t>
            </w:r>
          </w:p>
        </w:tc>
      </w:tr>
      <w:tr>
        <w:trPr>
          <w:cantSplit/>
        </w:trPr>
        <w:tc>
          <w:tcPr>
            <w:tcW w:type="dxa" w:w="2286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CSP</w:t>
            </w:r>
          </w:p>
        </w:tc>
        <w:tc>
          <w:tcPr>
            <w:tcW w:type="dxa" w:w="7239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Content Security Policy, conjunto de fontes e diretivas de recursos.</w:t>
            </w:r>
          </w:p>
        </w:tc>
      </w:tr>
      <w:tr>
        <w:trPr>
          <w:cantSplit/>
        </w:trPr>
        <w:tc>
          <w:tcPr>
            <w:tcW w:type="dxa" w:w="2286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SRI</w:t>
            </w:r>
          </w:p>
        </w:tc>
        <w:tc>
          <w:tcPr>
            <w:tcW w:type="dxa" w:w="7239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Subresource Integrity, atributo de integridade dos assets compilados.</w:t>
            </w:r>
          </w:p>
        </w:tc>
      </w:tr>
      <w:tr>
        <w:trPr>
          <w:cantSplit/>
        </w:trPr>
        <w:tc>
          <w:tcPr>
            <w:tcW w:type="dxa" w:w="2286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HMR</w:t>
            </w:r>
          </w:p>
        </w:tc>
        <w:tc>
          <w:tcPr>
            <w:tcW w:type="dxa" w:w="7239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Hot Module Replacement, atualização de módulos no desenvolvimento.</w:t>
            </w:r>
          </w:p>
        </w:tc>
      </w:tr>
      <w:tr>
        <w:trPr>
          <w:cantSplit/>
        </w:trPr>
        <w:tc>
          <w:tcPr>
            <w:tcW w:type="dxa" w:w="2286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ARD / AI Catalog</w:t>
            </w:r>
          </w:p>
        </w:tc>
        <w:tc>
          <w:tcPr>
            <w:tcW w:type="dxa" w:w="7239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Recursos descritivos JSON publicados pelo projeto para navegação e descoberta.</w:t>
            </w:r>
          </w:p>
        </w:tc>
      </w:tr>
    </w:tbl>
    <w:bookmarkEnd w:id="84"/>
    <w:bookmarkStart w:id="86" w:name="fontes-de-implementação"/>
    <w:p>
      <w:pPr>
        <w:pStyle w:val="Heading2"/>
      </w:pPr>
      <w:bookmarkStart w:id="10055" w:name="docsec_055"/>
      <w:r>
        <w:t xml:space="preserve">8.2 Fontes de implementação</w:t>
      </w:r>
      <w:bookmarkEnd w:id="10055"/>
    </w:p>
    <w:p>
      <w:pPr>
        <w:pStyle w:val="FirstParagraph"/>
      </w:pPr>
      <w:r>
        <w:t xml:space="preserve">As descrições correspondem ao commit</w:t>
      </w:r>
      <w:r>
        <w:t xml:space="preserve"> </w:t>
      </w:r>
      <w:r>
        <w:rPr>
          <w:b/>
          <w:bCs/>
        </w:rPr>
        <w:t xml:space="preserve">9a126c65ba902e19b31bc695be0ccc172df7167f</w:t>
      </w:r>
      <w:r>
        <w:t xml:space="preserve">. O repositório de referência é</w:t>
      </w:r>
      <w:r>
        <w:t xml:space="preserve"> </w:t>
      </w:r>
      <w:hyperlink r:id="rId85">
        <w:r>
          <w:rPr>
            <w:rStyle w:val="Hyperlink"/>
          </w:rPr>
          <w:t xml:space="preserve">desenvolvimentoprofissional-oss/asg-ods</w:t>
        </w:r>
      </w:hyperlink>
      <w:r>
        <w:t xml:space="preserve">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DCE3ED"/>
          <w:left w:val="single" w:sz="4" w:color="DCE3ED"/>
          <w:bottom w:val="single" w:sz="4" w:color="DCE3ED"/>
          <w:right w:val="single" w:sz="4" w:color="DCE3ED"/>
          <w:insideH w:val="single" w:sz="4" w:color="DCE3ED"/>
          <w:insideV w:val="single" w:sz="4" w:color="DCE3ED"/>
        </w:tblBorders>
      </w:tblPr>
      <w:tblGrid>
        <w:gridCol w:w="2381"/>
        <w:gridCol w:w="7143"/>
      </w:tblGrid>
      <w:tr>
        <w:trPr>
          <w:tblHeader w:val="on"/>
          <w:cantSplit/>
        </w:trPr>
        <w:tc>
          <w:tcPr>
            <w:tcW w:type="dxa" w:w="2381"/>
            <w:shd w:fill="233B82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Área</w:t>
            </w:r>
          </w:p>
        </w:tc>
        <w:tc>
          <w:tcPr>
            <w:tcW w:type="dxa" w:w="7143"/>
            <w:shd w:fill="233B82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Arquivos e grupos principais</w:t>
            </w:r>
          </w:p>
        </w:tc>
      </w:tr>
      <w:tr>
        <w:trPr>
          <w:cantSplit/>
        </w:trPr>
        <w:tc>
          <w:tcPr>
            <w:tcW w:type="dxa" w:w="2381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Entrada e composição</w:t>
            </w:r>
          </w:p>
        </w:tc>
        <w:tc>
          <w:tcPr>
            <w:tcW w:type="dxa" w:w="7143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index.html; src/main.tsx; src/App.tsx; src/routes/index.tsx.</w:t>
            </w:r>
          </w:p>
        </w:tc>
      </w:tr>
      <w:tr>
        <w:trPr>
          <w:cantSplit/>
        </w:trPr>
        <w:tc>
          <w:tcPr>
            <w:tcW w:type="dxa" w:w="2381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Páginas e interface</w:t>
            </w:r>
          </w:p>
        </w:tc>
        <w:tc>
          <w:tcPr>
            <w:tcW w:type="dxa" w:w="7143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src/pages; src/components/layout; home; chancela; metodologia; trilha; presentation; partners; ui; interest; accessibility.</w:t>
            </w:r>
          </w:p>
        </w:tc>
      </w:tr>
      <w:tr>
        <w:trPr>
          <w:cantSplit/>
        </w:trPr>
        <w:tc>
          <w:tcPr>
            <w:tcW w:type="dxa" w:w="2381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Estado e preferências</w:t>
            </w:r>
          </w:p>
        </w:tc>
        <w:tc>
          <w:tcPr>
            <w:tcW w:type="dxa" w:w="7143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src/store/useAccessibilityStore.ts; src/hooks/useAccessibilitySync.ts; src/index.css.</w:t>
            </w:r>
          </w:p>
        </w:tc>
      </w:tr>
      <w:tr>
        <w:trPr>
          <w:cantSplit/>
        </w:trPr>
        <w:tc>
          <w:tcPr>
            <w:tcW w:type="dxa" w:w="2381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Conteúdo</w:t>
            </w:r>
          </w:p>
        </w:tc>
        <w:tc>
          <w:tcPr>
            <w:tcW w:type="dxa" w:w="7143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src/constants: módulos, objetivos, cursos, parceiros, textos e navegação.</w:t>
            </w:r>
          </w:p>
        </w:tc>
      </w:tr>
      <w:tr>
        <w:trPr>
          <w:cantSplit/>
        </w:trPr>
        <w:tc>
          <w:tcPr>
            <w:tcW w:type="dxa" w:w="2381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Contrato e cliente HTTP</w:t>
            </w:r>
          </w:p>
        </w:tc>
        <w:tc>
          <w:tcPr>
            <w:tcW w:type="dxa" w:w="7143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src/types/leads.ts; src/api/leadsService.ts.</w:t>
            </w:r>
          </w:p>
        </w:tc>
      </w:tr>
      <w:tr>
        <w:trPr>
          <w:cantSplit/>
        </w:trPr>
        <w:tc>
          <w:tcPr>
            <w:tcW w:type="dxa" w:w="2381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Backend e dados</w:t>
            </w:r>
          </w:p>
        </w:tc>
        <w:tc>
          <w:tcPr>
            <w:tcW w:type="dxa" w:w="7143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server.ts; src/server/leadBucketService.ts; vaultService.ts; securityHeaders.ts.</w:t>
            </w:r>
          </w:p>
        </w:tc>
      </w:tr>
      <w:tr>
        <w:trPr>
          <w:cantSplit/>
        </w:trPr>
        <w:tc>
          <w:tcPr>
            <w:tcW w:type="dxa" w:w="2381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Configuração e distribuição</w:t>
            </w:r>
          </w:p>
        </w:tc>
        <w:tc>
          <w:tcPr>
            <w:tcW w:type="dxa" w:w="7143"/>
            <w:shd w:fill="FFFFFF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package.json; package-lock.json; vite.config.ts; tsconfig.json; firebase.json; .firebaserc; firestore.rules; public.</w:t>
            </w:r>
          </w:p>
        </w:tc>
      </w:tr>
      <w:tr>
        <w:trPr>
          <w:cantSplit/>
        </w:trPr>
        <w:tc>
          <w:tcPr>
            <w:tcW w:type="dxa" w:w="2381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Utilitários e testes</w:t>
            </w:r>
          </w:p>
        </w:tc>
        <w:tc>
          <w:tcPr>
            <w:tcW w:type="dxa" w:w="7143"/>
            <w:shd w:fill="F5F8FC"/>
          </w:tcPr>
          <w:p>
            <w:pPr>
              <w:pStyle w:val="Compact"/>
              <w:spacing w:after="60" w:before="40" w:line="247" w:lineRule="auto"/>
              <w:jc w:val="left"/>
            </w:pPr>
            <w:r>
              <w:rPr>
                <w:sz w:val="18"/>
              </w:rPr>
              <w:t xml:space="preserve">scripts; tests; AGENTS.MD; artefatos textuais gerados pelos comandos.</w:t>
            </w:r>
          </w:p>
        </w:tc>
      </w:tr>
    </w:tbl>
    <w:bookmarkEnd w:id="86"/>
    <w:bookmarkStart w:id="94" w:name="referências-das-ferramentas-externas"/>
    <w:p>
      <w:pPr>
        <w:pStyle w:val="Heading2"/>
      </w:pPr>
      <w:bookmarkStart w:id="10056" w:name="docsec_056"/>
      <w:r>
        <w:t xml:space="preserve">8.3 Referências das ferramentas externas</w:t>
      </w:r>
      <w:bookmarkEnd w:id="10056"/>
    </w:p>
    <w:p>
      <w:pPr>
        <w:pStyle w:val="FirstParagraph"/>
      </w:pPr>
      <w:r>
        <w:t xml:space="preserve">Os valores do capítulo inicial têm como fonte as capturas recebidas em 13 de outubro de 2026. Os endereços abaixo identificam as ferramentas e as páginas de avaliação correspondentes quando o endereço está disponível na captura.</w:t>
      </w:r>
    </w:p>
    <w:p>
      <w:pPr>
        <w:pStyle w:val="Compact"/>
        <w:numPr>
          <w:ilvl w:val="0"/>
          <w:numId w:val="1002"/>
        </w:numPr>
      </w:pPr>
      <w:hyperlink r:id="rId87">
        <w:r>
          <w:rPr>
            <w:rStyle w:val="Hyperlink"/>
          </w:rPr>
          <w:t xml:space="preserve">MDN HTTP Observatory — asg-ods.ai.studio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88">
        <w:r>
          <w:rPr>
            <w:rStyle w:val="Hyperlink"/>
          </w:rPr>
          <w:t xml:space="preserve">PageSpeed Insights — mobile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89">
        <w:r>
          <w:rPr>
            <w:rStyle w:val="Hyperlink"/>
          </w:rPr>
          <w:t xml:space="preserve">PageSpeed Insights — desktop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90">
        <w:r>
          <w:rPr>
            <w:rStyle w:val="Hyperlink"/>
          </w:rPr>
          <w:t xml:space="preserve">SecurityHeaders — asg-ods.ai.studio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91">
        <w:r>
          <w:rPr>
            <w:rStyle w:val="Hyperlink"/>
          </w:rPr>
          <w:t xml:space="preserve">Catchpoint / WebPageTest — portal da ferramenta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92">
        <w:r>
          <w:rPr>
            <w:rStyle w:val="Hyperlink"/>
          </w:rPr>
          <w:t xml:space="preserve">WAVE — asg-ods.ai.studio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93">
        <w:r>
          <w:rPr>
            <w:rStyle w:val="Hyperlink"/>
          </w:rPr>
          <w:t xml:space="preserve">Webbkoll — asg-ods.ai.studio</w:t>
        </w:r>
      </w:hyperlink>
      <w:r>
        <w:t xml:space="preserve">.</w:t>
      </w:r>
    </w:p>
    <w:p>
      <w:pPr>
        <w:pStyle w:val="FirstParagraph"/>
      </w:pPr>
      <w:r>
        <w:t xml:space="preserve">Os anexos de interface foram produzidos a partir da renderização local do build do mesmo commit, em 13/10/2026. As legendas identificam página, caminho e composição desktop ou mobile. Os dados do formulário permanecem vazios nessas figuras.</w:t>
      </w:r>
    </w:p>
    <w:bookmarkEnd w:id="94"/>
    <w:bookmarkEnd w:id="95"/>
    <w:p>
      <w:pPr>
        <w:pStyle w:val="Heading1"/>
      </w:pPr>
      <w:bookmarkStart w:id="10057" w:name="docsec_057"/>
      <w:r>
        <w:t>Anexo A. Páginas da aplicação — desktop</w:t>
      </w:r>
      <w:bookmarkEnd w:id="10057"/>
    </w:p>
    <w:p>
      <w:pPr>
        <w:pStyle w:val="Heading2"/>
      </w:pPr>
      <w:bookmarkStart w:id="10058" w:name="docsec_058"/>
      <w:r>
        <w:t>A.1 Página inicial</w:t>
      </w:r>
      <w:bookmarkEnd w:id="10058"/>
    </w:p>
    <w:p>
      <w:pPr>
        <w:keepNext/>
        <w:spacing w:after="40" w:before="0"/>
        <w:jc w:val="center"/>
      </w:pPr>
      <w:r>
        <w:drawing>
          <wp:inline>
            <wp:extent cx="5486400" cy="3810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_home_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 w:before="20"/>
      </w:pPr>
      <w:r>
        <w:t>Página inicial · / · Desktop 1440 × 1000 · vista inicial.</w:t>
      </w:r>
    </w:p>
    <w:p>
      <w:pPr>
        <w:keepNext/>
        <w:spacing w:after="40" w:before="0"/>
        <w:jc w:val="center"/>
      </w:pPr>
      <w:r>
        <w:drawing>
          <wp:inline>
            <wp:extent cx="5486400" cy="3810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_home_botto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 w:before="20"/>
      </w:pPr>
      <w:r>
        <w:t>Página inicial · / · Desktop 1440 × 1000 · vista inferior.</w:t>
      </w:r>
    </w:p>
    <w:p>
      <w:pPr>
        <w:pStyle w:val="Heading2"/>
        <w:pageBreakBefore/>
      </w:pPr>
      <w:bookmarkStart w:id="10059" w:name="docsec_059"/>
      <w:r>
        <w:t>A.2 Chancela institucional</w:t>
      </w:r>
      <w:bookmarkEnd w:id="10059"/>
    </w:p>
    <w:p>
      <w:pPr>
        <w:keepNext/>
        <w:spacing w:after="40" w:before="0"/>
        <w:jc w:val="center"/>
      </w:pPr>
      <w:r>
        <w:drawing>
          <wp:inline>
            <wp:extent cx="5486400" cy="3810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_chancela_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 w:before="20"/>
      </w:pPr>
      <w:r>
        <w:t>Chancela institucional · /chancela · Desktop 1440 × 1000 · vista inicial.</w:t>
      </w:r>
    </w:p>
    <w:p>
      <w:pPr>
        <w:keepNext/>
        <w:spacing w:after="40" w:before="0"/>
        <w:jc w:val="center"/>
      </w:pPr>
      <w:r>
        <w:drawing>
          <wp:inline>
            <wp:extent cx="5486400" cy="3810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_chancela_botto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 w:before="20"/>
      </w:pPr>
      <w:r>
        <w:t>Chancela institucional · /chancela · Desktop 1440 × 1000 · vista inferior.</w:t>
      </w:r>
    </w:p>
    <w:p>
      <w:pPr>
        <w:pStyle w:val="Heading2"/>
        <w:pageBreakBefore/>
      </w:pPr>
      <w:bookmarkStart w:id="10060" w:name="docsec_060"/>
      <w:r>
        <w:t>A.3 Metodologia dinâmica</w:t>
      </w:r>
      <w:bookmarkEnd w:id="10060"/>
    </w:p>
    <w:p>
      <w:pPr>
        <w:keepNext/>
        <w:spacing w:after="40" w:before="0"/>
        <w:jc w:val="center"/>
      </w:pPr>
      <w:r>
        <w:drawing>
          <wp:inline>
            <wp:extent cx="5486400" cy="3810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_metodologia_to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 w:before="20"/>
      </w:pPr>
      <w:r>
        <w:t>Metodologia dinâmica · /metodologia · Desktop 1440 × 1000 · vista inicial.</w:t>
      </w:r>
    </w:p>
    <w:p>
      <w:pPr>
        <w:keepNext/>
        <w:spacing w:after="40" w:before="0"/>
        <w:jc w:val="center"/>
      </w:pPr>
      <w:r>
        <w:drawing>
          <wp:inline>
            <wp:extent cx="5486400" cy="3810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_metodologia_botto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 w:before="20"/>
      </w:pPr>
      <w:r>
        <w:t>Metodologia dinâmica · /metodologia · Desktop 1440 × 1000 · vista inferior.</w:t>
      </w:r>
    </w:p>
    <w:p>
      <w:pPr>
        <w:pStyle w:val="Heading2"/>
        <w:pageBreakBefore/>
      </w:pPr>
      <w:bookmarkStart w:id="10061" w:name="docsec_061"/>
      <w:r>
        <w:t>A.4 Objetivos de aprendizagem</w:t>
      </w:r>
      <w:bookmarkEnd w:id="10061"/>
    </w:p>
    <w:p>
      <w:pPr>
        <w:keepNext/>
        <w:spacing w:after="40" w:before="0"/>
        <w:jc w:val="center"/>
      </w:pPr>
      <w:r>
        <w:drawing>
          <wp:inline>
            <wp:extent cx="5486400" cy="3810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_trilha_to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 w:before="20"/>
      </w:pPr>
      <w:r>
        <w:t>Objetivos de aprendizagem · /trilha · Desktop 1440 × 1000 · vista inicial.</w:t>
      </w:r>
    </w:p>
    <w:p>
      <w:pPr>
        <w:keepNext/>
        <w:spacing w:after="40" w:before="0"/>
        <w:jc w:val="center"/>
      </w:pPr>
      <w:r>
        <w:drawing>
          <wp:inline>
            <wp:extent cx="5486400" cy="3810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_trilha_botto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 w:before="20"/>
      </w:pPr>
      <w:r>
        <w:t>Objetivos de aprendizagem · /trilha · Desktop 1440 × 1000 · vista inferior.</w:t>
      </w:r>
    </w:p>
    <w:p>
      <w:pPr>
        <w:pStyle w:val="Heading2"/>
        <w:pageBreakBefore/>
      </w:pPr>
      <w:bookmarkStart w:id="10062" w:name="docsec_062"/>
      <w:r>
        <w:t>A.5 Manifestação de interesse</w:t>
      </w:r>
      <w:bookmarkEnd w:id="10062"/>
    </w:p>
    <w:p>
      <w:pPr>
        <w:keepNext/>
        <w:spacing w:after="40" w:before="0"/>
        <w:jc w:val="center"/>
      </w:pPr>
      <w:r>
        <w:drawing>
          <wp:inline>
            <wp:extent cx="5486400" cy="3810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_registro_to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 w:before="20"/>
      </w:pPr>
      <w:r>
        <w:t>Manifestação de interesse · /registro-interesse · Desktop 1440 × 1000 · vista inicial.</w:t>
      </w:r>
    </w:p>
    <w:p>
      <w:pPr>
        <w:keepNext/>
        <w:spacing w:after="40" w:before="0"/>
        <w:jc w:val="center"/>
      </w:pPr>
      <w:r>
        <w:drawing>
          <wp:inline>
            <wp:extent cx="5486400" cy="3810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_registro_to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 w:before="20"/>
      </w:pPr>
      <w:r>
        <w:t>Manifestação de interesse · /registro-interesse · Desktop 1440 × 1000 · vista inferior.</w:t>
      </w:r>
    </w:p>
    <w:p>
      <w:pPr>
        <w:pStyle w:val="Heading1"/>
      </w:pPr>
      <w:bookmarkStart w:id="10063" w:name="docsec_063"/>
      <w:r>
        <w:t>Anexo B. Páginas da aplicação — mobile</w:t>
      </w:r>
      <w:bookmarkEnd w:id="10063"/>
    </w:p>
    <w:p>
      <w:pPr>
        <w:pStyle w:val="Heading2"/>
      </w:pPr>
      <w:bookmarkStart w:id="10064" w:name="docsec_064"/>
      <w:r>
        <w:t>B.1 Página inicial e Chancela institucional</w:t>
      </w:r>
      <w:bookmarkEnd w:id="10064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</w:tcPr>
          <w:p>
            <w:pPr>
              <w:spacing w:after="60"/>
              <w:jc w:val="center"/>
            </w:pPr>
            <w:r>
              <w:drawing>
                <wp:inline>
                  <wp:extent cx="2468880" cy="534291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_home_top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53429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spacing w:after="60"/>
            </w:pPr>
            <w:r>
              <w:t>Página inicial</w:t>
              <w:br/>
              <w:t>/</w:t>
              <w:br/>
              <w:t>Mobile 390 × 844</w:t>
            </w:r>
          </w:p>
        </w:tc>
        <w:tc>
          <w:tcPr>
            <w:tcW w:type="dxa" w:w="4762"/>
          </w:tcPr>
          <w:p>
            <w:pPr>
              <w:spacing w:after="60"/>
              <w:jc w:val="center"/>
            </w:pPr>
            <w:r>
              <w:drawing>
                <wp:inline>
                  <wp:extent cx="2468880" cy="534291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_chancela_top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53429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spacing w:after="60"/>
            </w:pPr>
            <w:r>
              <w:t>Chancela institucional</w:t>
              <w:br/>
              <w:t>/chancela</w:t>
              <w:br/>
              <w:t>Mobile 390 × 844</w:t>
            </w:r>
          </w:p>
        </w:tc>
      </w:tr>
    </w:tbl>
    <w:p>
      <w:pPr>
        <w:pStyle w:val="Heading2"/>
        <w:pageBreakBefore/>
      </w:pPr>
      <w:bookmarkStart w:id="10065" w:name="docsec_065"/>
      <w:r>
        <w:t>B.2 Metodologia dinâmica e Objetivos de aprendizagem</w:t>
      </w:r>
      <w:bookmarkEnd w:id="10065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</w:tcPr>
          <w:p>
            <w:pPr>
              <w:spacing w:after="60"/>
              <w:jc w:val="center"/>
            </w:pPr>
            <w:r>
              <w:drawing>
                <wp:inline>
                  <wp:extent cx="2468880" cy="534291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_metodologia_top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53429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spacing w:after="60"/>
            </w:pPr>
            <w:r>
              <w:t>Metodologia dinâmica</w:t>
              <w:br/>
              <w:t>/metodologia</w:t>
              <w:br/>
              <w:t>Mobile 390 × 844</w:t>
            </w:r>
          </w:p>
        </w:tc>
        <w:tc>
          <w:tcPr>
            <w:tcW w:type="dxa" w:w="4762"/>
          </w:tcPr>
          <w:p>
            <w:pPr>
              <w:spacing w:after="60"/>
              <w:jc w:val="center"/>
            </w:pPr>
            <w:r>
              <w:drawing>
                <wp:inline>
                  <wp:extent cx="2468880" cy="534291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_trilha_top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53429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spacing w:after="60"/>
            </w:pPr>
            <w:r>
              <w:t>Objetivos de aprendizagem</w:t>
              <w:br/>
              <w:t>/trilha</w:t>
              <w:br/>
              <w:t>Mobile 390 × 844</w:t>
            </w:r>
          </w:p>
        </w:tc>
      </w:tr>
    </w:tbl>
    <w:p>
      <w:pPr>
        <w:pStyle w:val="Heading2"/>
        <w:pageBreakBefore/>
      </w:pPr>
      <w:bookmarkStart w:id="10066" w:name="docsec_066"/>
      <w:r>
        <w:t>B.3 Manifestação de interesse</w:t>
      </w:r>
      <w:bookmarkEnd w:id="10066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</w:tcPr>
          <w:p>
            <w:pPr>
              <w:spacing w:after="60"/>
              <w:jc w:val="center"/>
            </w:pPr>
            <w:r>
              <w:drawing>
                <wp:inline>
                  <wp:extent cx="2468880" cy="534291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_registro_top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53429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spacing w:after="60"/>
            </w:pPr>
            <w:r>
              <w:t>Manifestação de interesse</w:t>
              <w:br/>
              <w:t>/registro-interesse</w:t>
              <w:br/>
              <w:t>Mobile 390 × 844</w:t>
            </w:r>
          </w:p>
        </w:tc>
      </w:tr>
    </w:tbl>
    <w:sectPr w:rsidR="00FC693F" w:rsidRPr="0006063C" w:rsidSect="00034616">
      <w:headerReference r:id="rId9" w:type="default"/>
      <w:footerReference r:id="rId10" w:type="default"/>
      <w:pgSz w:h="16838" w:w="11906"/>
      <w:pgMar w:bottom="1191" w:footer="454" w:gutter="0" w:header="454" w:left="1191" w:right="1191" w:top="1191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  <w:jc w:val="left"/>
    </w:pPr>
    <w:r>
      <w:rPr>
        <w:color w:val="64748B"/>
        <w:sz w:val="16"/>
      </w:rPr>
      <w:t>Edição 1.0 · 13/10/2026</w:t>
    </w:r>
    <w:r>
      <w:tab/>
    </w:r>
    <w:r>
      <w:rPr>
        <w:sz w:val="16"/>
      </w:rPr>
      <w:t xml:space="preserve">Página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Open Sans" w:hAnsi="Open Sans"/>
        <w:color w:val="64748B"/>
        <w:sz w:val="16"/>
      </w:rPr>
      <w:t>ASG • ODS  |  DOCUMENTAÇÃO TÉCNICA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pt-BR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59" w:lineRule="auto"/>
      <w:jc w:val="both"/>
    </w:pPr>
    <w:rPr>
      <w:rFonts w:ascii="Open Sans" w:hAnsi="Open Sans"/>
      <w:color w:val="253044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40" w:before="240"/>
      <w:jc w:val="left"/>
      <w:outlineLvl w:val="0"/>
    </w:pPr>
    <w:rPr>
      <w:rFonts w:ascii="Open Sans" w:asciiTheme="majorHAnsi" w:cstheme="majorBidi" w:eastAsiaTheme="majorEastAsia" w:hAnsi="Open Sans" w:hAnsiTheme="majorHAnsi"/>
      <w:b/>
      <w:bCs/>
      <w:color w:val="233B82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40" w:before="240"/>
      <w:jc w:val="left"/>
      <w:outlineLvl w:val="1"/>
    </w:pPr>
    <w:rPr>
      <w:rFonts w:ascii="Open Sans" w:asciiTheme="majorHAnsi" w:cstheme="majorBidi" w:eastAsiaTheme="majorEastAsia" w:hAnsi="Open Sans" w:hAnsiTheme="majorHAnsi"/>
      <w:b/>
      <w:bCs/>
      <w:color w:val="233B82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40" w:before="240"/>
      <w:jc w:val="left"/>
      <w:outlineLvl w:val="2"/>
    </w:pPr>
    <w:rPr>
      <w:rFonts w:ascii="Open Sans" w:asciiTheme="majorHAnsi" w:cstheme="majorBidi" w:eastAsiaTheme="majorEastAsia" w:hAnsi="Open Sans" w:hAnsiTheme="majorHAnsi"/>
      <w:b/>
      <w:bCs/>
      <w:color w:val="233B82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left"/>
    </w:pPr>
    <w:rPr>
      <w:rFonts w:ascii="Open Sans" w:asciiTheme="majorHAnsi" w:cstheme="majorBidi" w:eastAsiaTheme="majorEastAsia" w:hAnsi="Open Sans" w:hAnsiTheme="majorHAnsi"/>
      <w:color w:val="233B82"/>
      <w:spacing w:val="5"/>
      <w:kern w:val="28"/>
      <w:sz w:val="5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left"/>
    </w:pPr>
    <w:rPr>
      <w:rFonts w:ascii="Open Sans" w:asciiTheme="majorHAnsi" w:cstheme="majorBidi" w:eastAsiaTheme="majorEastAsia" w:hAnsi="Open Sans" w:hAnsiTheme="majorHAnsi"/>
      <w:i/>
      <w:iCs/>
      <w:color w:val="64748B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00" w:line="259" w:lineRule="auto"/>
      <w:jc w:val="both"/>
    </w:pPr>
    <w:rPr>
      <w:rFonts w:ascii="Open Sans" w:hAnsi="Open Sans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20" w:line="240" w:lineRule="auto"/>
      <w:jc w:val="center"/>
    </w:pPr>
    <w:rPr>
      <w:rFonts w:ascii="Open Sans" w:hAnsi="Open Sans"/>
      <w:b/>
      <w:bCs/>
      <w:i/>
      <w:color w:val="64748B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next w:val="BodyText"/>
    <w:qFormat/>
    <w:pPr>
      <w:spacing w:after="100" w:line="259" w:lineRule="auto"/>
      <w:jc w:val="both"/>
    </w:pPr>
    <w:rPr>
      <w:rFonts w:ascii="Open Sans" w:hAnsi="Open Sans"/>
      <w:sz w:val="21"/>
    </w:rPr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customStyle="1" w:styleId="TableCaption" w:type="paragraph">
    <w:name w:val="Table Caption"/>
    <w:basedOn w:val="Caption"/>
    <w:pPr>
      <w:keepNext/>
      <w:spacing w:after="120"/>
      <w:jc w:val="center"/>
    </w:pPr>
    <w:rPr>
      <w:rFonts w:ascii="Open Sans" w:hAnsi="Open Sans"/>
      <w:i/>
      <w:color w:val="64748B"/>
      <w:sz w:val="18"/>
    </w:rPr>
  </w:style>
  <w:style w:customStyle="1" w:styleId="ImageCaption" w:type="paragraph">
    <w:name w:val="Image Caption"/>
    <w:basedOn w:val="Caption"/>
    <w:pPr>
      <w:spacing w:after="120"/>
      <w:jc w:val="center"/>
    </w:pPr>
    <w:rPr>
      <w:rFonts w:ascii="Open Sans" w:hAnsi="Open Sans"/>
      <w:i/>
      <w:color w:val="64748B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VerbatimChar" w:type="character">
    <w:name w:val="Verbatim Char"/>
    <w:basedOn w:val="BodyTextChar"/>
    <w:rPr>
      <w:rFonts w:ascii="DejaVu Sans Mono" w:hAnsi="DejaVu Sans Mono"/>
      <w:color w:val="334155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233B82"/>
      <w:u w:val="single"/>
    </w:rPr>
  </w:style>
  <w:style w:customStyle="1" w:styleId="SourceCode" w:type="paragraph">
    <w:name w:val="Source Code"/>
    <w:pPr>
      <w:spacing w:after="80" w:line="240" w:lineRule="auto"/>
      <w:jc w:val="left"/>
    </w:pPr>
    <w:rPr>
      <w:rFonts w:ascii="DejaVu Sans Mono" w:hAnsi="DejaVu Sans Mono"/>
      <w:color w:val="334155"/>
      <w:sz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DocTOC1">
    <w:name w:val="DocTOC1"/>
    <w:basedOn w:val="Normal"/>
    <w:pPr>
      <w:spacing w:after="60" w:line="240" w:lineRule="auto"/>
      <w:jc w:val="left"/>
    </w:pPr>
    <w:rPr>
      <w:rFonts w:ascii="Open Sans" w:hAnsi="Open Sans"/>
      <w:b/>
      <w:color w:val="233B82"/>
      <w:sz w:val="20"/>
    </w:rPr>
  </w:style>
  <w:style w:type="paragraph" w:customStyle="1" w:styleId="DocTOC2">
    <w:name w:val="DocTOC2"/>
    <w:basedOn w:val="Normal"/>
    <w:pPr>
      <w:spacing w:after="60" w:line="240" w:lineRule="auto"/>
      <w:jc w:val="left"/>
    </w:pPr>
    <w:rPr>
      <w:rFonts w:ascii="Open Sans" w:hAnsi="Open Sans"/>
      <w:b w:val="0"/>
      <w:color w:val="33415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6" Type="http://schemas.openxmlformats.org/officeDocument/2006/relationships/image" Target="media/rId26.png"/><Relationship Id="rId33" Type="http://schemas.openxmlformats.org/officeDocument/2006/relationships/image" Target="media/rId33.png"/><Relationship Id="rId57" Type="http://schemas.openxmlformats.org/officeDocument/2006/relationships/image" Target="media/rId57.png"/><Relationship Id="rId74" Type="http://schemas.openxmlformats.org/officeDocument/2006/relationships/image" Target="media/rId74.png"/><Relationship Id="rId87" Type="http://schemas.openxmlformats.org/officeDocument/2006/relationships/hyperlink" Target="https://developer.mozilla.org/en-US/observatory/analyze?host=asg-ods.ai.studio" TargetMode="External"/><Relationship Id="rId85" Type="http://schemas.openxmlformats.org/officeDocument/2006/relationships/hyperlink" Target="https://github.com/desenvolvimentoprofissional-oss/asg-ods/tree/9a126c65ba902e19b31bc695be0ccc172df7167f" TargetMode="External"/><Relationship Id="rId89" Type="http://schemas.openxmlformats.org/officeDocument/2006/relationships/hyperlink" Target="https://pagespeed.web.dev/analysis/https-asg-ods-ai-studio/0k2ziok12q?form_factor=desktop" TargetMode="External"/><Relationship Id="rId88" Type="http://schemas.openxmlformats.org/officeDocument/2006/relationships/hyperlink" Target="https://pagespeed.web.dev/analysis/https-asg-ods-ai-studio/0k2ziok12q?form_factor=mobile" TargetMode="External"/><Relationship Id="rId90" Type="http://schemas.openxmlformats.org/officeDocument/2006/relationships/hyperlink" Target="https://securityheaders.com/?q=https%3A%2F%2Fasg-ods.ai.studio%2F&amp;followRedirects=on" TargetMode="External"/><Relationship Id="rId92" Type="http://schemas.openxmlformats.org/officeDocument/2006/relationships/hyperlink" Target="https://wave.webaim.org/report#/https://asg-ods.ai.studio/" TargetMode="External"/><Relationship Id="rId93" Type="http://schemas.openxmlformats.org/officeDocument/2006/relationships/hyperlink" Target="https://webbkoll.5july.net/en/results?url=http%3A%2F%2Fasg-ods.ai.studio%2F" TargetMode="External"/><Relationship Id="rId91" Type="http://schemas.openxmlformats.org/officeDocument/2006/relationships/hyperlink" Target="https://www.catchpoint.com/webpagetest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/Relationships>
</file>

<file path=word/_rels/footnotes.xml.rels><?xml version='1.0' encoding='UTF-8' standalone='yes'?>
<Relationships xmlns="http://schemas.openxmlformats.org/package/2006/relationships"><Relationship Id="rId87" Type="http://schemas.openxmlformats.org/officeDocument/2006/relationships/hyperlink" Target="https://developer.mozilla.org/en-US/observatory/analyze?host=asg-ods.ai.studio" TargetMode="External"/><Relationship Id="rId85" Type="http://schemas.openxmlformats.org/officeDocument/2006/relationships/hyperlink" Target="https://github.com/desenvolvimentoprofissional-oss/asg-ods/tree/9a126c65ba902e19b31bc695be0ccc172df7167f" TargetMode="External"/><Relationship Id="rId89" Type="http://schemas.openxmlformats.org/officeDocument/2006/relationships/hyperlink" Target="https://pagespeed.web.dev/analysis/https-asg-ods-ai-studio/0k2ziok12q?form_factor=desktop" TargetMode="External"/><Relationship Id="rId88" Type="http://schemas.openxmlformats.org/officeDocument/2006/relationships/hyperlink" Target="https://pagespeed.web.dev/analysis/https-asg-ods-ai-studio/0k2ziok12q?form_factor=mobile" TargetMode="External"/><Relationship Id="rId90" Type="http://schemas.openxmlformats.org/officeDocument/2006/relationships/hyperlink" Target="https://securityheaders.com/?q=https%3A%2F%2Fasg-ods.ai.studio%2F&amp;followRedirects=on" TargetMode="External"/><Relationship Id="rId92" Type="http://schemas.openxmlformats.org/officeDocument/2006/relationships/hyperlink" Target="https://wave.webaim.org/report#/https://asg-ods.ai.studio/" TargetMode="External"/><Relationship Id="rId93" Type="http://schemas.openxmlformats.org/officeDocument/2006/relationships/hyperlink" Target="https://webbkoll.5july.net/en/results?url=http%3A%2F%2Fasg-ods.ai.studio%2F" TargetMode="External"/><Relationship Id="rId91" Type="http://schemas.openxmlformats.org/officeDocument/2006/relationships/hyperlink" Target="https://www.catchpoint.com/webpaget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Técnica — Componente Curricular de ASG e ODS</dc:title>
  <dc:creator>Documentação do projeto ASG-ODS</dc:creator>
  <dc:language>pt-BR</dc:language>
  <cp:keywords/>
  <dcterms:created xsi:type="dcterms:W3CDTF">2026-10-13T20:01:16Z</dcterms:created>
  <dcterms:modified xsi:type="dcterms:W3CDTF">2026-10-13T20:01:16Z</dcterms:modified>
  <dc:subject>Descrição da arquitetura, interface, API, dados e operação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