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Artwork"/>
        <w:spacing w:before="0" w:after="11691"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7423920"/>
            <wp:effectExtent l="0" t="0" r="0" b="0"/>
            <wp:wrapNone/>
            <wp:docPr id="86" name="Picture 86" descr="Composição gráfica da capa aprovada: logo CRA-SP branco, banner principal e identificação do componente; metadados da edição em texto editável abaixo."/>
            <wp:cNvGraphicFramePr>
              <a:graphicFrameLocks noChangeAspect="1"/>
            </wp:cNvGraphicFramePr>
            <a:graphic>
              <a:graphicData uri="http://schemas.openxmlformats.org/drawingml/2006/picture">
                <pic:pic>
                  <pic:nvPicPr>
                    <pic:cNvPr id="0" name="exec-45f0ba9c-dd3e-4b1f-9a4a-94ee3bbc243c.png"/>
                    <pic:cNvPicPr/>
                  </pic:nvPicPr>
                  <pic:blipFill>
                    <a:blip r:embed="rId9"/>
                    <a:srcRect b="30516"/>
                    <a:stretch>
                      <a:fillRect/>
                    </a:stretch>
                  </pic:blipFill>
                  <pic:spPr>
                    <a:xfrm>
                      <a:off x="0" y="0"/>
                      <a:ext cx="7560000" cy="7423920"/>
                    </a:xfrm>
                    <a:prstGeom prst="rect"/>
                  </pic:spPr>
                </pic:pic>
              </a:graphicData>
            </a:graphic>
          </wp:anchor>
        </w:drawing>
      </w:r>
    </w:p>
    <w:tbl>
      <w:tblPr>
        <w:tblW w:type="auto" w:w="0"/>
        <w:tblLayout w:type="fixed"/>
        <w:tblLook w:firstColumn="1" w:firstRow="1" w:lastColumn="0" w:lastRow="0" w:noHBand="0" w:noVBand="1" w:val="04A0"/>
        <w:tblCellMar>
          <w:top w:w="410" w:type="dxa"/>
          <w:bottom w:w="220" w:type="dxa"/>
          <w:left w:w="1000" w:type="dxa"/>
          <w:right w:w="1000" w:type="dxa"/>
        </w:tblCellMar>
        <w:tblBorders>
          <w:bottom w:val="single" w:sz="16" w:color="233B82"/>
        </w:tblBorders>
      </w:tblPr>
      <w:tblGrid>
        <w:gridCol w:w="11906"/>
      </w:tblGrid>
      <w:tr>
        <w:trPr>
          <w:trHeight w:val="3742" w:hRule="atLeast"/>
        </w:trPr>
        <w:tc>
          <w:tcPr>
            <w:tcW w:type="dxa" w:w="11906"/>
            <w:shd w:fill="F1F4F8"/>
          </w:tcPr>
          <w:p>
            <w:pPr>
              <w:pStyle w:val="DocMetadata"/>
              <w:spacing w:after="160"/>
            </w:pPr>
            <w:r>
              <w:rPr>
                <w:b/>
                <w:color w:val="233B82"/>
                <w:sz w:val="19"/>
              </w:rPr>
              <w:t>Edição 2.0 · 15 de outubro de 2026</w:t>
            </w:r>
          </w:p>
          <w:p>
            <w:pPr>
              <w:pStyle w:val="DocMetadata"/>
              <w:spacing w:after="160"/>
            </w:pPr>
            <w:r>
              <w:rPr>
                <w:b w:val="0"/>
                <w:color w:val="233B82"/>
                <w:sz w:val="19"/>
              </w:rPr>
              <w:t>Repositório: desenvolvimentoprofissional-oss/asg-ods</w:t>
            </w:r>
          </w:p>
          <w:p>
            <w:pPr>
              <w:pStyle w:val="DocMetadata"/>
              <w:spacing w:after="160"/>
            </w:pPr>
            <w:r>
              <w:rPr>
                <w:b w:val="0"/>
                <w:color w:val="233B82"/>
                <w:sz w:val="19"/>
              </w:rPr>
              <w:t>Código de referência: main · 1d05eb6</w:t>
            </w:r>
          </w:p>
          <w:p>
            <w:pPr>
              <w:pStyle w:val="DocMetadata"/>
              <w:spacing w:after="160"/>
            </w:pPr>
            <w:r>
              <w:rPr>
                <w:b w:val="0"/>
                <w:color w:val="233B82"/>
                <w:sz w:val="19"/>
              </w:rPr>
              <w:t>Revisão completa: 1d05eb64bfdb9f7f579221a144165a66f1ba25e4</w:t>
            </w:r>
          </w:p>
          <w:p>
            <w:pPr>
              <w:pStyle w:val="DocMetadata"/>
              <w:spacing w:after="160"/>
            </w:pPr>
            <w:r>
              <w:rPr>
                <w:b w:val="0"/>
                <w:color w:val="233B82"/>
                <w:sz w:val="19"/>
              </w:rPr>
              <w:t>Ambiente de desenvolvimento: https://asg-ods.ai.studio/</w:t>
            </w:r>
          </w:p>
          <w:p>
            <w:pPr>
              <w:pStyle w:val="DocMetadata"/>
              <w:spacing w:after="160"/>
            </w:pPr>
            <w:r>
              <w:rPr>
                <w:b w:val="0"/>
                <w:color w:val="233B82"/>
                <w:sz w:val="19"/>
              </w:rPr>
              <w:t>Endereço final do site: https://asg.ods.crasp.org.br/</w:t>
            </w:r>
          </w:p>
        </w:tc>
      </w:tr>
    </w:tbl>
    <w:p>
      <w:pPr>
        <w:spacing w:before="0" w:after="0" w:line="20" w:lineRule="exact"/>
        <w:sectPr w:rsidR="00FC693F" w:rsidRPr="0006063C" w:rsidSect="00034616">
          <w:headerReference w:type="default" r:id="rId10"/>
          <w:footerReference w:type="default" r:id="rId11"/>
          <w:type w:val="nextPage"/>
          <w:pgSz w:h="16838" w:w="11906"/>
          <w:pgMar w:bottom="0" w:footer="0" w:gutter="0" w:header="0" w:left="0" w:right="0" w:top="0"/>
          <w:cols w:space="720"/>
          <w:docGrid w:linePitch="360"/>
          <w:titlePg/>
        </w:sectPr>
      </w:pPr>
      <w:r>
        <w:rPr>
          <w:sz w:val="2"/>
        </w:rPr>
      </w:r>
    </w:p>
    <w:p>
      <w:pPr>
        <w:pStyle w:val="FrontTitle"/>
      </w:pPr>
      <w:r>
        <w:t>Sumário</w:t>
      </w:r>
    </w:p>
    <w:p>
      <w:pPr>
        <w:pStyle w:val="TOC1"/>
        <w:tabs>
          <w:tab w:val="right" w:leader="dot" w:pos="9400"/>
        </w:tabs>
      </w:pPr>
      <w:r>
        <w:fldChar w:fldCharType="begin"/>
      </w:r>
      <w:r>
        <w:instrText xml:space="preserve"> TOC \o "1-2" \h \z \u </w:instrText>
      </w:r>
      <w:r>
        <w:fldChar w:fldCharType="separate"/>
      </w:r>
      <w:hyperlink w:anchor="docsec_001" w:history="1">
        <w:r>
          <w:t xml:space="preserve">1 Resultados externos e metodologia documental</w:t>
        </w:r>
        <w:r>
          <w:tab/>
        </w:r>
        <w:r>
          <w:fldChar w:fldCharType="begin"/>
        </w:r>
        <w:r>
          <w:instrText xml:space="preserve"> PAGEREF docsec_001 \h </w:instrText>
        </w:r>
        <w:r>
          <w:fldChar w:fldCharType="separate"/>
        </w:r>
        <w:r>
          <w:t xml:space="preserve">5</w:t>
        </w:r>
        <w:r>
          <w:fldChar w:fldCharType="end"/>
        </w:r>
      </w:hyperlink>
    </w:p>
    <w:p>
      <w:pPr>
        <w:pStyle w:val="TOC2"/>
        <w:tabs>
          <w:tab w:val="right" w:leader="dot" w:pos="9400"/>
        </w:tabs>
      </w:pPr>
      <w:hyperlink w:anchor="docsec_002" w:history="1">
        <w:r>
          <w:t xml:space="preserve">1.1 Quadro dos resultados dos scanners</w:t>
        </w:r>
        <w:r>
          <w:tab/>
        </w:r>
        <w:r>
          <w:fldChar w:fldCharType="begin"/>
        </w:r>
        <w:r>
          <w:instrText xml:space="preserve"> PAGEREF docsec_002 \h </w:instrText>
        </w:r>
        <w:r>
          <w:fldChar w:fldCharType="separate"/>
        </w:r>
        <w:r>
          <w:t xml:space="preserve">5</w:t>
        </w:r>
        <w:r>
          <w:fldChar w:fldCharType="end"/>
        </w:r>
      </w:hyperlink>
    </w:p>
    <w:p>
      <w:pPr>
        <w:pStyle w:val="TOC2"/>
        <w:tabs>
          <w:tab w:val="right" w:leader="dot" w:pos="9400"/>
        </w:tabs>
      </w:pPr>
      <w:hyperlink w:anchor="docsec_003" w:history="1">
        <w:r>
          <w:t xml:space="preserve">1.2 Indicadores complementares</w:t>
        </w:r>
        <w:r>
          <w:tab/>
        </w:r>
        <w:r>
          <w:fldChar w:fldCharType="begin"/>
        </w:r>
        <w:r>
          <w:instrText xml:space="preserve"> PAGEREF docsec_003 \h </w:instrText>
        </w:r>
        <w:r>
          <w:fldChar w:fldCharType="separate"/>
        </w:r>
        <w:r>
          <w:t xml:space="preserve">6</w:t>
        </w:r>
        <w:r>
          <w:fldChar w:fldCharType="end"/>
        </w:r>
      </w:hyperlink>
    </w:p>
    <w:p>
      <w:pPr>
        <w:pStyle w:val="TOC2"/>
        <w:tabs>
          <w:tab w:val="right" w:leader="dot" w:pos="9400"/>
        </w:tabs>
      </w:pPr>
      <w:hyperlink w:anchor="docsec_004" w:history="1">
        <w:r>
          <w:t xml:space="preserve">1.3 Identificação e metodologia</w:t>
        </w:r>
        <w:r>
          <w:tab/>
        </w:r>
        <w:r>
          <w:fldChar w:fldCharType="begin"/>
        </w:r>
        <w:r>
          <w:instrText xml:space="preserve"> PAGEREF docsec_004 \h </w:instrText>
        </w:r>
        <w:r>
          <w:fldChar w:fldCharType="separate"/>
        </w:r>
        <w:r>
          <w:t xml:space="preserve">9</w:t>
        </w:r>
        <w:r>
          <w:fldChar w:fldCharType="end"/>
        </w:r>
      </w:hyperlink>
    </w:p>
    <w:p>
      <w:pPr>
        <w:pStyle w:val="TOC2"/>
        <w:tabs>
          <w:tab w:val="right" w:leader="dot" w:pos="9400"/>
        </w:tabs>
      </w:pPr>
      <w:hyperlink w:anchor="docsec_005" w:history="1">
        <w:r>
          <w:t xml:space="preserve">1.4 Cobertura e limites das evidências</w:t>
        </w:r>
        <w:r>
          <w:tab/>
        </w:r>
        <w:r>
          <w:fldChar w:fldCharType="begin"/>
        </w:r>
        <w:r>
          <w:instrText xml:space="preserve"> PAGEREF docsec_005 \h </w:instrText>
        </w:r>
        <w:r>
          <w:fldChar w:fldCharType="separate"/>
        </w:r>
        <w:r>
          <w:t xml:space="preserve">9</w:t>
        </w:r>
        <w:r>
          <w:fldChar w:fldCharType="end"/>
        </w:r>
      </w:hyperlink>
    </w:p>
    <w:p>
      <w:pPr>
        <w:pStyle w:val="TOC1"/>
        <w:tabs>
          <w:tab w:val="right" w:leader="dot" w:pos="9400"/>
        </w:tabs>
      </w:pPr>
      <w:hyperlink w:anchor="docsec_006" w:history="1">
        <w:r>
          <w:t xml:space="preserve">2 Visão do produto e arquitetura</w:t>
        </w:r>
        <w:r>
          <w:tab/>
        </w:r>
        <w:r>
          <w:fldChar w:fldCharType="begin"/>
        </w:r>
        <w:r>
          <w:instrText xml:space="preserve"> PAGEREF docsec_006 \h </w:instrText>
        </w:r>
        <w:r>
          <w:fldChar w:fldCharType="separate"/>
        </w:r>
        <w:r>
          <w:t xml:space="preserve">11</w:t>
        </w:r>
        <w:r>
          <w:fldChar w:fldCharType="end"/>
        </w:r>
      </w:hyperlink>
    </w:p>
    <w:p>
      <w:pPr>
        <w:pStyle w:val="TOC2"/>
        <w:tabs>
          <w:tab w:val="right" w:leader="dot" w:pos="9400"/>
        </w:tabs>
      </w:pPr>
      <w:hyperlink w:anchor="docsec_007" w:history="1">
        <w:r>
          <w:t xml:space="preserve">2.1 Finalidade e público</w:t>
        </w:r>
        <w:r>
          <w:tab/>
        </w:r>
        <w:r>
          <w:fldChar w:fldCharType="begin"/>
        </w:r>
        <w:r>
          <w:instrText xml:space="preserve"> PAGEREF docsec_007 \h </w:instrText>
        </w:r>
        <w:r>
          <w:fldChar w:fldCharType="separate"/>
        </w:r>
        <w:r>
          <w:t xml:space="preserve">11</w:t>
        </w:r>
        <w:r>
          <w:fldChar w:fldCharType="end"/>
        </w:r>
      </w:hyperlink>
    </w:p>
    <w:p>
      <w:pPr>
        <w:pStyle w:val="TOC2"/>
        <w:tabs>
          <w:tab w:val="right" w:leader="dot" w:pos="9400"/>
        </w:tabs>
      </w:pPr>
      <w:hyperlink w:anchor="docsec_008" w:history="1">
        <w:r>
          <w:t xml:space="preserve">2.2 Estrutura do produto</w:t>
        </w:r>
        <w:r>
          <w:tab/>
        </w:r>
        <w:r>
          <w:fldChar w:fldCharType="begin"/>
        </w:r>
        <w:r>
          <w:instrText xml:space="preserve"> PAGEREF docsec_008 \h </w:instrText>
        </w:r>
        <w:r>
          <w:fldChar w:fldCharType="separate"/>
        </w:r>
        <w:r>
          <w:t xml:space="preserve">11</w:t>
        </w:r>
        <w:r>
          <w:fldChar w:fldCharType="end"/>
        </w:r>
      </w:hyperlink>
    </w:p>
    <w:p>
      <w:pPr>
        <w:pStyle w:val="TOC2"/>
        <w:tabs>
          <w:tab w:val="right" w:leader="dot" w:pos="9400"/>
        </w:tabs>
      </w:pPr>
      <w:hyperlink w:anchor="docsec_009" w:history="1">
        <w:r>
          <w:t xml:space="preserve">2.3 Mapa de páginas e percurso de navegação</w:t>
        </w:r>
        <w:r>
          <w:tab/>
        </w:r>
        <w:r>
          <w:fldChar w:fldCharType="begin"/>
        </w:r>
        <w:r>
          <w:instrText xml:space="preserve"> PAGEREF docsec_009 \h </w:instrText>
        </w:r>
        <w:r>
          <w:fldChar w:fldCharType="separate"/>
        </w:r>
        <w:r>
          <w:t xml:space="preserve">12</w:t>
        </w:r>
        <w:r>
          <w:fldChar w:fldCharType="end"/>
        </w:r>
      </w:hyperlink>
    </w:p>
    <w:p>
      <w:pPr>
        <w:pStyle w:val="TOC2"/>
        <w:tabs>
          <w:tab w:val="right" w:leader="dot" w:pos="9400"/>
        </w:tabs>
      </w:pPr>
      <w:hyperlink w:anchor="docsec_010" w:history="1">
        <w:r>
          <w:t xml:space="preserve">2.4 Composição da interface</w:t>
        </w:r>
        <w:r>
          <w:tab/>
        </w:r>
        <w:r>
          <w:fldChar w:fldCharType="begin"/>
        </w:r>
        <w:r>
          <w:instrText xml:space="preserve"> PAGEREF docsec_010 \h </w:instrText>
        </w:r>
        <w:r>
          <w:fldChar w:fldCharType="separate"/>
        </w:r>
        <w:r>
          <w:t xml:space="preserve">13</w:t>
        </w:r>
        <w:r>
          <w:fldChar w:fldCharType="end"/>
        </w:r>
      </w:hyperlink>
    </w:p>
    <w:p>
      <w:pPr>
        <w:pStyle w:val="TOC2"/>
        <w:tabs>
          <w:tab w:val="right" w:leader="dot" w:pos="9400"/>
        </w:tabs>
      </w:pPr>
      <w:hyperlink w:anchor="docsec_011" w:history="1">
        <w:r>
          <w:t xml:space="preserve">2.5 Catálogos, textos e identidade visual</w:t>
        </w:r>
        <w:r>
          <w:tab/>
        </w:r>
        <w:r>
          <w:fldChar w:fldCharType="begin"/>
        </w:r>
        <w:r>
          <w:instrText xml:space="preserve"> PAGEREF docsec_011 \h </w:instrText>
        </w:r>
        <w:r>
          <w:fldChar w:fldCharType="separate"/>
        </w:r>
        <w:r>
          <w:t xml:space="preserve">14</w:t>
        </w:r>
        <w:r>
          <w:fldChar w:fldCharType="end"/>
        </w:r>
      </w:hyperlink>
    </w:p>
    <w:p>
      <w:pPr>
        <w:pStyle w:val="TOC2"/>
        <w:tabs>
          <w:tab w:val="right" w:leader="dot" w:pos="9400"/>
        </w:tabs>
      </w:pPr>
      <w:hyperlink w:anchor="docsec_012" w:history="1">
        <w:r>
          <w:t xml:space="preserve">2.6 Interações e recursos globais</w:t>
        </w:r>
        <w:r>
          <w:tab/>
        </w:r>
        <w:r>
          <w:fldChar w:fldCharType="begin"/>
        </w:r>
        <w:r>
          <w:instrText xml:space="preserve"> PAGEREF docsec_012 \h </w:instrText>
        </w:r>
        <w:r>
          <w:fldChar w:fldCharType="separate"/>
        </w:r>
        <w:r>
          <w:t xml:space="preserve">14</w:t>
        </w:r>
        <w:r>
          <w:fldChar w:fldCharType="end"/>
        </w:r>
      </w:hyperlink>
    </w:p>
    <w:p>
      <w:pPr>
        <w:pStyle w:val="TOC2"/>
        <w:tabs>
          <w:tab w:val="right" w:leader="dot" w:pos="9400"/>
        </w:tabs>
      </w:pPr>
      <w:hyperlink w:anchor="docsec_013" w:history="1">
        <w:r>
          <w:t xml:space="preserve">2.7 Fronteiras entre as camadas</w:t>
        </w:r>
        <w:r>
          <w:tab/>
        </w:r>
        <w:r>
          <w:fldChar w:fldCharType="begin"/>
        </w:r>
        <w:r>
          <w:instrText xml:space="preserve"> PAGEREF docsec_013 \h </w:instrText>
        </w:r>
        <w:r>
          <w:fldChar w:fldCharType="separate"/>
        </w:r>
        <w:r>
          <w:t xml:space="preserve">15</w:t>
        </w:r>
        <w:r>
          <w:fldChar w:fldCharType="end"/>
        </w:r>
      </w:hyperlink>
    </w:p>
    <w:p>
      <w:pPr>
        <w:pStyle w:val="TOC2"/>
        <w:tabs>
          <w:tab w:val="right" w:leader="dot" w:pos="9400"/>
        </w:tabs>
      </w:pPr>
      <w:hyperlink w:anchor="docsec_014" w:history="1">
        <w:r>
          <w:t xml:space="preserve">2.8 Operação principal conectando as camadas</w:t>
        </w:r>
        <w:r>
          <w:tab/>
        </w:r>
        <w:r>
          <w:fldChar w:fldCharType="begin"/>
        </w:r>
        <w:r>
          <w:instrText xml:space="preserve"> PAGEREF docsec_014 \h </w:instrText>
        </w:r>
        <w:r>
          <w:fldChar w:fldCharType="separate"/>
        </w:r>
        <w:r>
          <w:t xml:space="preserve">16</w:t>
        </w:r>
        <w:r>
          <w:fldChar w:fldCharType="end"/>
        </w:r>
      </w:hyperlink>
    </w:p>
    <w:p>
      <w:pPr>
        <w:pStyle w:val="TOC1"/>
        <w:tabs>
          <w:tab w:val="right" w:leader="dot" w:pos="9400"/>
        </w:tabs>
      </w:pPr>
      <w:hyperlink w:anchor="docsec_015" w:history="1">
        <w:r>
          <w:t xml:space="preserve">3 Interface web, navegação e interação</w:t>
        </w:r>
        <w:r>
          <w:tab/>
        </w:r>
        <w:r>
          <w:fldChar w:fldCharType="begin"/>
        </w:r>
        <w:r>
          <w:instrText xml:space="preserve"> PAGEREF docsec_015 \h </w:instrText>
        </w:r>
        <w:r>
          <w:fldChar w:fldCharType="separate"/>
        </w:r>
        <w:r>
          <w:t xml:space="preserve">18</w:t>
        </w:r>
        <w:r>
          <w:fldChar w:fldCharType="end"/>
        </w:r>
      </w:hyperlink>
    </w:p>
    <w:p>
      <w:pPr>
        <w:pStyle w:val="TOC2"/>
        <w:tabs>
          <w:tab w:val="right" w:leader="dot" w:pos="9400"/>
        </w:tabs>
      </w:pPr>
      <w:hyperlink w:anchor="docsec_016" w:history="1">
        <w:r>
          <w:t xml:space="preserve">3.1 Montagem da aplicação</w:t>
        </w:r>
        <w:r>
          <w:tab/>
        </w:r>
        <w:r>
          <w:fldChar w:fldCharType="begin"/>
        </w:r>
        <w:r>
          <w:instrText xml:space="preserve"> PAGEREF docsec_016 \h </w:instrText>
        </w:r>
        <w:r>
          <w:fldChar w:fldCharType="separate"/>
        </w:r>
        <w:r>
          <w:t xml:space="preserve">18</w:t>
        </w:r>
        <w:r>
          <w:fldChar w:fldCharType="end"/>
        </w:r>
      </w:hyperlink>
    </w:p>
    <w:p>
      <w:pPr>
        <w:pStyle w:val="TOC2"/>
        <w:tabs>
          <w:tab w:val="right" w:leader="dot" w:pos="9400"/>
        </w:tabs>
      </w:pPr>
      <w:hyperlink w:anchor="docsec_017" w:history="1">
        <w:r>
          <w:t xml:space="preserve">3.2 Rotas e páginas</w:t>
        </w:r>
        <w:r>
          <w:tab/>
        </w:r>
        <w:r>
          <w:fldChar w:fldCharType="begin"/>
        </w:r>
        <w:r>
          <w:instrText xml:space="preserve"> PAGEREF docsec_017 \h </w:instrText>
        </w:r>
        <w:r>
          <w:fldChar w:fldCharType="separate"/>
        </w:r>
        <w:r>
          <w:t xml:space="preserve">18</w:t>
        </w:r>
        <w:r>
          <w:fldChar w:fldCharType="end"/>
        </w:r>
      </w:hyperlink>
    </w:p>
    <w:p>
      <w:pPr>
        <w:pStyle w:val="TOC2"/>
        <w:tabs>
          <w:tab w:val="right" w:leader="dot" w:pos="9400"/>
        </w:tabs>
      </w:pPr>
      <w:hyperlink w:anchor="docsec_018" w:history="1">
        <w:r>
          <w:t xml:space="preserve">3.3 Layouts e navegação</w:t>
        </w:r>
        <w:r>
          <w:tab/>
        </w:r>
        <w:r>
          <w:fldChar w:fldCharType="begin"/>
        </w:r>
        <w:r>
          <w:instrText xml:space="preserve"> PAGEREF docsec_018 \h </w:instrText>
        </w:r>
        <w:r>
          <w:fldChar w:fldCharType="separate"/>
        </w:r>
        <w:r>
          <w:t xml:space="preserve">19</w:t>
        </w:r>
        <w:r>
          <w:fldChar w:fldCharType="end"/>
        </w:r>
      </w:hyperlink>
    </w:p>
    <w:p>
      <w:pPr>
        <w:pStyle w:val="TOC2"/>
        <w:tabs>
          <w:tab w:val="right" w:leader="dot" w:pos="9400"/>
        </w:tabs>
      </w:pPr>
      <w:hyperlink w:anchor="docsec_019" w:history="1">
        <w:r>
          <w:t xml:space="preserve">3.4 Formulários e componentes</w:t>
        </w:r>
        <w:r>
          <w:tab/>
        </w:r>
        <w:r>
          <w:fldChar w:fldCharType="begin"/>
        </w:r>
        <w:r>
          <w:instrText xml:space="preserve"> PAGEREF docsec_019 \h </w:instrText>
        </w:r>
        <w:r>
          <w:fldChar w:fldCharType="separate"/>
        </w:r>
        <w:r>
          <w:t xml:space="preserve">19</w:t>
        </w:r>
        <w:r>
          <w:fldChar w:fldCharType="end"/>
        </w:r>
      </w:hyperlink>
    </w:p>
    <w:p>
      <w:pPr>
        <w:pStyle w:val="TOC2"/>
        <w:tabs>
          <w:tab w:val="right" w:leader="dot" w:pos="9400"/>
        </w:tabs>
      </w:pPr>
      <w:hyperlink w:anchor="docsec_020" w:history="1">
        <w:r>
          <w:t xml:space="preserve">3.5 Envio, mensagens e confirmação</w:t>
        </w:r>
        <w:r>
          <w:tab/>
        </w:r>
        <w:r>
          <w:fldChar w:fldCharType="begin"/>
        </w:r>
        <w:r>
          <w:instrText xml:space="preserve"> PAGEREF docsec_020 \h </w:instrText>
        </w:r>
        <w:r>
          <w:fldChar w:fldCharType="separate"/>
        </w:r>
        <w:r>
          <w:t xml:space="preserve">20</w:t>
        </w:r>
        <w:r>
          <w:fldChar w:fldCharType="end"/>
        </w:r>
      </w:hyperlink>
    </w:p>
    <w:p>
      <w:pPr>
        <w:pStyle w:val="TOC2"/>
        <w:tabs>
          <w:tab w:val="right" w:leader="dot" w:pos="9400"/>
        </w:tabs>
      </w:pPr>
      <w:hyperlink w:anchor="docsec_021" w:history="1">
        <w:r>
          <w:t xml:space="preserve">3.6 Preferências e recursos de acessibilidade</w:t>
        </w:r>
        <w:r>
          <w:tab/>
        </w:r>
        <w:r>
          <w:fldChar w:fldCharType="begin"/>
        </w:r>
        <w:r>
          <w:instrText xml:space="preserve"> PAGEREF docsec_021 \h </w:instrText>
        </w:r>
        <w:r>
          <w:fldChar w:fldCharType="separate"/>
        </w:r>
        <w:r>
          <w:t xml:space="preserve">21</w:t>
        </w:r>
        <w:r>
          <w:fldChar w:fldCharType="end"/>
        </w:r>
      </w:hyperlink>
    </w:p>
    <w:p>
      <w:pPr>
        <w:pStyle w:val="TOC2"/>
        <w:tabs>
          <w:tab w:val="right" w:leader="dot" w:pos="9400"/>
        </w:tabs>
      </w:pPr>
      <w:hyperlink w:anchor="docsec_022" w:history="1">
        <w:r>
          <w:t xml:space="preserve">3.7 Governança e privacidade</w:t>
        </w:r>
        <w:r>
          <w:tab/>
        </w:r>
        <w:r>
          <w:fldChar w:fldCharType="begin"/>
        </w:r>
        <w:r>
          <w:instrText xml:space="preserve"> PAGEREF docsec_022 \h </w:instrText>
        </w:r>
        <w:r>
          <w:fldChar w:fldCharType="separate"/>
        </w:r>
        <w:r>
          <w:t xml:space="preserve">22</w:t>
        </w:r>
        <w:r>
          <w:fldChar w:fldCharType="end"/>
        </w:r>
      </w:hyperlink>
    </w:p>
    <w:p>
      <w:pPr>
        <w:pStyle w:val="TOC2"/>
        <w:tabs>
          <w:tab w:val="right" w:leader="dot" w:pos="9400"/>
        </w:tabs>
      </w:pPr>
      <w:hyperlink w:anchor="docsec_023" w:history="1">
        <w:r>
          <w:t xml:space="preserve">3.8 Navegação por teclado e apresentação</w:t>
        </w:r>
        <w:r>
          <w:tab/>
        </w:r>
        <w:r>
          <w:fldChar w:fldCharType="begin"/>
        </w:r>
        <w:r>
          <w:instrText xml:space="preserve"> PAGEREF docsec_023 \h </w:instrText>
        </w:r>
        <w:r>
          <w:fldChar w:fldCharType="separate"/>
        </w:r>
        <w:r>
          <w:t xml:space="preserve">22</w:t>
        </w:r>
        <w:r>
          <w:fldChar w:fldCharType="end"/>
        </w:r>
      </w:hyperlink>
    </w:p>
    <w:p>
      <w:pPr>
        <w:pStyle w:val="TOC2"/>
        <w:tabs>
          <w:tab w:val="right" w:leader="dot" w:pos="9400"/>
        </w:tabs>
      </w:pPr>
      <w:hyperlink w:anchor="docsec_024" w:history="1">
        <w:r>
          <w:t xml:space="preserve">3.9 Inventário funcional dos componentes</w:t>
        </w:r>
        <w:r>
          <w:tab/>
        </w:r>
        <w:r>
          <w:fldChar w:fldCharType="begin"/>
        </w:r>
        <w:r>
          <w:instrText xml:space="preserve"> PAGEREF docsec_024 \h </w:instrText>
        </w:r>
        <w:r>
          <w:fldChar w:fldCharType="separate"/>
        </w:r>
        <w:r>
          <w:t xml:space="preserve">23</w:t>
        </w:r>
        <w:r>
          <w:fldChar w:fldCharType="end"/>
        </w:r>
      </w:hyperlink>
    </w:p>
    <w:p>
      <w:pPr>
        <w:pStyle w:val="TOC1"/>
        <w:tabs>
          <w:tab w:val="right" w:leader="dot" w:pos="9400"/>
        </w:tabs>
      </w:pPr>
      <w:hyperlink w:anchor="docsec_025" w:history="1">
        <w:r>
          <w:t xml:space="preserve">4 Backend, API e processamento das requisições</w:t>
        </w:r>
        <w:r>
          <w:tab/>
        </w:r>
        <w:r>
          <w:fldChar w:fldCharType="begin"/>
        </w:r>
        <w:r>
          <w:instrText xml:space="preserve"> PAGEREF docsec_025 \h </w:instrText>
        </w:r>
        <w:r>
          <w:fldChar w:fldCharType="separate"/>
        </w:r>
        <w:r>
          <w:t xml:space="preserve">25</w:t>
        </w:r>
        <w:r>
          <w:fldChar w:fldCharType="end"/>
        </w:r>
      </w:hyperlink>
    </w:p>
    <w:p>
      <w:pPr>
        <w:pStyle w:val="TOC2"/>
        <w:tabs>
          <w:tab w:val="right" w:leader="dot" w:pos="9400"/>
        </w:tabs>
      </w:pPr>
      <w:hyperlink w:anchor="docsec_026" w:history="1">
        <w:r>
          <w:t xml:space="preserve">4.1 Organização do servidor</w:t>
        </w:r>
        <w:r>
          <w:tab/>
        </w:r>
        <w:r>
          <w:fldChar w:fldCharType="begin"/>
        </w:r>
        <w:r>
          <w:instrText xml:space="preserve"> PAGEREF docsec_026 \h </w:instrText>
        </w:r>
        <w:r>
          <w:fldChar w:fldCharType="separate"/>
        </w:r>
        <w:r>
          <w:t xml:space="preserve">25</w:t>
        </w:r>
        <w:r>
          <w:fldChar w:fldCharType="end"/>
        </w:r>
      </w:hyperlink>
    </w:p>
    <w:p>
      <w:pPr>
        <w:pStyle w:val="TOC2"/>
        <w:tabs>
          <w:tab w:val="right" w:leader="dot" w:pos="9400"/>
        </w:tabs>
      </w:pPr>
      <w:hyperlink w:anchor="docsec_027" w:history="1">
        <w:r>
          <w:t xml:space="preserve">4.2 Ordem dos middlewares e limites</w:t>
        </w:r>
        <w:r>
          <w:tab/>
        </w:r>
        <w:r>
          <w:fldChar w:fldCharType="begin"/>
        </w:r>
        <w:r>
          <w:instrText xml:space="preserve"> PAGEREF docsec_027 \h </w:instrText>
        </w:r>
        <w:r>
          <w:fldChar w:fldCharType="separate"/>
        </w:r>
        <w:r>
          <w:t xml:space="preserve">25</w:t>
        </w:r>
        <w:r>
          <w:fldChar w:fldCharType="end"/>
        </w:r>
      </w:hyperlink>
    </w:p>
    <w:p>
      <w:pPr>
        <w:pStyle w:val="TOC2"/>
        <w:tabs>
          <w:tab w:val="right" w:leader="dot" w:pos="9400"/>
        </w:tabs>
      </w:pPr>
      <w:hyperlink w:anchor="docsec_028" w:history="1">
        <w:r>
          <w:t xml:space="preserve">4.3 Rotas e entrega dos recursos</w:t>
        </w:r>
        <w:r>
          <w:tab/>
        </w:r>
        <w:r>
          <w:fldChar w:fldCharType="begin"/>
        </w:r>
        <w:r>
          <w:instrText xml:space="preserve"> PAGEREF docsec_028 \h </w:instrText>
        </w:r>
        <w:r>
          <w:fldChar w:fldCharType="separate"/>
        </w:r>
        <w:r>
          <w:t xml:space="preserve">26</w:t>
        </w:r>
        <w:r>
          <w:fldChar w:fldCharType="end"/>
        </w:r>
      </w:hyperlink>
    </w:p>
    <w:p>
      <w:pPr>
        <w:pStyle w:val="TOC2"/>
        <w:tabs>
          <w:tab w:val="right" w:leader="dot" w:pos="9400"/>
        </w:tabs>
      </w:pPr>
      <w:hyperlink w:anchor="docsec_029" w:history="1">
        <w:r>
          <w:t xml:space="preserve">4.4 Contrato de entrada e normalização</w:t>
        </w:r>
        <w:r>
          <w:tab/>
        </w:r>
        <w:r>
          <w:fldChar w:fldCharType="begin"/>
        </w:r>
        <w:r>
          <w:instrText xml:space="preserve"> PAGEREF docsec_029 \h </w:instrText>
        </w:r>
        <w:r>
          <w:fldChar w:fldCharType="separate"/>
        </w:r>
        <w:r>
          <w:t xml:space="preserve">27</w:t>
        </w:r>
        <w:r>
          <w:fldChar w:fldCharType="end"/>
        </w:r>
      </w:hyperlink>
    </w:p>
    <w:p>
      <w:pPr>
        <w:pStyle w:val="TOC2"/>
        <w:tabs>
          <w:tab w:val="right" w:leader="dot" w:pos="9400"/>
        </w:tabs>
      </w:pPr>
      <w:hyperlink w:anchor="docsec_030" w:history="1">
        <w:r>
          <w:t xml:space="preserve">4.5 Respostas HTTP e integração com a interface</w:t>
        </w:r>
        <w:r>
          <w:tab/>
        </w:r>
        <w:r>
          <w:fldChar w:fldCharType="begin"/>
        </w:r>
        <w:r>
          <w:instrText xml:space="preserve"> PAGEREF docsec_030 \h </w:instrText>
        </w:r>
        <w:r>
          <w:fldChar w:fldCharType="separate"/>
        </w:r>
        <w:r>
          <w:t xml:space="preserve">28</w:t>
        </w:r>
        <w:r>
          <w:fldChar w:fldCharType="end"/>
        </w:r>
      </w:hyperlink>
    </w:p>
    <w:p>
      <w:pPr>
        <w:pStyle w:val="TOC2"/>
        <w:tabs>
          <w:tab w:val="right" w:leader="dot" w:pos="9400"/>
        </w:tabs>
      </w:pPr>
      <w:hyperlink w:anchor="docsec_031" w:history="1">
        <w:r>
          <w:t xml:space="preserve">4.6 Caminho completo da operação principal</w:t>
        </w:r>
        <w:r>
          <w:tab/>
        </w:r>
        <w:r>
          <w:fldChar w:fldCharType="begin"/>
        </w:r>
        <w:r>
          <w:instrText xml:space="preserve"> PAGEREF docsec_031 \h </w:instrText>
        </w:r>
        <w:r>
          <w:fldChar w:fldCharType="separate"/>
        </w:r>
        <w:r>
          <w:t xml:space="preserve">29</w:t>
        </w:r>
        <w:r>
          <w:fldChar w:fldCharType="end"/>
        </w:r>
      </w:hyperlink>
    </w:p>
    <w:p>
      <w:pPr>
        <w:pStyle w:val="TOC1"/>
        <w:tabs>
          <w:tab w:val="right" w:leader="dot" w:pos="9400"/>
        </w:tabs>
      </w:pPr>
      <w:hyperlink w:anchor="docsec_032" w:history="1">
        <w:r>
          <w:t xml:space="preserve">5 Serviços, dados, persistência e criptografia</w:t>
        </w:r>
        <w:r>
          <w:tab/>
        </w:r>
        <w:r>
          <w:fldChar w:fldCharType="begin"/>
        </w:r>
        <w:r>
          <w:instrText xml:space="preserve"> PAGEREF docsec_032 \h </w:instrText>
        </w:r>
        <w:r>
          <w:fldChar w:fldCharType="separate"/>
        </w:r>
        <w:r>
          <w:t xml:space="preserve">30</w:t>
        </w:r>
        <w:r>
          <w:fldChar w:fldCharType="end"/>
        </w:r>
      </w:hyperlink>
    </w:p>
    <w:p>
      <w:pPr>
        <w:pStyle w:val="TOC2"/>
        <w:tabs>
          <w:tab w:val="right" w:leader="dot" w:pos="9400"/>
        </w:tabs>
      </w:pPr>
      <w:hyperlink w:anchor="docsec_033" w:history="1">
        <w:r>
          <w:t xml:space="preserve">5.1 Configuração dos serviços e seleção do banco</w:t>
        </w:r>
        <w:r>
          <w:tab/>
        </w:r>
        <w:r>
          <w:fldChar w:fldCharType="begin"/>
        </w:r>
        <w:r>
          <w:instrText xml:space="preserve"> PAGEREF docsec_033 \h </w:instrText>
        </w:r>
        <w:r>
          <w:fldChar w:fldCharType="separate"/>
        </w:r>
        <w:r>
          <w:t xml:space="preserve">30</w:t>
        </w:r>
        <w:r>
          <w:fldChar w:fldCharType="end"/>
        </w:r>
      </w:hyperlink>
    </w:p>
    <w:p>
      <w:pPr>
        <w:pStyle w:val="TOC2"/>
        <w:tabs>
          <w:tab w:val="right" w:leader="dot" w:pos="9400"/>
        </w:tabs>
      </w:pPr>
      <w:hyperlink w:anchor="docsec_034" w:history="1">
        <w:r>
          <w:t xml:space="preserve">5.2 Entidades, coleções e vínculos</w:t>
        </w:r>
        <w:r>
          <w:tab/>
        </w:r>
        <w:r>
          <w:fldChar w:fldCharType="begin"/>
        </w:r>
        <w:r>
          <w:instrText xml:space="preserve"> PAGEREF docsec_034 \h </w:instrText>
        </w:r>
        <w:r>
          <w:fldChar w:fldCharType="separate"/>
        </w:r>
        <w:r>
          <w:t xml:space="preserve">30</w:t>
        </w:r>
        <w:r>
          <w:fldChar w:fldCharType="end"/>
        </w:r>
      </w:hyperlink>
    </w:p>
    <w:p>
      <w:pPr>
        <w:pStyle w:val="TOC2"/>
        <w:tabs>
          <w:tab w:val="right" w:leader="dot" w:pos="9400"/>
        </w:tabs>
      </w:pPr>
      <w:hyperlink w:anchor="docsec_035" w:history="1">
        <w:r>
          <w:t xml:space="preserve">5.3 Agregação, capacidade e crescimento</w:t>
        </w:r>
        <w:r>
          <w:tab/>
        </w:r>
        <w:r>
          <w:fldChar w:fldCharType="begin"/>
        </w:r>
        <w:r>
          <w:instrText xml:space="preserve"> PAGEREF docsec_035 \h </w:instrText>
        </w:r>
        <w:r>
          <w:fldChar w:fldCharType="separate"/>
        </w:r>
        <w:r>
          <w:t xml:space="preserve">33</w:t>
        </w:r>
        <w:r>
          <w:fldChar w:fldCharType="end"/>
        </w:r>
      </w:hyperlink>
    </w:p>
    <w:p>
      <w:pPr>
        <w:pStyle w:val="TOC2"/>
        <w:tabs>
          <w:tab w:val="right" w:leader="dot" w:pos="9400"/>
        </w:tabs>
      </w:pPr>
      <w:hyperlink w:anchor="docsec_036" w:history="1">
        <w:r>
          <w:t xml:space="preserve">5.4 Transações, unicidade e concorrência</w:t>
        </w:r>
        <w:r>
          <w:tab/>
        </w:r>
        <w:r>
          <w:fldChar w:fldCharType="begin"/>
        </w:r>
        <w:r>
          <w:instrText xml:space="preserve"> PAGEREF docsec_036 \h </w:instrText>
        </w:r>
        <w:r>
          <w:fldChar w:fldCharType="separate"/>
        </w:r>
        <w:r>
          <w:t xml:space="preserve">34</w:t>
        </w:r>
        <w:r>
          <w:fldChar w:fldCharType="end"/>
        </w:r>
      </w:hyperlink>
    </w:p>
    <w:p>
      <w:pPr>
        <w:pStyle w:val="TOC2"/>
        <w:tabs>
          <w:tab w:val="right" w:leader="dot" w:pos="9400"/>
        </w:tabs>
      </w:pPr>
      <w:hyperlink w:anchor="docsec_037" w:history="1">
        <w:r>
          <w:t xml:space="preserve">5.5 HMAC, cifragem e formatos</w:t>
        </w:r>
        <w:r>
          <w:tab/>
        </w:r>
        <w:r>
          <w:fldChar w:fldCharType="begin"/>
        </w:r>
        <w:r>
          <w:instrText xml:space="preserve"> PAGEREF docsec_037 \h </w:instrText>
        </w:r>
        <w:r>
          <w:fldChar w:fldCharType="separate"/>
        </w:r>
        <w:r>
          <w:t xml:space="preserve">34</w:t>
        </w:r>
        <w:r>
          <w:fldChar w:fldCharType="end"/>
        </w:r>
      </w:hyperlink>
    </w:p>
    <w:p>
      <w:pPr>
        <w:pStyle w:val="TOC2"/>
        <w:tabs>
          <w:tab w:val="right" w:leader="dot" w:pos="9400"/>
        </w:tabs>
      </w:pPr>
      <w:hyperlink w:anchor="docsec_038" w:history="1">
        <w:r>
          <w:t xml:space="preserve">5.6 Logs e sanitização</w:t>
        </w:r>
        <w:r>
          <w:tab/>
        </w:r>
        <w:r>
          <w:fldChar w:fldCharType="begin"/>
        </w:r>
        <w:r>
          <w:instrText xml:space="preserve"> PAGEREF docsec_038 \h </w:instrText>
        </w:r>
        <w:r>
          <w:fldChar w:fldCharType="separate"/>
        </w:r>
        <w:r>
          <w:t xml:space="preserve">35</w:t>
        </w:r>
        <w:r>
          <w:fldChar w:fldCharType="end"/>
        </w:r>
      </w:hyperlink>
    </w:p>
    <w:p>
      <w:pPr>
        <w:pStyle w:val="TOC1"/>
        <w:tabs>
          <w:tab w:val="right" w:leader="dot" w:pos="9400"/>
        </w:tabs>
      </w:pPr>
      <w:hyperlink w:anchor="docsec_039" w:history="1">
        <w:r>
          <w:t xml:space="preserve">6 HTTP, integridade e distribuição</w:t>
        </w:r>
        <w:r>
          <w:tab/>
        </w:r>
        <w:r>
          <w:fldChar w:fldCharType="begin"/>
        </w:r>
        <w:r>
          <w:instrText xml:space="preserve"> PAGEREF docsec_039 \h </w:instrText>
        </w:r>
        <w:r>
          <w:fldChar w:fldCharType="separate"/>
        </w:r>
        <w:r>
          <w:t xml:space="preserve">36</w:t>
        </w:r>
        <w:r>
          <w:fldChar w:fldCharType="end"/>
        </w:r>
      </w:hyperlink>
    </w:p>
    <w:p>
      <w:pPr>
        <w:pStyle w:val="TOC2"/>
        <w:tabs>
          <w:tab w:val="right" w:leader="dot" w:pos="9400"/>
        </w:tabs>
      </w:pPr>
      <w:hyperlink w:anchor="docsec_040" w:history="1">
        <w:r>
          <w:t xml:space="preserve">6.1 Cabeçalhos de resposta</w:t>
        </w:r>
        <w:r>
          <w:tab/>
        </w:r>
        <w:r>
          <w:fldChar w:fldCharType="begin"/>
        </w:r>
        <w:r>
          <w:instrText xml:space="preserve"> PAGEREF docsec_040 \h </w:instrText>
        </w:r>
        <w:r>
          <w:fldChar w:fldCharType="separate"/>
        </w:r>
        <w:r>
          <w:t xml:space="preserve">36</w:t>
        </w:r>
        <w:r>
          <w:fldChar w:fldCharType="end"/>
        </w:r>
      </w:hyperlink>
    </w:p>
    <w:p>
      <w:pPr>
        <w:pStyle w:val="TOC2"/>
        <w:tabs>
          <w:tab w:val="right" w:leader="dot" w:pos="9400"/>
        </w:tabs>
      </w:pPr>
      <w:hyperlink w:anchor="docsec_041" w:history="1">
        <w:r>
          <w:t xml:space="preserve">6.2 Content Security Policy da aplicação</w:t>
        </w:r>
        <w:r>
          <w:tab/>
        </w:r>
        <w:r>
          <w:fldChar w:fldCharType="begin"/>
        </w:r>
        <w:r>
          <w:instrText xml:space="preserve"> PAGEREF docsec_041 \h </w:instrText>
        </w:r>
        <w:r>
          <w:fldChar w:fldCharType="separate"/>
        </w:r>
        <w:r>
          <w:t xml:space="preserve">37</w:t>
        </w:r>
        <w:r>
          <w:fldChar w:fldCharType="end"/>
        </w:r>
      </w:hyperlink>
    </w:p>
    <w:p>
      <w:pPr>
        <w:pStyle w:val="TOC2"/>
        <w:tabs>
          <w:tab w:val="right" w:leader="dot" w:pos="9400"/>
        </w:tabs>
      </w:pPr>
      <w:hyperlink w:anchor="docsec_042" w:history="1">
        <w:r>
          <w:t xml:space="preserve">6.3 Ponte do VLibras e escopo da política específica</w:t>
        </w:r>
        <w:r>
          <w:tab/>
        </w:r>
        <w:r>
          <w:fldChar w:fldCharType="begin"/>
        </w:r>
        <w:r>
          <w:instrText xml:space="preserve"> PAGEREF docsec_042 \h </w:instrText>
        </w:r>
        <w:r>
          <w:fldChar w:fldCharType="separate"/>
        </w:r>
        <w:r>
          <w:t xml:space="preserve">38</w:t>
        </w:r>
        <w:r>
          <w:fldChar w:fldCharType="end"/>
        </w:r>
      </w:hyperlink>
    </w:p>
    <w:p>
      <w:pPr>
        <w:pStyle w:val="TOC2"/>
        <w:tabs>
          <w:tab w:val="right" w:leader="dot" w:pos="9400"/>
        </w:tabs>
      </w:pPr>
      <w:hyperlink w:anchor="docsec_043" w:history="1">
        <w:r>
          <w:t xml:space="preserve">6.4 Integridade e distribuição dos recursos</w:t>
        </w:r>
        <w:r>
          <w:tab/>
        </w:r>
        <w:r>
          <w:fldChar w:fldCharType="begin"/>
        </w:r>
        <w:r>
          <w:instrText xml:space="preserve"> PAGEREF docsec_043 \h </w:instrText>
        </w:r>
        <w:r>
          <w:fldChar w:fldCharType="separate"/>
        </w:r>
        <w:r>
          <w:t xml:space="preserve">38</w:t>
        </w:r>
        <w:r>
          <w:fldChar w:fldCharType="end"/>
        </w:r>
      </w:hyperlink>
    </w:p>
    <w:p>
      <w:pPr>
        <w:pStyle w:val="TOC2"/>
        <w:tabs>
          <w:tab w:val="right" w:leader="dot" w:pos="9400"/>
        </w:tabs>
      </w:pPr>
      <w:hyperlink w:anchor="docsec_044" w:history="1">
        <w:r>
          <w:t xml:space="preserve">6.5 Metadados, indexação e catálogos públicos</w:t>
        </w:r>
        <w:r>
          <w:tab/>
        </w:r>
        <w:r>
          <w:fldChar w:fldCharType="begin"/>
        </w:r>
        <w:r>
          <w:instrText xml:space="preserve"> PAGEREF docsec_044 \h </w:instrText>
        </w:r>
        <w:r>
          <w:fldChar w:fldCharType="separate"/>
        </w:r>
        <w:r>
          <w:t xml:space="preserve">39</w:t>
        </w:r>
        <w:r>
          <w:fldChar w:fldCharType="end"/>
        </w:r>
      </w:hyperlink>
    </w:p>
    <w:p>
      <w:pPr>
        <w:pStyle w:val="TOC2"/>
        <w:tabs>
          <w:tab w:val="right" w:leader="dot" w:pos="9400"/>
        </w:tabs>
      </w:pPr>
      <w:hyperlink w:anchor="docsec_045" w:history="1">
        <w:r>
          <w:t xml:space="preserve">6.6 Configuração de entrega e alcance das evidências</w:t>
        </w:r>
        <w:r>
          <w:tab/>
        </w:r>
        <w:r>
          <w:fldChar w:fldCharType="begin"/>
        </w:r>
        <w:r>
          <w:instrText xml:space="preserve"> PAGEREF docsec_045 \h </w:instrText>
        </w:r>
        <w:r>
          <w:fldChar w:fldCharType="separate"/>
        </w:r>
        <w:r>
          <w:t xml:space="preserve">40</w:t>
        </w:r>
        <w:r>
          <w:fldChar w:fldCharType="end"/>
        </w:r>
      </w:hyperlink>
    </w:p>
    <w:p>
      <w:pPr>
        <w:pStyle w:val="TOC1"/>
        <w:tabs>
          <w:tab w:val="right" w:leader="dot" w:pos="9400"/>
        </w:tabs>
      </w:pPr>
      <w:hyperlink w:anchor="docsec_046" w:history="1">
        <w:r>
          <w:t xml:space="preserve">7 Operação, configuração e testes</w:t>
        </w:r>
        <w:r>
          <w:tab/>
        </w:r>
        <w:r>
          <w:fldChar w:fldCharType="begin"/>
        </w:r>
        <w:r>
          <w:instrText xml:space="preserve"> PAGEREF docsec_046 \h </w:instrText>
        </w:r>
        <w:r>
          <w:fldChar w:fldCharType="separate"/>
        </w:r>
        <w:r>
          <w:t xml:space="preserve">41</w:t>
        </w:r>
        <w:r>
          <w:fldChar w:fldCharType="end"/>
        </w:r>
      </w:hyperlink>
    </w:p>
    <w:p>
      <w:pPr>
        <w:pStyle w:val="TOC2"/>
        <w:tabs>
          <w:tab w:val="right" w:leader="dot" w:pos="9400"/>
        </w:tabs>
      </w:pPr>
      <w:hyperlink w:anchor="docsec_047" w:history="1">
        <w:r>
          <w:t xml:space="preserve">7.1 Runtime e instalação</w:t>
        </w:r>
        <w:r>
          <w:tab/>
        </w:r>
        <w:r>
          <w:fldChar w:fldCharType="begin"/>
        </w:r>
        <w:r>
          <w:instrText xml:space="preserve"> PAGEREF docsec_047 \h </w:instrText>
        </w:r>
        <w:r>
          <w:fldChar w:fldCharType="separate"/>
        </w:r>
        <w:r>
          <w:t xml:space="preserve">41</w:t>
        </w:r>
        <w:r>
          <w:fldChar w:fldCharType="end"/>
        </w:r>
      </w:hyperlink>
    </w:p>
    <w:p>
      <w:pPr>
        <w:pStyle w:val="TOC2"/>
        <w:tabs>
          <w:tab w:val="right" w:leader="dot" w:pos="9400"/>
        </w:tabs>
      </w:pPr>
      <w:hyperlink w:anchor="docsec_048" w:history="1">
        <w:r>
          <w:t xml:space="preserve">7.2 Comandos disponíveis</w:t>
        </w:r>
        <w:r>
          <w:tab/>
        </w:r>
        <w:r>
          <w:fldChar w:fldCharType="begin"/>
        </w:r>
        <w:r>
          <w:instrText xml:space="preserve"> PAGEREF docsec_048 \h </w:instrText>
        </w:r>
        <w:r>
          <w:fldChar w:fldCharType="separate"/>
        </w:r>
        <w:r>
          <w:t xml:space="preserve">41</w:t>
        </w:r>
        <w:r>
          <w:fldChar w:fldCharType="end"/>
        </w:r>
      </w:hyperlink>
    </w:p>
    <w:p>
      <w:pPr>
        <w:pStyle w:val="TOC2"/>
        <w:tabs>
          <w:tab w:val="right" w:leader="dot" w:pos="9400"/>
        </w:tabs>
      </w:pPr>
      <w:hyperlink w:anchor="docsec_049" w:history="1">
        <w:r>
          <w:t xml:space="preserve">7.3 Desenvolvimento, build e produção</w:t>
        </w:r>
        <w:r>
          <w:tab/>
        </w:r>
        <w:r>
          <w:fldChar w:fldCharType="begin"/>
        </w:r>
        <w:r>
          <w:instrText xml:space="preserve"> PAGEREF docsec_049 \h </w:instrText>
        </w:r>
        <w:r>
          <w:fldChar w:fldCharType="separate"/>
        </w:r>
        <w:r>
          <w:t xml:space="preserve">42</w:t>
        </w:r>
        <w:r>
          <w:fldChar w:fldCharType="end"/>
        </w:r>
      </w:hyperlink>
    </w:p>
    <w:p>
      <w:pPr>
        <w:pStyle w:val="TOC2"/>
        <w:tabs>
          <w:tab w:val="right" w:leader="dot" w:pos="9400"/>
        </w:tabs>
      </w:pPr>
      <w:hyperlink w:anchor="docsec_050" w:history="1">
        <w:r>
          <w:t xml:space="preserve">7.4 Hospedagem e infraestrutura</w:t>
        </w:r>
        <w:r>
          <w:tab/>
        </w:r>
        <w:r>
          <w:fldChar w:fldCharType="begin"/>
        </w:r>
        <w:r>
          <w:instrText xml:space="preserve"> PAGEREF docsec_050 \h </w:instrText>
        </w:r>
        <w:r>
          <w:fldChar w:fldCharType="separate"/>
        </w:r>
        <w:r>
          <w:t xml:space="preserve">43</w:t>
        </w:r>
        <w:r>
          <w:fldChar w:fldCharType="end"/>
        </w:r>
      </w:hyperlink>
    </w:p>
    <w:p>
      <w:pPr>
        <w:pStyle w:val="TOC2"/>
        <w:tabs>
          <w:tab w:val="right" w:leader="dot" w:pos="9400"/>
        </w:tabs>
      </w:pPr>
      <w:hyperlink w:anchor="docsec_051" w:history="1">
        <w:r>
          <w:t xml:space="preserve">7.5 Variáveis e credenciais</w:t>
        </w:r>
        <w:r>
          <w:tab/>
        </w:r>
        <w:r>
          <w:fldChar w:fldCharType="begin"/>
        </w:r>
        <w:r>
          <w:instrText xml:space="preserve"> PAGEREF docsec_051 \h </w:instrText>
        </w:r>
        <w:r>
          <w:fldChar w:fldCharType="separate"/>
        </w:r>
        <w:r>
          <w:t xml:space="preserve">44</w:t>
        </w:r>
        <w:r>
          <w:fldChar w:fldCharType="end"/>
        </w:r>
      </w:hyperlink>
    </w:p>
    <w:p>
      <w:pPr>
        <w:pStyle w:val="TOC2"/>
        <w:tabs>
          <w:tab w:val="right" w:leader="dot" w:pos="9400"/>
        </w:tabs>
      </w:pPr>
      <w:hyperlink w:anchor="docsec_052" w:history="1">
        <w:r>
          <w:t xml:space="preserve">7.6 Organização dos testes</w:t>
        </w:r>
        <w:r>
          <w:tab/>
        </w:r>
        <w:r>
          <w:fldChar w:fldCharType="begin"/>
        </w:r>
        <w:r>
          <w:instrText xml:space="preserve"> PAGEREF docsec_052 \h </w:instrText>
        </w:r>
        <w:r>
          <w:fldChar w:fldCharType="separate"/>
        </w:r>
        <w:r>
          <w:t xml:space="preserve">45</w:t>
        </w:r>
        <w:r>
          <w:fldChar w:fldCharType="end"/>
        </w:r>
      </w:hyperlink>
    </w:p>
    <w:p>
      <w:pPr>
        <w:pStyle w:val="TOC2"/>
        <w:tabs>
          <w:tab w:val="right" w:leader="dot" w:pos="9400"/>
        </w:tabs>
      </w:pPr>
      <w:hyperlink w:anchor="docsec_053" w:history="1">
        <w:r>
          <w:t xml:space="preserve">7.7 Métricas e relatórios</w:t>
        </w:r>
        <w:r>
          <w:tab/>
        </w:r>
        <w:r>
          <w:fldChar w:fldCharType="begin"/>
        </w:r>
        <w:r>
          <w:instrText xml:space="preserve"> PAGEREF docsec_053 \h </w:instrText>
        </w:r>
        <w:r>
          <w:fldChar w:fldCharType="separate"/>
        </w:r>
        <w:r>
          <w:t xml:space="preserve">45</w:t>
        </w:r>
        <w:r>
          <w:fldChar w:fldCharType="end"/>
        </w:r>
      </w:hyperlink>
    </w:p>
    <w:p>
      <w:pPr>
        <w:pStyle w:val="TOC2"/>
        <w:tabs>
          <w:tab w:val="right" w:leader="dot" w:pos="9400"/>
        </w:tabs>
      </w:pPr>
      <w:hyperlink w:anchor="docsec_054" w:history="1">
        <w:r>
          <w:t xml:space="preserve">7.8 Consolidados de código e recursos públicos</w:t>
        </w:r>
        <w:r>
          <w:tab/>
        </w:r>
        <w:r>
          <w:fldChar w:fldCharType="begin"/>
        </w:r>
        <w:r>
          <w:instrText xml:space="preserve"> PAGEREF docsec_054 \h </w:instrText>
        </w:r>
        <w:r>
          <w:fldChar w:fldCharType="separate"/>
        </w:r>
        <w:r>
          <w:t xml:space="preserve">46</w:t>
        </w:r>
        <w:r>
          <w:fldChar w:fldCharType="end"/>
        </w:r>
      </w:hyperlink>
    </w:p>
    <w:p>
      <w:pPr>
        <w:pStyle w:val="TOC2"/>
        <w:tabs>
          <w:tab w:val="right" w:leader="dot" w:pos="9400"/>
        </w:tabs>
      </w:pPr>
      <w:hyperlink w:anchor="docsec_055" w:history="1">
        <w:r>
          <w:t xml:space="preserve">7.9 Catálogo operacional dos arquivos</w:t>
        </w:r>
        <w:r>
          <w:tab/>
        </w:r>
        <w:r>
          <w:fldChar w:fldCharType="begin"/>
        </w:r>
        <w:r>
          <w:instrText xml:space="preserve"> PAGEREF docsec_055 \h </w:instrText>
        </w:r>
        <w:r>
          <w:fldChar w:fldCharType="separate"/>
        </w:r>
        <w:r>
          <w:t xml:space="preserve">46</w:t>
        </w:r>
        <w:r>
          <w:fldChar w:fldCharType="end"/>
        </w:r>
      </w:hyperlink>
    </w:p>
    <w:p>
      <w:pPr>
        <w:pStyle w:val="TOC1"/>
        <w:tabs>
          <w:tab w:val="right" w:leader="dot" w:pos="9400"/>
        </w:tabs>
      </w:pPr>
      <w:hyperlink w:anchor="docsec_056" w:history="1">
        <w:r>
          <w:t xml:space="preserve">8 Glossário e referências</w:t>
        </w:r>
        <w:r>
          <w:tab/>
        </w:r>
        <w:r>
          <w:fldChar w:fldCharType="begin"/>
        </w:r>
        <w:r>
          <w:instrText xml:space="preserve"> PAGEREF docsec_056 \h </w:instrText>
        </w:r>
        <w:r>
          <w:fldChar w:fldCharType="separate"/>
        </w:r>
        <w:r>
          <w:t xml:space="preserve">48</w:t>
        </w:r>
        <w:r>
          <w:fldChar w:fldCharType="end"/>
        </w:r>
      </w:hyperlink>
    </w:p>
    <w:p>
      <w:pPr>
        <w:pStyle w:val="TOC2"/>
        <w:tabs>
          <w:tab w:val="right" w:leader="dot" w:pos="9400"/>
        </w:tabs>
      </w:pPr>
      <w:hyperlink w:anchor="docsec_057" w:history="1">
        <w:r>
          <w:t xml:space="preserve">8.1 Glossário técnico e institucional</w:t>
        </w:r>
        <w:r>
          <w:tab/>
        </w:r>
        <w:r>
          <w:fldChar w:fldCharType="begin"/>
        </w:r>
        <w:r>
          <w:instrText xml:space="preserve"> PAGEREF docsec_057 \h </w:instrText>
        </w:r>
        <w:r>
          <w:fldChar w:fldCharType="separate"/>
        </w:r>
        <w:r>
          <w:t xml:space="preserve">48</w:t>
        </w:r>
        <w:r>
          <w:fldChar w:fldCharType="end"/>
        </w:r>
      </w:hyperlink>
    </w:p>
    <w:p>
      <w:pPr>
        <w:pStyle w:val="TOC2"/>
        <w:tabs>
          <w:tab w:val="right" w:leader="dot" w:pos="9400"/>
        </w:tabs>
      </w:pPr>
      <w:hyperlink w:anchor="docsec_058" w:history="1">
        <w:r>
          <w:t xml:space="preserve">8.2 Fontes de implementação e revisão documentada</w:t>
        </w:r>
        <w:r>
          <w:tab/>
        </w:r>
        <w:r>
          <w:fldChar w:fldCharType="begin"/>
        </w:r>
        <w:r>
          <w:instrText xml:space="preserve"> PAGEREF docsec_058 \h </w:instrText>
        </w:r>
        <w:r>
          <w:fldChar w:fldCharType="separate"/>
        </w:r>
        <w:r>
          <w:t xml:space="preserve">51</w:t>
        </w:r>
        <w:r>
          <w:fldChar w:fldCharType="end"/>
        </w:r>
      </w:hyperlink>
    </w:p>
    <w:p>
      <w:pPr>
        <w:pStyle w:val="TOC2"/>
        <w:tabs>
          <w:tab w:val="right" w:leader="dot" w:pos="9400"/>
        </w:tabs>
      </w:pPr>
      <w:hyperlink w:anchor="docsec_059" w:history="1">
        <w:r>
          <w:t xml:space="preserve">8.3 Fontes das evidências externas</w:t>
        </w:r>
        <w:r>
          <w:tab/>
        </w:r>
        <w:r>
          <w:fldChar w:fldCharType="begin"/>
        </w:r>
        <w:r>
          <w:instrText xml:space="preserve"> PAGEREF docsec_059 \h </w:instrText>
        </w:r>
        <w:r>
          <w:fldChar w:fldCharType="separate"/>
        </w:r>
        <w:r>
          <w:t xml:space="preserve">52</w:t>
        </w:r>
        <w:r>
          <w:fldChar w:fldCharType="end"/>
        </w:r>
      </w:hyperlink>
    </w:p>
    <w:p>
      <w:pPr>
        <w:pStyle w:val="TOC2"/>
        <w:tabs>
          <w:tab w:val="right" w:leader="dot" w:pos="9400"/>
        </w:tabs>
      </w:pPr>
      <w:hyperlink w:anchor="docsec_060" w:history="1">
        <w:r>
          <w:t xml:space="preserve">8.4 Fontes institucionais e informações complementares</w:t>
        </w:r>
        <w:r>
          <w:tab/>
        </w:r>
        <w:r>
          <w:fldChar w:fldCharType="begin"/>
        </w:r>
        <w:r>
          <w:instrText xml:space="preserve"> PAGEREF docsec_060 \h </w:instrText>
        </w:r>
        <w:r>
          <w:fldChar w:fldCharType="separate"/>
        </w:r>
        <w:r>
          <w:t xml:space="preserve">52</w:t>
        </w:r>
        <w:r>
          <w:fldChar w:fldCharType="end"/>
        </w:r>
      </w:hyperlink>
    </w:p>
    <w:p>
      <w:pPr>
        <w:pStyle w:val="TOC1"/>
        <w:tabs>
          <w:tab w:val="right" w:leader="dot" w:pos="9400"/>
        </w:tabs>
      </w:pPr>
      <w:hyperlink w:anchor="docsec_061" w:history="1">
        <w:r>
          <w:t xml:space="preserve">9 Requisitos, conformidade e evidências</w:t>
        </w:r>
        <w:r>
          <w:tab/>
        </w:r>
        <w:r>
          <w:fldChar w:fldCharType="begin"/>
        </w:r>
        <w:r>
          <w:instrText xml:space="preserve"> PAGEREF docsec_061 \h </w:instrText>
        </w:r>
        <w:r>
          <w:fldChar w:fldCharType="separate"/>
        </w:r>
        <w:r>
          <w:t xml:space="preserve">54</w:t>
        </w:r>
        <w:r>
          <w:fldChar w:fldCharType="end"/>
        </w:r>
      </w:hyperlink>
    </w:p>
    <w:p>
      <w:pPr>
        <w:pStyle w:val="TOC2"/>
        <w:tabs>
          <w:tab w:val="right" w:leader="dot" w:pos="9400"/>
        </w:tabs>
      </w:pPr>
      <w:hyperlink w:anchor="docsec_062" w:history="1">
        <w:r>
          <w:t xml:space="preserve">9.1 Norteadores do AGENTS.MD</w:t>
        </w:r>
        <w:r>
          <w:tab/>
        </w:r>
        <w:r>
          <w:fldChar w:fldCharType="begin"/>
        </w:r>
        <w:r>
          <w:instrText xml:space="preserve"> PAGEREF docsec_062 \h </w:instrText>
        </w:r>
        <w:r>
          <w:fldChar w:fldCharType="separate"/>
        </w:r>
        <w:r>
          <w:t xml:space="preserve">54</w:t>
        </w:r>
        <w:r>
          <w:fldChar w:fldCharType="end"/>
        </w:r>
      </w:hyperlink>
    </w:p>
    <w:p>
      <w:pPr>
        <w:pStyle w:val="TOC2"/>
        <w:tabs>
          <w:tab w:val="right" w:leader="dot" w:pos="9400"/>
        </w:tabs>
      </w:pPr>
      <w:hyperlink w:anchor="docsec_063" w:history="1">
        <w:r>
          <w:t xml:space="preserve">9.2 Aplicabilidade</w:t>
        </w:r>
        <w:r>
          <w:tab/>
        </w:r>
        <w:r>
          <w:fldChar w:fldCharType="begin"/>
        </w:r>
        <w:r>
          <w:instrText xml:space="preserve"> PAGEREF docsec_063 \h </w:instrText>
        </w:r>
        <w:r>
          <w:fldChar w:fldCharType="separate"/>
        </w:r>
        <w:r>
          <w:t xml:space="preserve">55</w:t>
        </w:r>
        <w:r>
          <w:fldChar w:fldCharType="end"/>
        </w:r>
      </w:hyperlink>
    </w:p>
    <w:p>
      <w:pPr>
        <w:pStyle w:val="TOC2"/>
        <w:tabs>
          <w:tab w:val="right" w:leader="dot" w:pos="9400"/>
        </w:tabs>
      </w:pPr>
      <w:hyperlink w:anchor="docsec_064" w:history="1">
        <w:r>
          <w:t xml:space="preserve">9.3 Matriz de conformidade</w:t>
        </w:r>
        <w:r>
          <w:tab/>
        </w:r>
        <w:r>
          <w:fldChar w:fldCharType="begin"/>
        </w:r>
        <w:r>
          <w:instrText xml:space="preserve"> PAGEREF docsec_064 \h </w:instrText>
        </w:r>
        <w:r>
          <w:fldChar w:fldCharType="separate"/>
        </w:r>
        <w:r>
          <w:t xml:space="preserve">56</w:t>
        </w:r>
        <w:r>
          <w:fldChar w:fldCharType="end"/>
        </w:r>
      </w:hyperlink>
    </w:p>
    <w:p>
      <w:pPr>
        <w:pStyle w:val="TOC2"/>
        <w:tabs>
          <w:tab w:val="right" w:leader="dot" w:pos="9400"/>
        </w:tabs>
      </w:pPr>
      <w:hyperlink w:anchor="docsec_065" w:history="1">
        <w:r>
          <w:t xml:space="preserve">9.4 Pendências e divergências</w:t>
        </w:r>
        <w:r>
          <w:tab/>
        </w:r>
        <w:r>
          <w:fldChar w:fldCharType="begin"/>
        </w:r>
        <w:r>
          <w:instrText xml:space="preserve"> PAGEREF docsec_065 \h </w:instrText>
        </w:r>
        <w:r>
          <w:fldChar w:fldCharType="separate"/>
        </w:r>
        <w:r>
          <w:t xml:space="preserve">59</w:t>
        </w:r>
        <w:r>
          <w:fldChar w:fldCharType="end"/>
        </w:r>
      </w:hyperlink>
    </w:p>
    <w:p>
      <w:pPr>
        <w:pStyle w:val="TOC2"/>
        <w:tabs>
          <w:tab w:val="right" w:leader="dot" w:pos="9400"/>
        </w:tabs>
      </w:pPr>
      <w:hyperlink w:anchor="docsec_066" w:history="1">
        <w:r>
          <w:t xml:space="preserve">9.5 Síntese do atendimento</w:t>
        </w:r>
        <w:r>
          <w:tab/>
        </w:r>
        <w:r>
          <w:fldChar w:fldCharType="begin"/>
        </w:r>
        <w:r>
          <w:instrText xml:space="preserve"> PAGEREF docsec_066 \h </w:instrText>
        </w:r>
        <w:r>
          <w:fldChar w:fldCharType="separate"/>
        </w:r>
        <w:r>
          <w:t xml:space="preserve">60</w:t>
        </w:r>
        <w:r>
          <w:fldChar w:fldCharType="end"/>
        </w:r>
      </w:hyperlink>
      <w:r>
        <w:fldChar w:fldCharType="end"/>
      </w:r>
    </w:p>
    <w:p>
      <w:pPr>
        <w:pStyle w:val="FrontTitle"/>
        <w:pageBreakBefore/>
      </w:pPr>
      <w:r>
        <w:t>Identificação documental</w:t>
      </w:r>
    </w:p>
    <w:p>
      <w:pPr>
        <w:spacing w:after="200"/>
      </w:pPr>
      <w:r>
        <w:t>Descrição técnica do portal institucional e de seu fluxo de manifestação de interesse, preparada para manutenção, operação e transferência de conhecimento.</w:t>
      </w:r>
    </w:p>
    <w:tbl>
      <w:tblPr>
        <w:tblW w:type="auto" w:w="0"/>
        <w:tblLayout w:type="fixed"/>
        <w:tblLook w:firstColumn="1" w:firstRow="1" w:lastColumn="0" w:lastRow="0" w:noHBand="0" w:noVBand="1" w:val="04A0"/>
      </w:tblPr>
      <w:tblGrid>
        <w:gridCol w:w="2381"/>
        <w:gridCol w:w="7143"/>
      </w:tblGrid>
      <w:tr>
        <w:trPr>
          <w:cantSplit/>
        </w:trPr>
        <w:tc>
          <w:tcPr>
            <w:tcW w:type="dxa" w:w="2381"/>
            <w:shd w:fill="F5F8FC"/>
          </w:tcPr>
          <w:p>
            <w:pPr>
              <w:spacing w:before="40" w:after="80"/>
              <w:jc w:val="left"/>
            </w:pPr>
            <w:r>
              <w:rPr>
                <w:b/>
                <w:sz w:val="18"/>
              </w:rPr>
              <w:t>Sistema</w:t>
            </w:r>
          </w:p>
        </w:tc>
        <w:tc>
          <w:tcPr>
            <w:tcW w:type="dxa" w:w="7143"/>
            <w:shd w:fill="F5F8FC"/>
          </w:tcPr>
          <w:p>
            <w:pPr>
              <w:spacing w:before="40" w:after="80"/>
              <w:jc w:val="left"/>
            </w:pPr>
            <w:r>
              <w:rPr>
                <w:b w:val="0"/>
                <w:sz w:val="18"/>
              </w:rPr>
              <w:t>Componente Curricular de ASG e ODS</w:t>
            </w:r>
          </w:p>
        </w:tc>
      </w:tr>
      <w:tr>
        <w:trPr>
          <w:cantSplit/>
        </w:trPr>
        <w:tc>
          <w:tcPr>
            <w:tcW w:type="dxa" w:w="2381"/>
            <w:shd w:fill="FFFFFF"/>
          </w:tcPr>
          <w:p>
            <w:pPr>
              <w:spacing w:before="40" w:after="80"/>
              <w:jc w:val="left"/>
            </w:pPr>
            <w:r>
              <w:rPr>
                <w:b/>
                <w:sz w:val="18"/>
              </w:rPr>
              <w:t>Instituição</w:t>
            </w:r>
          </w:p>
        </w:tc>
        <w:tc>
          <w:tcPr>
            <w:tcW w:type="dxa" w:w="7143"/>
            <w:shd w:fill="FFFFFF"/>
          </w:tcPr>
          <w:p>
            <w:pPr>
              <w:spacing w:before="40" w:after="80"/>
              <w:jc w:val="left"/>
            </w:pPr>
            <w:r>
              <w:rPr>
                <w:b w:val="0"/>
                <w:sz w:val="18"/>
              </w:rPr>
              <w:t>Conselho Regional de Administração de São Paulo — CRA-SP</w:t>
            </w:r>
          </w:p>
        </w:tc>
      </w:tr>
      <w:tr>
        <w:trPr>
          <w:cantSplit/>
        </w:trPr>
        <w:tc>
          <w:tcPr>
            <w:tcW w:type="dxa" w:w="2381"/>
            <w:shd w:fill="F5F8FC"/>
          </w:tcPr>
          <w:p>
            <w:pPr>
              <w:spacing w:before="40" w:after="80"/>
              <w:jc w:val="left"/>
            </w:pPr>
            <w:r>
              <w:rPr>
                <w:b/>
                <w:sz w:val="18"/>
              </w:rPr>
              <w:t>Edição e data</w:t>
            </w:r>
          </w:p>
        </w:tc>
        <w:tc>
          <w:tcPr>
            <w:tcW w:type="dxa" w:w="7143"/>
            <w:shd w:fill="F5F8FC"/>
          </w:tcPr>
          <w:p>
            <w:pPr>
              <w:spacing w:before="40" w:after="80"/>
              <w:jc w:val="left"/>
            </w:pPr>
            <w:r>
              <w:rPr>
                <w:b w:val="0"/>
                <w:sz w:val="18"/>
              </w:rPr>
              <w:t>2.0 · 15 de outubro de 2026</w:t>
            </w:r>
          </w:p>
        </w:tc>
      </w:tr>
      <w:tr>
        <w:trPr>
          <w:cantSplit/>
        </w:trPr>
        <w:tc>
          <w:tcPr>
            <w:tcW w:type="dxa" w:w="2381"/>
            <w:shd w:fill="FFFFFF"/>
          </w:tcPr>
          <w:p>
            <w:pPr>
              <w:spacing w:before="40" w:after="80"/>
              <w:jc w:val="left"/>
            </w:pPr>
            <w:r>
              <w:rPr>
                <w:b/>
                <w:sz w:val="18"/>
              </w:rPr>
              <w:t>Repositório</w:t>
            </w:r>
          </w:p>
        </w:tc>
        <w:tc>
          <w:tcPr>
            <w:tcW w:type="dxa" w:w="7143"/>
            <w:shd w:fill="FFFFFF"/>
          </w:tcPr>
          <w:p>
            <w:pPr>
              <w:spacing w:before="40" w:after="80"/>
              <w:jc w:val="left"/>
            </w:pPr>
            <w:r>
              <w:rPr>
                <w:b w:val="0"/>
                <w:sz w:val="18"/>
              </w:rPr>
              <w:t>desenvolvimentoprofissional-oss/asg-ods</w:t>
            </w:r>
          </w:p>
        </w:tc>
      </w:tr>
      <w:tr>
        <w:trPr>
          <w:cantSplit/>
        </w:trPr>
        <w:tc>
          <w:tcPr>
            <w:tcW w:type="dxa" w:w="2381"/>
            <w:shd w:fill="F5F8FC"/>
          </w:tcPr>
          <w:p>
            <w:pPr>
              <w:spacing w:before="40" w:after="80"/>
              <w:jc w:val="left"/>
            </w:pPr>
            <w:r>
              <w:rPr>
                <w:b/>
                <w:sz w:val="18"/>
              </w:rPr>
              <w:t>Branch</w:t>
            </w:r>
          </w:p>
        </w:tc>
        <w:tc>
          <w:tcPr>
            <w:tcW w:type="dxa" w:w="7143"/>
            <w:shd w:fill="F5F8FC"/>
          </w:tcPr>
          <w:p>
            <w:pPr>
              <w:spacing w:before="40" w:after="80"/>
              <w:jc w:val="left"/>
            </w:pPr>
            <w:r>
              <w:rPr>
                <w:b w:val="0"/>
                <w:sz w:val="18"/>
              </w:rPr>
              <w:t>main</w:t>
            </w:r>
          </w:p>
        </w:tc>
      </w:tr>
      <w:tr>
        <w:trPr>
          <w:cantSplit/>
        </w:trPr>
        <w:tc>
          <w:tcPr>
            <w:tcW w:type="dxa" w:w="2381"/>
            <w:shd w:fill="FFFFFF"/>
          </w:tcPr>
          <w:p>
            <w:pPr>
              <w:spacing w:before="40" w:after="80"/>
              <w:jc w:val="left"/>
            </w:pPr>
            <w:r>
              <w:rPr>
                <w:b/>
                <w:sz w:val="18"/>
              </w:rPr>
              <w:t>Revisão completa</w:t>
            </w:r>
          </w:p>
        </w:tc>
        <w:tc>
          <w:tcPr>
            <w:tcW w:type="dxa" w:w="7143"/>
            <w:shd w:fill="FFFFFF"/>
          </w:tcPr>
          <w:p>
            <w:pPr>
              <w:spacing w:before="40" w:after="80"/>
              <w:jc w:val="left"/>
            </w:pPr>
            <w:r>
              <w:rPr>
                <w:b w:val="0"/>
                <w:sz w:val="18"/>
              </w:rPr>
              <w:t>1d05eb64bfdb9f7f579221a144165a66f1ba25e4</w:t>
            </w:r>
          </w:p>
        </w:tc>
      </w:tr>
      <w:tr>
        <w:trPr>
          <w:cantSplit/>
        </w:trPr>
        <w:tc>
          <w:tcPr>
            <w:tcW w:type="dxa" w:w="2381"/>
            <w:shd w:fill="F5F8FC"/>
          </w:tcPr>
          <w:p>
            <w:pPr>
              <w:spacing w:before="40" w:after="80"/>
              <w:jc w:val="left"/>
            </w:pPr>
            <w:r>
              <w:rPr>
                <w:b/>
                <w:sz w:val="18"/>
              </w:rPr>
              <w:t>Endereços</w:t>
            </w:r>
          </w:p>
        </w:tc>
        <w:tc>
          <w:tcPr>
            <w:tcW w:type="dxa" w:w="7143"/>
            <w:shd w:fill="F5F8FC"/>
          </w:tcPr>
          <w:p>
            <w:pPr>
              <w:spacing w:before="40" w:after="80"/>
              <w:jc w:val="left"/>
            </w:pPr>
            <w:r>
              <w:rPr>
                <w:b w:val="0"/>
                <w:sz w:val="18"/>
              </w:rPr>
              <w:t>Desenvolvimento: asg-ods.ai.studio</w:t>
            </w:r>
          </w:p>
          <w:p>
            <w:pPr>
              <w:spacing w:before="40" w:after="80"/>
              <w:jc w:val="left"/>
            </w:pPr>
            <w:r>
              <w:rPr>
                <w:b w:val="0"/>
                <w:sz w:val="18"/>
              </w:rPr>
              <w:t>Final informado: asg.ods.crasp.org.br</w:t>
            </w:r>
          </w:p>
        </w:tc>
      </w:tr>
      <w:tr>
        <w:trPr>
          <w:cantSplit/>
        </w:trPr>
        <w:tc>
          <w:tcPr>
            <w:tcW w:type="dxa" w:w="2381"/>
            <w:shd w:fill="FFFFFF"/>
          </w:tcPr>
          <w:p>
            <w:pPr>
              <w:spacing w:before="40" w:after="80"/>
              <w:jc w:val="left"/>
            </w:pPr>
            <w:r>
              <w:rPr>
                <w:b/>
                <w:sz w:val="18"/>
              </w:rPr>
              <w:t>Padrão documental</w:t>
            </w:r>
          </w:p>
        </w:tc>
        <w:tc>
          <w:tcPr>
            <w:tcW w:type="dxa" w:w="7143"/>
            <w:shd w:fill="FFFFFF"/>
          </w:tcPr>
          <w:p>
            <w:pPr>
              <w:spacing w:before="40" w:after="80"/>
              <w:jc w:val="left"/>
            </w:pPr>
            <w:r>
              <w:rPr>
                <w:b w:val="0"/>
                <w:sz w:val="18"/>
              </w:rPr>
              <w:t>AGENTE-DOCUMENTACAO.md · versão 1.0</w:t>
            </w:r>
          </w:p>
        </w:tc>
      </w:tr>
      <w:tr>
        <w:trPr>
          <w:cantSplit/>
        </w:trPr>
        <w:tc>
          <w:tcPr>
            <w:tcW w:type="dxa" w:w="2381"/>
            <w:shd w:fill="F5F8FC"/>
          </w:tcPr>
          <w:p>
            <w:pPr>
              <w:spacing w:before="40" w:after="80"/>
              <w:jc w:val="left"/>
            </w:pPr>
            <w:r>
              <w:rPr>
                <w:b/>
                <w:sz w:val="18"/>
              </w:rPr>
              <w:t>Adaptações aprovadas</w:t>
            </w:r>
          </w:p>
        </w:tc>
        <w:tc>
          <w:tcPr>
            <w:tcW w:type="dxa" w:w="7143"/>
            <w:shd w:fill="F5F8FC"/>
          </w:tcPr>
          <w:p>
            <w:pPr>
              <w:spacing w:before="40" w:after="80"/>
              <w:jc w:val="left"/>
            </w:pPr>
            <w:r>
              <w:rPr>
                <w:b w:val="0"/>
                <w:sz w:val="18"/>
              </w:rPr>
              <w:t>Capa gráfica aprovada pelo responsável; cabeçalho institucional CRA-SP com separador •; PDFs utilizados somente como fontes, sem reprodução em anexos.</w:t>
            </w:r>
          </w:p>
        </w:tc>
      </w:tr>
      <w:tr>
        <w:trPr>
          <w:cantSplit/>
        </w:trPr>
        <w:tc>
          <w:tcPr>
            <w:tcW w:type="dxa" w:w="2381"/>
            <w:shd w:fill="FFFFFF"/>
          </w:tcPr>
          <w:p>
            <w:pPr>
              <w:spacing w:before="40" w:after="80"/>
              <w:jc w:val="left"/>
            </w:pPr>
            <w:r>
              <w:rPr>
                <w:b/>
                <w:sz w:val="18"/>
              </w:rPr>
              <w:t>Fontes recebidas</w:t>
            </w:r>
          </w:p>
        </w:tc>
        <w:tc>
          <w:tcPr>
            <w:tcW w:type="dxa" w:w="7143"/>
            <w:shd w:fill="FFFFFF"/>
          </w:tcPr>
          <w:p>
            <w:pPr>
              <w:spacing w:before="40" w:after="80"/>
              <w:jc w:val="left"/>
            </w:pPr>
            <w:r>
              <w:rPr>
                <w:b w:val="0"/>
                <w:sz w:val="18"/>
              </w:rPr>
              <w:t>1- Site Componente Curricular.pdf · 5 páginas</w:t>
            </w:r>
          </w:p>
          <w:p>
            <w:pPr>
              <w:spacing w:before="40" w:after="80"/>
              <w:jc w:val="left"/>
            </w:pPr>
            <w:r>
              <w:rPr>
                <w:b w:val="0"/>
                <w:sz w:val="18"/>
              </w:rPr>
              <w:t>Análises Site Componente Curricular.pdf · 30 páginas</w:t>
            </w:r>
          </w:p>
        </w:tc>
      </w:tr>
      <w:tr>
        <w:trPr>
          <w:cantSplit/>
        </w:trPr>
        <w:tc>
          <w:tcPr>
            <w:tcW w:type="dxa" w:w="2381"/>
            <w:shd w:fill="F5F8FC"/>
          </w:tcPr>
          <w:p>
            <w:pPr>
              <w:spacing w:before="40" w:after="80"/>
              <w:jc w:val="left"/>
            </w:pPr>
            <w:r>
              <w:rPr>
                <w:b/>
                <w:sz w:val="18"/>
              </w:rPr>
              <w:t>Composição</w:t>
            </w:r>
          </w:p>
        </w:tc>
        <w:tc>
          <w:tcPr>
            <w:tcW w:type="dxa" w:w="7143"/>
            <w:shd w:fill="F5F8FC"/>
          </w:tcPr>
          <w:p>
            <w:pPr>
              <w:spacing w:before="40" w:after="80"/>
              <w:jc w:val="left"/>
            </w:pPr>
            <w:r>
              <w:rPr>
                <w:b w:val="0"/>
                <w:sz w:val="18"/>
              </w:rPr>
              <w:t>Nove capítulos; tabelas e texto editáveis; quatro diagramas técnicos; sem reprodução das páginas dos PDFs em anexos.</w:t>
            </w:r>
          </w:p>
        </w:tc>
      </w:tr>
    </w:tbl>
    <w:p>
      <w:r>
        <w:t>As descrições se referem ao código identificado. Resultados de scanners, capturas fornecidas, execução local e informações da equipe possuem origens e alcances distintos, registrados nos capítulos correspondentes.</w:t>
      </w:r>
    </w:p>
    <w:p>
      <w:r>
        <w:t>Os PDFs são utilizados como fontes. Suas páginas e capturas não integram os anexos desta edição, conforme solicitado pelo responsável, que poderá reuni-los posteriormente ao documento.</w:t>
      </w:r>
    </w:p>
    <w:bookmarkStart w:id="28" w:name="Xa59143ecefe8ca636c64766eb1353832a2f3a45"/>
    <w:p>
      <w:pPr>
        <w:pStyle w:val="Heading1"/>
      </w:pPr>
      <w:bookmarkStart w:id="20000" w:name="docsec_001"/>
      <w:r>
        <w:t xml:space="preserve">Resultados externos e metodologia documental</w:t>
      </w:r>
      <w:bookmarkEnd w:id="20000"/>
    </w:p>
    <w:bookmarkStart w:id="20" w:name="quadro-dos-resultados-dos-scanners"/>
    <w:p>
      <w:pPr>
        <w:pStyle w:val="Heading2"/>
      </w:pPr>
      <w:bookmarkStart w:id="20001" w:name="docsec_002"/>
      <w:r>
        <w:t xml:space="preserve">Quadro dos resultados dos scanners</w:t>
      </w:r>
      <w:bookmarkEnd w:id="20001"/>
    </w:p>
    <w:p>
      <w:pPr>
        <w:pStyle w:val="FirstParagraph"/>
      </w:pPr>
      <w:r>
        <w:t xml:space="preserve">O material fornecido pelo responsável reúne sete ferramentas e oito relatórios externos, com as modalidades desktop e mobile do PageSpeed Insights tratadas separadamente. Os resultados abaixo foram transcritos de</w:t>
      </w:r>
      <w:r>
        <w:t xml:space="preserve"> </w:t>
      </w:r>
      <w:r>
        <w:rPr>
          <w:b/>
          <w:bCs/>
        </w:rPr>
        <w:t xml:space="preserve">Análises Site Componente Curricular.pdf</w:t>
      </w:r>
      <w:r>
        <w:t xml:space="preserve">, com 30 páginas. As referências E01 a E08 identificam esses relatórios ao longo do documento. Os recortes de continuação pertencem à mesma execução e não representam novos testes.</w:t>
      </w:r>
    </w:p>
    <w:p>
      <w:pPr>
        <w:pStyle w:val="BodyText"/>
      </w:pPr>
      <w:r>
        <w:t xml:space="preserve">Todos os relatórios identificam</w:t>
      </w:r>
      <w:r>
        <w:t xml:space="preserve"> </w:t>
      </w:r>
      <w:r>
        <w:rPr>
          <w:b/>
          <w:bCs/>
        </w:rPr>
        <w:t xml:space="preserve">asg-ods.ai.studio</w:t>
      </w:r>
      <w:r>
        <w:t xml:space="preserve">, ambiente de desenvolvimento e apresentação informado pelo responsável. O endereço final informado para o site é</w:t>
      </w:r>
      <w:r>
        <w:t xml:space="preserve"> </w:t>
      </w:r>
      <w:r>
        <w:rPr>
          <w:b/>
          <w:bCs/>
        </w:rPr>
        <w:t xml:space="preserve">https://asg.ods.crasp.org.br/</w:t>
      </w:r>
      <w:r>
        <w:t xml:space="preserve">. Os resultados recebidos não constituem medições desse segundo domínio. As páginas dos PDFs permanecem como fontes externas; suas imagens e páginas não são reproduzidas ou anexadas a esta documentação, conforme a orientação do responsável.</w:t>
      </w:r>
    </w:p>
    <w:p>
      <w:pPr>
        <w:pStyle w:val="TableCaption"/>
        <w:keepNext/>
      </w:pPr>
      <w:r>
        <w:t xml:space="preserve">Tabela </w:t>
      </w:r>
      <w:r>
        <w:rPr>
          <w:rFonts w:ascii="Open Sans" w:hAnsi="Open Sans"/>
          <w:sz w:val="18"/>
        </w:rPr>
        <w:fldChar w:fldCharType="begin"/>
        <w:instrText xml:space="preserve"> SEQ Tabela </w:instrText>
        <w:fldChar w:fldCharType="separate"/>
        <w:t>1</w:t>
        <w:fldChar w:fldCharType="end"/>
      </w:r>
      <w:r>
        <w:t xml:space="preserve"> — Quadro dos resultados dos scanners.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3810"/>
        <w:gridCol w:w="1905"/>
        <w:gridCol w:w="2095"/>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Ferramenta e modalidade</w:t>
            </w:r>
          </w:p>
        </w:tc>
        <w:tc>
          <w:tcPr>
            <w:tcW w:type="dxa" w:w="3810"/>
            <w:vAlign w:val="top"/>
            <w:shd w:fill="233B82"/>
          </w:tcPr>
          <w:p>
            <w:pPr>
              <w:pStyle w:val="Compact"/>
              <w:spacing w:before="40" w:after="60" w:line="247" w:lineRule="auto"/>
              <w:jc w:val="left"/>
            </w:pPr>
            <w:r>
              <w:rPr>
                <w:b/>
                <w:color w:val="FFFFFF"/>
                <w:sz w:val="18"/>
              </w:rPr>
              <w:t xml:space="preserve">Resultado apresentado</w:t>
            </w:r>
          </w:p>
        </w:tc>
        <w:tc>
          <w:tcPr>
            <w:tcW w:type="dxa" w:w="1905"/>
            <w:vAlign w:val="top"/>
            <w:shd w:fill="233B82"/>
          </w:tcPr>
          <w:p>
            <w:pPr>
              <w:pStyle w:val="Compact"/>
              <w:spacing w:before="40" w:after="60" w:line="247" w:lineRule="auto"/>
              <w:jc w:val="left"/>
            </w:pPr>
            <w:r>
              <w:rPr>
                <w:b/>
                <w:color w:val="FFFFFF"/>
                <w:sz w:val="18"/>
              </w:rPr>
              <w:t xml:space="preserve">Data da execução ou do relatório</w:t>
            </w:r>
          </w:p>
        </w:tc>
        <w:tc>
          <w:tcPr>
            <w:tcW w:type="dxa" w:w="2095"/>
            <w:vAlign w:val="top"/>
            <w:shd w:fill="233B82"/>
          </w:tcPr>
          <w:p>
            <w:pPr>
              <w:pStyle w:val="Compact"/>
              <w:spacing w:before="40" w:after="60" w:line="247" w:lineRule="auto"/>
              <w:jc w:val="left"/>
            </w:pPr>
            <w:r>
              <w:rPr>
                <w:b/>
                <w:color w:val="FFFFFF"/>
                <w:sz w:val="18"/>
              </w:rPr>
              <w:t xml:space="preserve">Fonte no PDF</w:t>
            </w:r>
          </w:p>
        </w:tc>
      </w:tr>
      <w:tr>
        <w:trPr>
          <w:cantSplit/>
        </w:trPr>
        <w:tc>
          <w:tcPr>
            <w:tcW w:type="dxa" w:w="1714"/>
            <w:vAlign w:val="top"/>
            <w:shd w:fill="FFFFFF"/>
          </w:tcPr>
          <w:p>
            <w:pPr>
              <w:pStyle w:val="Compact"/>
              <w:spacing w:before="40" w:after="60" w:line="247" w:lineRule="auto"/>
              <w:jc w:val="left"/>
            </w:pPr>
            <w:r>
              <w:rPr>
                <w:sz w:val="18"/>
              </w:rPr>
              <w:t xml:space="preserve">HTTP Observatory — cabeçalhos HTTP</w:t>
            </w:r>
          </w:p>
        </w:tc>
        <w:tc>
          <w:tcPr>
            <w:tcW w:type="dxa" w:w="3810"/>
            <w:vAlign w:val="top"/>
            <w:shd w:fill="FFFFFF"/>
          </w:tcPr>
          <w:p>
            <w:pPr>
              <w:pStyle w:val="Compact"/>
              <w:spacing w:before="40" w:after="60" w:line="247" w:lineRule="auto"/>
              <w:jc w:val="left"/>
            </w:pPr>
            <w:r>
              <w:rPr>
                <w:sz w:val="18"/>
              </w:rPr>
              <w:t xml:space="preserve">A+; 150/100; 11 de 12 testes aprovados</w:t>
            </w:r>
          </w:p>
        </w:tc>
        <w:tc>
          <w:tcPr>
            <w:tcW w:type="dxa" w:w="1905"/>
            <w:vAlign w:val="top"/>
            <w:shd w:fill="FFFFFF"/>
          </w:tcPr>
          <w:p>
            <w:pPr>
              <w:pStyle w:val="Compact"/>
              <w:spacing w:before="40" w:after="60" w:line="247" w:lineRule="auto"/>
              <w:jc w:val="left"/>
            </w:pPr>
            <w:r>
              <w:rPr>
                <w:sz w:val="18"/>
              </w:rPr>
              <w:t xml:space="preserve">Horário relativo:</w:t>
            </w:r>
            <w:r>
              <w:rPr>
                <w:sz w:val="18"/>
              </w:rPr>
              <w:t xml:space="preserve"> </w:t>
            </w:r>
            <w:r>
              <w:rPr>
                <w:sz w:val="18"/>
              </w:rPr>
              <w:t xml:space="preserve">“</w:t>
            </w:r>
            <w:r>
              <w:rPr>
                <w:sz w:val="18"/>
              </w:rPr>
              <w:t xml:space="preserve">2 minutes ago</w:t>
            </w:r>
            <w:r>
              <w:rPr>
                <w:sz w:val="18"/>
              </w:rPr>
              <w:t xml:space="preserve">”</w:t>
            </w:r>
            <w:r>
              <w:rPr>
                <w:sz w:val="18"/>
              </w:rPr>
              <w:t xml:space="preserve">; data absoluta não informada</w:t>
            </w:r>
          </w:p>
        </w:tc>
        <w:tc>
          <w:tcPr>
            <w:tcW w:type="dxa" w:w="2095"/>
            <w:vAlign w:val="top"/>
            <w:shd w:fill="FFFFFF"/>
          </w:tcPr>
          <w:p>
            <w:pPr>
              <w:pStyle w:val="Compact"/>
              <w:spacing w:before="40" w:after="60" w:line="247" w:lineRule="auto"/>
              <w:jc w:val="left"/>
            </w:pPr>
            <w:r>
              <w:rPr>
                <w:sz w:val="18"/>
              </w:rPr>
              <w:t xml:space="preserve">E01 · p. 1</w:t>
            </w:r>
          </w:p>
        </w:tc>
      </w:tr>
      <w:tr>
        <w:trPr>
          <w:cantSplit/>
        </w:trPr>
        <w:tc>
          <w:tcPr>
            <w:tcW w:type="dxa" w:w="1714"/>
            <w:vAlign w:val="top"/>
            <w:shd w:fill="F5F8FC"/>
          </w:tcPr>
          <w:p>
            <w:pPr>
              <w:pStyle w:val="Compact"/>
              <w:spacing w:before="40" w:after="60" w:line="247" w:lineRule="auto"/>
              <w:jc w:val="left"/>
            </w:pPr>
            <w:r>
              <w:rPr>
                <w:sz w:val="18"/>
              </w:rPr>
              <w:t xml:space="preserve">PageSpeed Insights — desktop</w:t>
            </w:r>
          </w:p>
        </w:tc>
        <w:tc>
          <w:tcPr>
            <w:tcW w:type="dxa" w:w="3810"/>
            <w:vAlign w:val="top"/>
            <w:shd w:fill="F5F8FC"/>
          </w:tcPr>
          <w:p>
            <w:pPr>
              <w:pStyle w:val="Compact"/>
              <w:spacing w:before="40" w:after="60" w:line="247" w:lineRule="auto"/>
              <w:jc w:val="left"/>
            </w:pPr>
            <w:r>
              <w:rPr>
                <w:sz w:val="18"/>
              </w:rPr>
              <w:t xml:space="preserve">Desempenho 100; acessibilidade 100; práticas recomendadas 96; SEO 100; navegação agêntica 4/4</w:t>
            </w:r>
          </w:p>
        </w:tc>
        <w:tc>
          <w:tcPr>
            <w:tcW w:type="dxa" w:w="1905"/>
            <w:vAlign w:val="top"/>
            <w:shd w:fill="F5F8FC"/>
          </w:tcPr>
          <w:p>
            <w:pPr>
              <w:pStyle w:val="Compact"/>
              <w:spacing w:before="40" w:after="60" w:line="247" w:lineRule="auto"/>
              <w:jc w:val="left"/>
            </w:pPr>
            <w:r>
              <w:rPr>
                <w:sz w:val="18"/>
              </w:rPr>
              <w:t xml:space="preserve">14/10/2026, 18:19:20; captura identifica UTC às 18:19</w:t>
            </w:r>
          </w:p>
        </w:tc>
        <w:tc>
          <w:tcPr>
            <w:tcW w:type="dxa" w:w="2095"/>
            <w:vAlign w:val="top"/>
            <w:shd w:fill="F5F8FC"/>
          </w:tcPr>
          <w:p>
            <w:pPr>
              <w:pStyle w:val="Compact"/>
              <w:spacing w:before="40" w:after="60" w:line="247" w:lineRule="auto"/>
              <w:jc w:val="left"/>
            </w:pPr>
            <w:r>
              <w:rPr>
                <w:sz w:val="18"/>
              </w:rPr>
              <w:t xml:space="preserve">E02 · p. 2–11</w:t>
            </w:r>
          </w:p>
        </w:tc>
      </w:tr>
      <w:tr>
        <w:trPr>
          <w:cantSplit/>
        </w:trPr>
        <w:tc>
          <w:tcPr>
            <w:tcW w:type="dxa" w:w="1714"/>
            <w:vAlign w:val="top"/>
            <w:shd w:fill="FFFFFF"/>
          </w:tcPr>
          <w:p>
            <w:pPr>
              <w:pStyle w:val="Compact"/>
              <w:spacing w:before="40" w:after="60" w:line="247" w:lineRule="auto"/>
              <w:jc w:val="left"/>
            </w:pPr>
            <w:r>
              <w:rPr>
                <w:sz w:val="18"/>
              </w:rPr>
              <w:t xml:space="preserve">PageSpeed Insights — mobile</w:t>
            </w:r>
          </w:p>
        </w:tc>
        <w:tc>
          <w:tcPr>
            <w:tcW w:type="dxa" w:w="3810"/>
            <w:vAlign w:val="top"/>
            <w:shd w:fill="FFFFFF"/>
          </w:tcPr>
          <w:p>
            <w:pPr>
              <w:pStyle w:val="Compact"/>
              <w:spacing w:before="40" w:after="60" w:line="247" w:lineRule="auto"/>
              <w:jc w:val="left"/>
            </w:pPr>
            <w:r>
              <w:rPr>
                <w:sz w:val="18"/>
              </w:rPr>
              <w:t xml:space="preserve">Desempenho 99; acessibilidade 100; práticas recomendadas 96; SEO 100; navegação agêntica 4/4</w:t>
            </w:r>
          </w:p>
        </w:tc>
        <w:tc>
          <w:tcPr>
            <w:tcW w:type="dxa" w:w="1905"/>
            <w:vAlign w:val="top"/>
            <w:shd w:fill="FFFFFF"/>
          </w:tcPr>
          <w:p>
            <w:pPr>
              <w:pStyle w:val="Compact"/>
              <w:spacing w:before="40" w:after="60" w:line="247" w:lineRule="auto"/>
              <w:jc w:val="left"/>
            </w:pPr>
            <w:r>
              <w:rPr>
                <w:sz w:val="18"/>
              </w:rPr>
              <w:t xml:space="preserve">14/10/2026, 18:19:20; captura identifica UTC às 18:19</w:t>
            </w:r>
          </w:p>
        </w:tc>
        <w:tc>
          <w:tcPr>
            <w:tcW w:type="dxa" w:w="2095"/>
            <w:vAlign w:val="top"/>
            <w:shd w:fill="FFFFFF"/>
          </w:tcPr>
          <w:p>
            <w:pPr>
              <w:pStyle w:val="Compact"/>
              <w:spacing w:before="40" w:after="60" w:line="247" w:lineRule="auto"/>
              <w:jc w:val="left"/>
            </w:pPr>
            <w:r>
              <w:rPr>
                <w:sz w:val="18"/>
              </w:rPr>
              <w:t xml:space="preserve">E03 · p. 12–21</w:t>
            </w:r>
          </w:p>
        </w:tc>
      </w:tr>
      <w:tr>
        <w:trPr>
          <w:cantSplit/>
        </w:trPr>
        <w:tc>
          <w:tcPr>
            <w:tcW w:type="dxa" w:w="1714"/>
            <w:vAlign w:val="top"/>
            <w:shd w:fill="F5F8FC"/>
          </w:tcPr>
          <w:p>
            <w:pPr>
              <w:pStyle w:val="Compact"/>
              <w:spacing w:before="40" w:after="60" w:line="247" w:lineRule="auto"/>
              <w:jc w:val="left"/>
            </w:pPr>
            <w:r>
              <w:rPr>
                <w:sz w:val="18"/>
              </w:rPr>
              <w:t xml:space="preserve">SecurityHeaders — cabeçalhos HTTP</w:t>
            </w:r>
          </w:p>
        </w:tc>
        <w:tc>
          <w:tcPr>
            <w:tcW w:type="dxa" w:w="3810"/>
            <w:vAlign w:val="top"/>
            <w:shd w:fill="F5F8FC"/>
          </w:tcPr>
          <w:p>
            <w:pPr>
              <w:pStyle w:val="Compact"/>
              <w:spacing w:before="40" w:after="60" w:line="247" w:lineRule="auto"/>
              <w:jc w:val="left"/>
            </w:pPr>
            <w:r>
              <w:rPr>
                <w:sz w:val="18"/>
              </w:rPr>
              <w:t xml:space="preserve">A+</w:t>
            </w:r>
          </w:p>
        </w:tc>
        <w:tc>
          <w:tcPr>
            <w:tcW w:type="dxa" w:w="1905"/>
            <w:vAlign w:val="top"/>
            <w:shd w:fill="F5F8FC"/>
          </w:tcPr>
          <w:p>
            <w:pPr>
              <w:pStyle w:val="Compact"/>
              <w:spacing w:before="40" w:after="60" w:line="247" w:lineRule="auto"/>
              <w:jc w:val="left"/>
            </w:pPr>
            <w:r>
              <w:rPr>
                <w:sz w:val="18"/>
              </w:rPr>
              <w:t xml:space="preserve">14/10/2026, 13:18:28 UTC</w:t>
            </w:r>
          </w:p>
        </w:tc>
        <w:tc>
          <w:tcPr>
            <w:tcW w:type="dxa" w:w="2095"/>
            <w:vAlign w:val="top"/>
            <w:shd w:fill="F5F8FC"/>
          </w:tcPr>
          <w:p>
            <w:pPr>
              <w:pStyle w:val="Compact"/>
              <w:spacing w:before="40" w:after="60" w:line="247" w:lineRule="auto"/>
              <w:jc w:val="left"/>
            </w:pPr>
            <w:r>
              <w:rPr>
                <w:sz w:val="18"/>
              </w:rPr>
              <w:t xml:space="preserve">E04 · p. 22</w:t>
            </w:r>
          </w:p>
        </w:tc>
      </w:tr>
      <w:tr>
        <w:trPr>
          <w:cantSplit/>
        </w:trPr>
        <w:tc>
          <w:tcPr>
            <w:tcW w:type="dxa" w:w="1714"/>
            <w:vAlign w:val="top"/>
            <w:shd w:fill="FFFFFF"/>
          </w:tcPr>
          <w:p>
            <w:pPr>
              <w:pStyle w:val="Compact"/>
              <w:spacing w:before="40" w:after="60" w:line="247" w:lineRule="auto"/>
              <w:jc w:val="left"/>
            </w:pPr>
            <w:r>
              <w:rPr>
                <w:sz w:val="18"/>
              </w:rPr>
              <w:t xml:space="preserve">SSL Labs — TLS</w:t>
            </w:r>
          </w:p>
        </w:tc>
        <w:tc>
          <w:tcPr>
            <w:tcW w:type="dxa" w:w="3810"/>
            <w:vAlign w:val="top"/>
            <w:shd w:fill="FFFFFF"/>
          </w:tcPr>
          <w:p>
            <w:pPr>
              <w:pStyle w:val="Compact"/>
              <w:spacing w:before="40" w:after="60" w:line="247" w:lineRule="auto"/>
              <w:jc w:val="left"/>
            </w:pPr>
            <w:r>
              <w:rPr>
                <w:sz w:val="18"/>
              </w:rPr>
              <w:t xml:space="preserve">A+ nos 16 endpoints relacionados</w:t>
            </w:r>
          </w:p>
        </w:tc>
        <w:tc>
          <w:tcPr>
            <w:tcW w:type="dxa" w:w="1905"/>
            <w:vAlign w:val="top"/>
            <w:shd w:fill="FFFFFF"/>
          </w:tcPr>
          <w:p>
            <w:pPr>
              <w:pStyle w:val="Compact"/>
              <w:spacing w:before="40" w:after="60" w:line="247" w:lineRule="auto"/>
              <w:jc w:val="left"/>
            </w:pPr>
            <w:r>
              <w:rPr>
                <w:sz w:val="18"/>
              </w:rPr>
              <w:t xml:space="preserve">Relatório de 14/10/2026, 18:36:31 UTC</w:t>
            </w:r>
          </w:p>
        </w:tc>
        <w:tc>
          <w:tcPr>
            <w:tcW w:type="dxa" w:w="2095"/>
            <w:vAlign w:val="top"/>
            <w:shd w:fill="FFFFFF"/>
          </w:tcPr>
          <w:p>
            <w:pPr>
              <w:pStyle w:val="Compact"/>
              <w:spacing w:before="40" w:after="60" w:line="247" w:lineRule="auto"/>
              <w:jc w:val="left"/>
            </w:pPr>
            <w:r>
              <w:rPr>
                <w:sz w:val="18"/>
              </w:rPr>
              <w:t xml:space="preserve">E05 · p. 23</w:t>
            </w:r>
          </w:p>
        </w:tc>
      </w:tr>
      <w:tr>
        <w:trPr>
          <w:cantSplit/>
        </w:trPr>
        <w:tc>
          <w:tcPr>
            <w:tcW w:type="dxa" w:w="1714"/>
            <w:vAlign w:val="top"/>
            <w:shd w:fill="F5F8FC"/>
          </w:tcPr>
          <w:p>
            <w:pPr>
              <w:pStyle w:val="Compact"/>
              <w:spacing w:before="40" w:after="60" w:line="247" w:lineRule="auto"/>
              <w:jc w:val="left"/>
            </w:pPr>
            <w:r>
              <w:rPr>
                <w:sz w:val="18"/>
              </w:rPr>
              <w:t xml:space="preserve">WebPageTest — desktop</w:t>
            </w:r>
          </w:p>
        </w:tc>
        <w:tc>
          <w:tcPr>
            <w:tcW w:type="dxa" w:w="3810"/>
            <w:vAlign w:val="top"/>
            <w:shd w:fill="F5F8FC"/>
          </w:tcPr>
          <w:p>
            <w:pPr>
              <w:pStyle w:val="Compact"/>
              <w:spacing w:before="40" w:after="60" w:line="247" w:lineRule="auto"/>
              <w:jc w:val="left"/>
            </w:pPr>
            <w:r>
              <w:rPr>
                <w:sz w:val="18"/>
              </w:rPr>
              <w:t xml:space="preserve">FCP e LCP de 1,052 s; CLS 0; TBT 0 s</w:t>
            </w:r>
          </w:p>
        </w:tc>
        <w:tc>
          <w:tcPr>
            <w:tcW w:type="dxa" w:w="1905"/>
            <w:vAlign w:val="top"/>
            <w:shd w:fill="F5F8FC"/>
          </w:tcPr>
          <w:p>
            <w:pPr>
              <w:pStyle w:val="Compact"/>
              <w:spacing w:before="40" w:after="60" w:line="247" w:lineRule="auto"/>
              <w:jc w:val="left"/>
            </w:pPr>
            <w:r>
              <w:rPr>
                <w:sz w:val="18"/>
              </w:rPr>
              <w:t xml:space="preserve">14/10/2026, 13:18:34 UTC</w:t>
            </w:r>
          </w:p>
        </w:tc>
        <w:tc>
          <w:tcPr>
            <w:tcW w:type="dxa" w:w="2095"/>
            <w:vAlign w:val="top"/>
            <w:shd w:fill="F5F8FC"/>
          </w:tcPr>
          <w:p>
            <w:pPr>
              <w:pStyle w:val="Compact"/>
              <w:spacing w:before="40" w:after="60" w:line="247" w:lineRule="auto"/>
              <w:jc w:val="left"/>
            </w:pPr>
            <w:r>
              <w:rPr>
                <w:sz w:val="18"/>
              </w:rPr>
              <w:t xml:space="preserve">E06 · p. 24</w:t>
            </w:r>
          </w:p>
        </w:tc>
      </w:tr>
      <w:tr>
        <w:trPr>
          <w:cantSplit/>
        </w:trPr>
        <w:tc>
          <w:tcPr>
            <w:tcW w:type="dxa" w:w="1714"/>
            <w:vAlign w:val="top"/>
            <w:shd w:fill="FFFFFF"/>
          </w:tcPr>
          <w:p>
            <w:pPr>
              <w:pStyle w:val="Compact"/>
              <w:spacing w:before="40" w:after="60" w:line="247" w:lineRule="auto"/>
              <w:jc w:val="left"/>
            </w:pPr>
            <w:r>
              <w:rPr>
                <w:sz w:val="18"/>
              </w:rPr>
              <w:t xml:space="preserve">WAVE — acessibilidade automatizada</w:t>
            </w:r>
          </w:p>
        </w:tc>
        <w:tc>
          <w:tcPr>
            <w:tcW w:type="dxa" w:w="3810"/>
            <w:vAlign w:val="top"/>
            <w:shd w:fill="FFFFFF"/>
          </w:tcPr>
          <w:p>
            <w:pPr>
              <w:pStyle w:val="Compact"/>
              <w:spacing w:before="40" w:after="60" w:line="247" w:lineRule="auto"/>
              <w:jc w:val="left"/>
            </w:pPr>
            <w:r>
              <w:rPr>
                <w:sz w:val="18"/>
              </w:rPr>
              <w:t xml:space="preserve">AIM 10/10; 0 erros; 0 erros de contraste; 0 alertas</w:t>
            </w:r>
          </w:p>
        </w:tc>
        <w:tc>
          <w:tcPr>
            <w:tcW w:type="dxa" w:w="1905"/>
            <w:vAlign w:val="top"/>
            <w:shd w:fill="FFFFFF"/>
          </w:tcPr>
          <w:p>
            <w:pPr>
              <w:pStyle w:val="Compact"/>
              <w:spacing w:before="40" w:after="60" w:line="247" w:lineRule="auto"/>
              <w:jc w:val="left"/>
            </w:pPr>
            <w:r>
              <w:rPr>
                <w:sz w:val="18"/>
              </w:rPr>
              <w:t xml:space="preserve">Data e horário não informados</w:t>
            </w:r>
          </w:p>
        </w:tc>
        <w:tc>
          <w:tcPr>
            <w:tcW w:type="dxa" w:w="2095"/>
            <w:vAlign w:val="top"/>
            <w:shd w:fill="FFFFFF"/>
          </w:tcPr>
          <w:p>
            <w:pPr>
              <w:pStyle w:val="Compact"/>
              <w:spacing w:before="40" w:after="60" w:line="247" w:lineRule="auto"/>
              <w:jc w:val="left"/>
            </w:pPr>
            <w:r>
              <w:rPr>
                <w:sz w:val="18"/>
              </w:rPr>
              <w:t xml:space="preserve">E07 · p. 25–26</w:t>
            </w:r>
          </w:p>
        </w:tc>
      </w:tr>
      <w:tr>
        <w:trPr>
          <w:cantSplit/>
        </w:trPr>
        <w:tc>
          <w:tcPr>
            <w:tcW w:type="dxa" w:w="1714"/>
            <w:vAlign w:val="top"/>
            <w:shd w:fill="F5F8FC"/>
          </w:tcPr>
          <w:p>
            <w:pPr>
              <w:pStyle w:val="Compact"/>
              <w:spacing w:before="40" w:after="60" w:line="247" w:lineRule="auto"/>
              <w:jc w:val="left"/>
            </w:pPr>
            <w:r>
              <w:rPr>
                <w:sz w:val="18"/>
              </w:rPr>
              <w:t xml:space="preserve">Webbkoll — privacidade e transporte</w:t>
            </w:r>
          </w:p>
        </w:tc>
        <w:tc>
          <w:tcPr>
            <w:tcW w:type="dxa" w:w="3810"/>
            <w:vAlign w:val="top"/>
            <w:shd w:fill="F5F8FC"/>
          </w:tcPr>
          <w:p>
            <w:pPr>
              <w:pStyle w:val="Compact"/>
              <w:spacing w:before="40" w:after="60" w:line="247" w:lineRule="auto"/>
              <w:jc w:val="left"/>
            </w:pPr>
            <w:r>
              <w:rPr>
                <w:sz w:val="18"/>
              </w:rPr>
              <w:t xml:space="preserve">HTTPS; CSP</w:t>
            </w:r>
            <w:r>
              <w:rPr>
                <w:sz w:val="18"/>
              </w:rPr>
              <w:t xml:space="preserve"> </w:t>
            </w:r>
            <w:r>
              <w:rPr>
                <w:sz w:val="18"/>
              </w:rPr>
              <w:t xml:space="preserve">“</w:t>
            </w:r>
            <w:r>
              <w:rPr>
                <w:sz w:val="18"/>
              </w:rPr>
              <w:t xml:space="preserve">Good policy</w:t>
            </w:r>
            <w:r>
              <w:rPr>
                <w:sz w:val="18"/>
              </w:rPr>
              <w:t xml:space="preserve">”</w:t>
            </w:r>
            <w:r>
              <w:rPr>
                <w:sz w:val="18"/>
              </w:rPr>
              <w:t xml:space="preserve">; referências não divulgadas; 1 cookie próprio; 0 requisições de terceiros</w:t>
            </w:r>
          </w:p>
        </w:tc>
        <w:tc>
          <w:tcPr>
            <w:tcW w:type="dxa" w:w="1905"/>
            <w:vAlign w:val="top"/>
            <w:shd w:fill="F5F8FC"/>
          </w:tcPr>
          <w:p>
            <w:pPr>
              <w:pStyle w:val="Compact"/>
              <w:spacing w:before="40" w:after="60" w:line="247" w:lineRule="auto"/>
              <w:jc w:val="left"/>
            </w:pPr>
            <w:r>
              <w:rPr>
                <w:sz w:val="18"/>
              </w:rPr>
              <w:t xml:space="preserve">15/10/2026, 13:32:14 Etc/UTC</w:t>
            </w:r>
          </w:p>
        </w:tc>
        <w:tc>
          <w:tcPr>
            <w:tcW w:type="dxa" w:w="2095"/>
            <w:vAlign w:val="top"/>
            <w:shd w:fill="F5F8FC"/>
          </w:tcPr>
          <w:p>
            <w:pPr>
              <w:pStyle w:val="Compact"/>
              <w:spacing w:before="40" w:after="60" w:line="247" w:lineRule="auto"/>
              <w:jc w:val="left"/>
            </w:pPr>
            <w:r>
              <w:rPr>
                <w:sz w:val="18"/>
              </w:rPr>
              <w:t xml:space="preserve">E08 · p. 27–30</w:t>
            </w:r>
          </w:p>
        </w:tc>
      </w:tr>
    </w:tbl>
    <w:p>
      <w:pPr>
        <w:pStyle w:val="BodyText"/>
      </w:pPr>
      <w:r>
        <w:t xml:space="preserve">As pontuações conservam as escalas de cada ferramenta, inclusive o score 150/100 do Observatory. Elas não foram convertidas em média, nota geral do código ou percentual de conformidade. Cada relatório cobre uma camada e um momento de observação próprios.</w:t>
      </w:r>
    </w:p>
    <w:bookmarkEnd w:id="20"/>
    <w:bookmarkStart w:id="25" w:name="indicadores-complementares"/>
    <w:p>
      <w:pPr>
        <w:pStyle w:val="Heading2"/>
      </w:pPr>
      <w:bookmarkStart w:id="20002" w:name="docsec_003"/>
      <w:r>
        <w:t xml:space="preserve">Indicadores complementares</w:t>
      </w:r>
      <w:bookmarkEnd w:id="20002"/>
    </w:p>
    <w:bookmarkStart w:id="21" w:name="http-observatory-e-securityheaders"/>
    <w:p>
      <w:pPr>
        <w:pStyle w:val="Heading3"/>
      </w:pPr>
      <w:r>
        <w:t xml:space="preserve">HTTP Observatory e SecurityHeaders</w:t>
      </w:r>
    </w:p>
    <w:p>
      <w:pPr>
        <w:pStyle w:val="FirstParagraph"/>
      </w:pPr>
      <w:r>
        <w:t xml:space="preserve">O Observatory apresenta doze verificações: CSP, cookies, CORS, redirecionamento, política de referência, HSTS, integridade de subrecursos, X-Content-Type-Options, proteção contra enquadramento, COEP, COOP e CORP. A CSP recebeu +10; a política de referência e a integridade de subrecursos receberam +5 cada; a proteção contra enquadramento por</w:t>
      </w:r>
      <w:r>
        <w:t xml:space="preserve"> </w:t>
      </w:r>
      <w:r>
        <w:rPr>
          <w:rStyle w:val="VerbatimChar"/>
        </w:rPr>
        <w:t xml:space="preserve">frame-ancestors</w:t>
      </w:r>
      <w:r>
        <w:t xml:space="preserve"> </w:t>
      </w:r>
      <w:r>
        <w:t xml:space="preserve">recebeu +5; COEP, COOP e CORP receberam +10 cada. CORS é descrito como sem exposição de conteúdo entre origens; o redirecionamento termina em HTTPS no mesmo host; HSTS atende ao mínimo de seis meses; e X-Content-Type-Options é</w:t>
      </w:r>
      <w:r>
        <w:t xml:space="preserve"> </w:t>
      </w:r>
      <w:r>
        <w:rPr>
          <w:rStyle w:val="VerbatimChar"/>
        </w:rPr>
        <w:t xml:space="preserve">nosniff</w:t>
      </w:r>
      <w:r>
        <w:t xml:space="preserve">. Esses quatro itens aparecem com pontuação zero. Esses valores são os ajustes individuais apresentados, não uma recomposição independente do score.</w:t>
      </w:r>
    </w:p>
    <w:p>
      <w:pPr>
        <w:pStyle w:val="BodyText"/>
      </w:pPr>
      <w:r>
        <w:t xml:space="preserve">O item cookies apresenta</w:t>
      </w:r>
      <w:r>
        <w:t xml:space="preserve"> </w:t>
      </w:r>
      <w:r>
        <w:rPr>
          <w:b/>
          <w:bCs/>
        </w:rPr>
        <w:t xml:space="preserve">−5</w:t>
      </w:r>
      <w:r>
        <w:t xml:space="preserve">, porque houve cookie sem o atributo</w:t>
      </w:r>
      <w:r>
        <w:t xml:space="preserve"> </w:t>
      </w:r>
      <w:r>
        <w:rPr>
          <w:rStyle w:val="VerbatimChar"/>
        </w:rPr>
        <w:t xml:space="preserve">Secure</w:t>
      </w:r>
      <w:r>
        <w:t xml:space="preserve">, embora a ferramenta informe que o HSTS impede transmissão por HTTP. A recomendação registrada é adicionar</w:t>
      </w:r>
      <w:r>
        <w:t xml:space="preserve"> </w:t>
      </w:r>
      <w:r>
        <w:rPr>
          <w:rStyle w:val="VerbatimChar"/>
        </w:rPr>
        <w:t xml:space="preserve">Secure</w:t>
      </w:r>
      <w:r>
        <w:t xml:space="preserve">. O relatório também sugere considerar a inclusão em preload de HSTS; essa orientação não comprova inscrição efetiva na lista de preload.</w:t>
      </w:r>
    </w:p>
    <w:p>
      <w:pPr>
        <w:pStyle w:val="BodyText"/>
      </w:pPr>
      <w:r>
        <w:t xml:space="preserve">No SecurityHeaders, o resumo A+ identifica HSTS, X-Content-Type-Options, Referrer-Policy, Permissions-Policy, CSP e proteção de enquadramento. O detalhamento registra HTTP/2 200,</w:t>
      </w:r>
      <w:r>
        <w:t xml:space="preserve"> </w:t>
      </w:r>
      <w:r>
        <w:rPr>
          <w:rStyle w:val="VerbatimChar"/>
        </w:rPr>
        <w:t xml:space="preserve">nosniff</w:t>
      </w:r>
      <w:r>
        <w:t xml:space="preserve">,</w:t>
      </w:r>
      <w:r>
        <w:t xml:space="preserve"> </w:t>
      </w:r>
      <w:r>
        <w:rPr>
          <w:rStyle w:val="VerbatimChar"/>
        </w:rPr>
        <w:t xml:space="preserve">no-referrer</w:t>
      </w:r>
      <w:r>
        <w:t xml:space="preserve">, HSTS com</w:t>
      </w:r>
      <w:r>
        <w:t xml:space="preserve"> </w:t>
      </w:r>
      <w:r>
        <w:rPr>
          <w:rStyle w:val="VerbatimChar"/>
        </w:rPr>
        <w:t xml:space="preserve">max-age=63072000; includeSubDomains; preload</w:t>
      </w:r>
      <w:r>
        <w:t xml:space="preserve">, COOP</w:t>
      </w:r>
      <w:r>
        <w:t xml:space="preserve"> </w:t>
      </w:r>
      <w:r>
        <w:rPr>
          <w:rStyle w:val="VerbatimChar"/>
        </w:rPr>
        <w:t xml:space="preserve">same-origin-allow-popups</w:t>
      </w:r>
      <w:r>
        <w:t xml:space="preserve">, COEP</w:t>
      </w:r>
      <w:r>
        <w:t xml:space="preserve"> </w:t>
      </w:r>
      <w:r>
        <w:rPr>
          <w:rStyle w:val="VerbatimChar"/>
        </w:rPr>
        <w:t xml:space="preserve">credentialless</w:t>
      </w:r>
      <w:r>
        <w:t xml:space="preserve"> </w:t>
      </w:r>
      <w:r>
        <w:t xml:space="preserve">e CORP</w:t>
      </w:r>
      <w:r>
        <w:t xml:space="preserve"> </w:t>
      </w:r>
      <w:r>
        <w:rPr>
          <w:rStyle w:val="VerbatimChar"/>
        </w:rPr>
        <w:t xml:space="preserve">same-origin</w:t>
      </w:r>
      <w:r>
        <w:t xml:space="preserve">. A política de permissões restringe câmera, microfone, geolocalização, pagamento, USB e browsing-topics. O endpoint apresentado é 34.143.78.2.</w:t>
      </w:r>
    </w:p>
    <w:p>
      <w:pPr>
        <w:pStyle w:val="BodyText"/>
      </w:pPr>
      <w:r>
        <w:t xml:space="preserve">O cabeçalho literal</w:t>
      </w:r>
      <w:r>
        <w:t xml:space="preserve"> </w:t>
      </w:r>
      <w:r>
        <w:rPr>
          <w:rStyle w:val="VerbatimChar"/>
        </w:rPr>
        <w:t xml:space="preserve">X-Frame-Options</w:t>
      </w:r>
      <w:r>
        <w:t xml:space="preserve"> </w:t>
      </w:r>
      <w:r>
        <w:t xml:space="preserve">não aparece na resposta detalhada; a ferramenta explica que a proteção é fornecida por</w:t>
      </w:r>
      <w:r>
        <w:t xml:space="preserve"> </w:t>
      </w:r>
      <w:r>
        <w:rPr>
          <w:rStyle w:val="VerbatimChar"/>
        </w:rPr>
        <w:t xml:space="preserve">frame-ancestors</w:t>
      </w:r>
      <w:r>
        <w:t xml:space="preserve"> </w:t>
      </w:r>
      <w:r>
        <w:t xml:space="preserve">na CSP. Portanto, o indicador favorável do resumo não deve ser interpretado como presença literal daquele cabeçalho. O conjunto capturado descreve a resposta HTTP observada, sem demonstrar o processamento de dados do formulário ou as permissões IAM do banco.</w:t>
      </w:r>
    </w:p>
    <w:bookmarkEnd w:id="21"/>
    <w:bookmarkStart w:id="22" w:name="pagespeed-insights-métricas-e-condições"/>
    <w:p>
      <w:pPr>
        <w:pStyle w:val="Heading3"/>
      </w:pPr>
      <w:r>
        <w:t xml:space="preserve">PageSpeed Insights: métricas e condições</w:t>
      </w:r>
    </w:p>
    <w:p>
      <w:pPr>
        <w:pStyle w:val="FirstParagraph"/>
      </w:pPr>
      <w:r>
        <w:t xml:space="preserve">Os dois relatórios exibem</w:t>
      </w:r>
      <w:r>
        <w:t xml:space="preserve"> </w:t>
      </w:r>
      <w:r>
        <w:rPr>
          <w:b/>
          <w:bCs/>
        </w:rPr>
        <w:t xml:space="preserve">“</w:t>
      </w:r>
      <w:r>
        <w:rPr>
          <w:b/>
          <w:bCs/>
        </w:rPr>
        <w:t xml:space="preserve">No Data</w:t>
      </w:r>
      <w:r>
        <w:rPr>
          <w:b/>
          <w:bCs/>
        </w:rPr>
        <w:t xml:space="preserve">”</w:t>
      </w:r>
      <w:r>
        <w:t xml:space="preserve"> </w:t>
      </w:r>
      <w:r>
        <w:t xml:space="preserve">na seção de experiência dos usuários reais. Seus indicadores são resultados de laboratório, obtidos em carregamento inicial e sessão de página única. Não há série de dados de campo ou conclusão sobre os Core Web Vitals de visitantes reais no material recebido.</w:t>
      </w:r>
    </w:p>
    <w:p>
      <w:pPr>
        <w:pStyle w:val="TableCaption"/>
        <w:keepNext/>
      </w:pPr>
      <w:r>
        <w:t xml:space="preserve">Tabela </w:t>
      </w:r>
      <w:r>
        <w:rPr>
          <w:rFonts w:ascii="Open Sans" w:hAnsi="Open Sans"/>
          <w:sz w:val="18"/>
        </w:rPr>
        <w:fldChar w:fldCharType="begin"/>
        <w:instrText xml:space="preserve"> SEQ Tabela </w:instrText>
        <w:fldChar w:fldCharType="separate"/>
        <w:t>2</w:t>
        <w:fldChar w:fldCharType="end"/>
      </w:r>
      <w:r>
        <w:t xml:space="preserve"> — PageSpeed Insights: métricas e condições.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Indicador</w:t>
            </w:r>
          </w:p>
        </w:tc>
        <w:tc>
          <w:tcPr>
            <w:tcW w:type="dxa" w:w="2476"/>
            <w:vAlign w:val="top"/>
            <w:shd w:fill="233B82"/>
          </w:tcPr>
          <w:p>
            <w:pPr>
              <w:pStyle w:val="Compact"/>
              <w:spacing w:before="40" w:after="60" w:line="247" w:lineRule="auto"/>
              <w:jc w:val="left"/>
            </w:pPr>
            <w:r>
              <w:rPr>
                <w:b/>
                <w:color w:val="FFFFFF"/>
                <w:sz w:val="18"/>
              </w:rPr>
              <w:t xml:space="preserve">Desktop · E02</w:t>
            </w:r>
          </w:p>
        </w:tc>
        <w:tc>
          <w:tcPr>
            <w:tcW w:type="dxa" w:w="2762"/>
            <w:vAlign w:val="top"/>
            <w:shd w:fill="233B82"/>
          </w:tcPr>
          <w:p>
            <w:pPr>
              <w:pStyle w:val="Compact"/>
              <w:spacing w:before="40" w:after="60" w:line="247" w:lineRule="auto"/>
              <w:jc w:val="left"/>
            </w:pPr>
            <w:r>
              <w:rPr>
                <w:b/>
                <w:color w:val="FFFFFF"/>
                <w:sz w:val="18"/>
              </w:rPr>
              <w:t xml:space="preserve">Mobile · E03</w:t>
            </w:r>
          </w:p>
        </w:tc>
        <w:tc>
          <w:tcPr>
            <w:tcW w:type="dxa" w:w="2572"/>
            <w:vAlign w:val="top"/>
            <w:shd w:fill="233B82"/>
          </w:tcPr>
          <w:p>
            <w:pPr>
              <w:pStyle w:val="Compact"/>
              <w:spacing w:before="40" w:after="60" w:line="247" w:lineRule="auto"/>
              <w:jc w:val="left"/>
            </w:pPr>
            <w:r>
              <w:rPr>
                <w:b/>
                <w:color w:val="FFFFFF"/>
                <w:sz w:val="18"/>
              </w:rPr>
              <w:t xml:space="preserve">Significado</w:t>
            </w:r>
          </w:p>
        </w:tc>
      </w:tr>
      <w:tr>
        <w:trPr>
          <w:cantSplit/>
        </w:trPr>
        <w:tc>
          <w:tcPr>
            <w:tcW w:type="dxa" w:w="1714"/>
            <w:vAlign w:val="top"/>
            <w:shd w:fill="FFFFFF"/>
          </w:tcPr>
          <w:p>
            <w:pPr>
              <w:pStyle w:val="Compact"/>
              <w:spacing w:before="40" w:after="60" w:line="247" w:lineRule="auto"/>
              <w:jc w:val="left"/>
            </w:pPr>
            <w:r>
              <w:rPr>
                <w:sz w:val="18"/>
              </w:rPr>
              <w:t xml:space="preserve">FCP</w:t>
            </w:r>
          </w:p>
        </w:tc>
        <w:tc>
          <w:tcPr>
            <w:tcW w:type="dxa" w:w="2476"/>
            <w:vAlign w:val="top"/>
            <w:shd w:fill="FFFFFF"/>
          </w:tcPr>
          <w:p>
            <w:pPr>
              <w:pStyle w:val="Compact"/>
              <w:spacing w:before="40" w:after="60" w:line="247" w:lineRule="auto"/>
              <w:jc w:val="left"/>
            </w:pPr>
            <w:r>
              <w:rPr>
                <w:sz w:val="18"/>
              </w:rPr>
              <w:t xml:space="preserve">0,4 s</w:t>
            </w:r>
          </w:p>
        </w:tc>
        <w:tc>
          <w:tcPr>
            <w:tcW w:type="dxa" w:w="2762"/>
            <w:vAlign w:val="top"/>
            <w:shd w:fill="FFFFFF"/>
          </w:tcPr>
          <w:p>
            <w:pPr>
              <w:pStyle w:val="Compact"/>
              <w:spacing w:before="40" w:after="60" w:line="247" w:lineRule="auto"/>
              <w:jc w:val="left"/>
            </w:pPr>
            <w:r>
              <w:rPr>
                <w:sz w:val="18"/>
              </w:rPr>
              <w:t xml:space="preserve">1,5 s</w:t>
            </w:r>
          </w:p>
        </w:tc>
        <w:tc>
          <w:tcPr>
            <w:tcW w:type="dxa" w:w="2572"/>
            <w:vAlign w:val="top"/>
            <w:shd w:fill="FFFFFF"/>
          </w:tcPr>
          <w:p>
            <w:pPr>
              <w:pStyle w:val="Compact"/>
              <w:spacing w:before="40" w:after="60" w:line="247" w:lineRule="auto"/>
              <w:jc w:val="left"/>
            </w:pPr>
            <w:r>
              <w:rPr>
                <w:sz w:val="18"/>
              </w:rPr>
              <w:t xml:space="preserve">First Contentful Paint: primeira apresentação de conteúdo</w:t>
            </w:r>
          </w:p>
        </w:tc>
      </w:tr>
      <w:tr>
        <w:trPr>
          <w:cantSplit/>
        </w:trPr>
        <w:tc>
          <w:tcPr>
            <w:tcW w:type="dxa" w:w="1714"/>
            <w:vAlign w:val="top"/>
            <w:shd w:fill="F5F8FC"/>
          </w:tcPr>
          <w:p>
            <w:pPr>
              <w:pStyle w:val="Compact"/>
              <w:spacing w:before="40" w:after="60" w:line="247" w:lineRule="auto"/>
              <w:jc w:val="left"/>
            </w:pPr>
            <w:r>
              <w:rPr>
                <w:sz w:val="18"/>
              </w:rPr>
              <w:t xml:space="preserve">LCP</w:t>
            </w:r>
          </w:p>
        </w:tc>
        <w:tc>
          <w:tcPr>
            <w:tcW w:type="dxa" w:w="2476"/>
            <w:vAlign w:val="top"/>
            <w:shd w:fill="F5F8FC"/>
          </w:tcPr>
          <w:p>
            <w:pPr>
              <w:pStyle w:val="Compact"/>
              <w:spacing w:before="40" w:after="60" w:line="247" w:lineRule="auto"/>
              <w:jc w:val="left"/>
            </w:pPr>
            <w:r>
              <w:rPr>
                <w:sz w:val="18"/>
              </w:rPr>
              <w:t xml:space="preserve">0,5 s</w:t>
            </w:r>
          </w:p>
        </w:tc>
        <w:tc>
          <w:tcPr>
            <w:tcW w:type="dxa" w:w="2762"/>
            <w:vAlign w:val="top"/>
            <w:shd w:fill="F5F8FC"/>
          </w:tcPr>
          <w:p>
            <w:pPr>
              <w:pStyle w:val="Compact"/>
              <w:spacing w:before="40" w:after="60" w:line="247" w:lineRule="auto"/>
              <w:jc w:val="left"/>
            </w:pPr>
            <w:r>
              <w:rPr>
                <w:sz w:val="18"/>
              </w:rPr>
              <w:t xml:space="preserve">1,8 s</w:t>
            </w:r>
          </w:p>
        </w:tc>
        <w:tc>
          <w:tcPr>
            <w:tcW w:type="dxa" w:w="2572"/>
            <w:vAlign w:val="top"/>
            <w:shd w:fill="F5F8FC"/>
          </w:tcPr>
          <w:p>
            <w:pPr>
              <w:pStyle w:val="Compact"/>
              <w:spacing w:before="40" w:after="60" w:line="247" w:lineRule="auto"/>
              <w:jc w:val="left"/>
            </w:pPr>
            <w:r>
              <w:rPr>
                <w:sz w:val="18"/>
              </w:rPr>
              <w:t xml:space="preserve">Largest Contentful Paint: apresentação do maior elemento de conteúdo</w:t>
            </w:r>
          </w:p>
        </w:tc>
      </w:tr>
      <w:tr>
        <w:trPr>
          <w:cantSplit/>
        </w:trPr>
        <w:tc>
          <w:tcPr>
            <w:tcW w:type="dxa" w:w="1714"/>
            <w:vAlign w:val="top"/>
            <w:shd w:fill="FFFFFF"/>
          </w:tcPr>
          <w:p>
            <w:pPr>
              <w:pStyle w:val="Compact"/>
              <w:spacing w:before="40" w:after="60" w:line="247" w:lineRule="auto"/>
              <w:jc w:val="left"/>
            </w:pPr>
            <w:r>
              <w:rPr>
                <w:sz w:val="18"/>
              </w:rPr>
              <w:t xml:space="preserve">TBT</w:t>
            </w:r>
          </w:p>
        </w:tc>
        <w:tc>
          <w:tcPr>
            <w:tcW w:type="dxa" w:w="2476"/>
            <w:vAlign w:val="top"/>
            <w:shd w:fill="FFFFFF"/>
          </w:tcPr>
          <w:p>
            <w:pPr>
              <w:pStyle w:val="Compact"/>
              <w:spacing w:before="40" w:after="60" w:line="247" w:lineRule="auto"/>
              <w:jc w:val="left"/>
            </w:pPr>
            <w:r>
              <w:rPr>
                <w:sz w:val="18"/>
              </w:rPr>
              <w:t xml:space="preserve">20 ms</w:t>
            </w:r>
          </w:p>
        </w:tc>
        <w:tc>
          <w:tcPr>
            <w:tcW w:type="dxa" w:w="2762"/>
            <w:vAlign w:val="top"/>
            <w:shd w:fill="FFFFFF"/>
          </w:tcPr>
          <w:p>
            <w:pPr>
              <w:pStyle w:val="Compact"/>
              <w:spacing w:before="40" w:after="60" w:line="247" w:lineRule="auto"/>
              <w:jc w:val="left"/>
            </w:pPr>
            <w:r>
              <w:rPr>
                <w:sz w:val="18"/>
              </w:rPr>
              <w:t xml:space="preserve">20 ms</w:t>
            </w:r>
          </w:p>
        </w:tc>
        <w:tc>
          <w:tcPr>
            <w:tcW w:type="dxa" w:w="2572"/>
            <w:vAlign w:val="top"/>
            <w:shd w:fill="FFFFFF"/>
          </w:tcPr>
          <w:p>
            <w:pPr>
              <w:pStyle w:val="Compact"/>
              <w:spacing w:before="40" w:after="60" w:line="247" w:lineRule="auto"/>
              <w:jc w:val="left"/>
            </w:pPr>
            <w:r>
              <w:rPr>
                <w:sz w:val="18"/>
              </w:rPr>
              <w:t xml:space="preserve">Total Blocking Time: tempo de bloqueio acumulado no teste</w:t>
            </w:r>
          </w:p>
        </w:tc>
      </w:tr>
      <w:tr>
        <w:trPr>
          <w:cantSplit/>
        </w:trPr>
        <w:tc>
          <w:tcPr>
            <w:tcW w:type="dxa" w:w="1714"/>
            <w:vAlign w:val="top"/>
            <w:shd w:fill="F5F8FC"/>
          </w:tcPr>
          <w:p>
            <w:pPr>
              <w:pStyle w:val="Compact"/>
              <w:spacing w:before="40" w:after="60" w:line="247" w:lineRule="auto"/>
              <w:jc w:val="left"/>
            </w:pPr>
            <w:r>
              <w:rPr>
                <w:sz w:val="18"/>
              </w:rPr>
              <w:t xml:space="preserve">CLS</w:t>
            </w:r>
          </w:p>
        </w:tc>
        <w:tc>
          <w:tcPr>
            <w:tcW w:type="dxa" w:w="2476"/>
            <w:vAlign w:val="top"/>
            <w:shd w:fill="F5F8FC"/>
          </w:tcPr>
          <w:p>
            <w:pPr>
              <w:pStyle w:val="Compact"/>
              <w:spacing w:before="40" w:after="60" w:line="247" w:lineRule="auto"/>
              <w:jc w:val="left"/>
            </w:pPr>
            <w:r>
              <w:rPr>
                <w:sz w:val="18"/>
              </w:rPr>
              <w:t xml:space="preserve">0</w:t>
            </w:r>
          </w:p>
        </w:tc>
        <w:tc>
          <w:tcPr>
            <w:tcW w:type="dxa" w:w="2762"/>
            <w:vAlign w:val="top"/>
            <w:shd w:fill="F5F8FC"/>
          </w:tcPr>
          <w:p>
            <w:pPr>
              <w:pStyle w:val="Compact"/>
              <w:spacing w:before="40" w:after="60" w:line="247" w:lineRule="auto"/>
              <w:jc w:val="left"/>
            </w:pPr>
            <w:r>
              <w:rPr>
                <w:sz w:val="18"/>
              </w:rPr>
              <w:t xml:space="preserve">0</w:t>
            </w:r>
          </w:p>
        </w:tc>
        <w:tc>
          <w:tcPr>
            <w:tcW w:type="dxa" w:w="2572"/>
            <w:vAlign w:val="top"/>
            <w:shd w:fill="F5F8FC"/>
          </w:tcPr>
          <w:p>
            <w:pPr>
              <w:pStyle w:val="Compact"/>
              <w:spacing w:before="40" w:after="60" w:line="247" w:lineRule="auto"/>
              <w:jc w:val="left"/>
            </w:pPr>
            <w:r>
              <w:rPr>
                <w:sz w:val="18"/>
              </w:rPr>
              <w:t xml:space="preserve">Cumulative Layout Shift: deslocamento acumulado do layout, sem unidade</w:t>
            </w:r>
          </w:p>
        </w:tc>
      </w:tr>
      <w:tr>
        <w:trPr>
          <w:cantSplit/>
        </w:trPr>
        <w:tc>
          <w:tcPr>
            <w:tcW w:type="dxa" w:w="1714"/>
            <w:vAlign w:val="top"/>
            <w:shd w:fill="FFFFFF"/>
          </w:tcPr>
          <w:p>
            <w:pPr>
              <w:pStyle w:val="Compact"/>
              <w:spacing w:before="40" w:after="60" w:line="247" w:lineRule="auto"/>
              <w:jc w:val="left"/>
            </w:pPr>
            <w:r>
              <w:rPr>
                <w:sz w:val="18"/>
              </w:rPr>
              <w:t xml:space="preserve">Speed Index</w:t>
            </w:r>
          </w:p>
        </w:tc>
        <w:tc>
          <w:tcPr>
            <w:tcW w:type="dxa" w:w="2476"/>
            <w:vAlign w:val="top"/>
            <w:shd w:fill="FFFFFF"/>
          </w:tcPr>
          <w:p>
            <w:pPr>
              <w:pStyle w:val="Compact"/>
              <w:spacing w:before="40" w:after="60" w:line="247" w:lineRule="auto"/>
              <w:jc w:val="left"/>
            </w:pPr>
            <w:r>
              <w:rPr>
                <w:sz w:val="18"/>
              </w:rPr>
              <w:t xml:space="preserve">0,9 s</w:t>
            </w:r>
          </w:p>
        </w:tc>
        <w:tc>
          <w:tcPr>
            <w:tcW w:type="dxa" w:w="2762"/>
            <w:vAlign w:val="top"/>
            <w:shd w:fill="FFFFFF"/>
          </w:tcPr>
          <w:p>
            <w:pPr>
              <w:pStyle w:val="Compact"/>
              <w:spacing w:before="40" w:after="60" w:line="247" w:lineRule="auto"/>
              <w:jc w:val="left"/>
            </w:pPr>
            <w:r>
              <w:rPr>
                <w:sz w:val="18"/>
              </w:rPr>
              <w:t xml:space="preserve">1,6 s</w:t>
            </w:r>
          </w:p>
        </w:tc>
        <w:tc>
          <w:tcPr>
            <w:tcW w:type="dxa" w:w="2572"/>
            <w:vAlign w:val="top"/>
            <w:shd w:fill="FFFFFF"/>
          </w:tcPr>
          <w:p>
            <w:pPr>
              <w:pStyle w:val="Compact"/>
              <w:spacing w:before="40" w:after="60" w:line="247" w:lineRule="auto"/>
              <w:jc w:val="left"/>
            </w:pPr>
            <w:r>
              <w:rPr>
                <w:sz w:val="18"/>
              </w:rPr>
              <w:t xml:space="preserve">Índice de velocidade de apresentação visual</w:t>
            </w:r>
          </w:p>
        </w:tc>
      </w:tr>
    </w:tbl>
    <w:p>
      <w:pPr>
        <w:pStyle w:val="BodyText"/>
      </w:pPr>
      <w:r>
        <w:t xml:space="preserve">A execução desktop utilizou desktop emulado e limitação de rede personalizada. A execução mobile utilizou</w:t>
      </w:r>
      <w:r>
        <w:t xml:space="preserve"> </w:t>
      </w:r>
      <w:r>
        <w:rPr>
          <w:b/>
          <w:bCs/>
        </w:rPr>
        <w:t xml:space="preserve">Moto G Power emulado</w:t>
      </w:r>
      <w:r>
        <w:t xml:space="preserve">, com limitação</w:t>
      </w:r>
      <w:r>
        <w:t xml:space="preserve"> </w:t>
      </w:r>
      <w:r>
        <w:rPr>
          <w:b/>
          <w:bCs/>
        </w:rPr>
        <w:t xml:space="preserve">Slow 4G</w:t>
      </w:r>
      <w:r>
        <w:t xml:space="preserve">. Ambas identificam</w:t>
      </w:r>
      <w:r>
        <w:t xml:space="preserve"> </w:t>
      </w:r>
      <w:r>
        <w:rPr>
          <w:b/>
          <w:bCs/>
        </w:rPr>
        <w:t xml:space="preserve">Lighthouse 13.5.0</w:t>
      </w:r>
      <w:r>
        <w:t xml:space="preserve"> </w:t>
      </w:r>
      <w:r>
        <w:t xml:space="preserve">e</w:t>
      </w:r>
      <w:r>
        <w:t xml:space="preserve"> </w:t>
      </w:r>
      <w:r>
        <w:rPr>
          <w:b/>
          <w:bCs/>
        </w:rPr>
        <w:t xml:space="preserve">HeadlessChromium 153.0.8010.36</w:t>
      </w:r>
      <w:r>
        <w:t xml:space="preserve">. O Speed Index aparece na continuação das páginas 4 e 14; foi relacionado ao indicador correspondente das páginas anteriores.</w:t>
      </w:r>
    </w:p>
    <w:p>
      <w:pPr>
        <w:pStyle w:val="BodyText"/>
      </w:pPr>
      <w:r>
        <w:t xml:space="preserve">As capturas preservam oportunidades de otimização mesmo com as notas elevadas. No desktop, aparecem economia estimada de 235 KiB na entrega de imagens, 80 ms em requisições que bloqueiam a renderização, 1 KiB em cache e 32 KiB de JavaScript não utilizado, além de duas tarefas longas. No mobile, aparecem 160 KiB em imagens, 300 ms em bloqueio de renderização, 1 KiB em cache e 31 KiB de JavaScript não utilizado, além de uma tarefa longa. São estimativas da ferramenta para aquela execução, e não ganhos medidos após alterações.</w:t>
      </w:r>
    </w:p>
    <w:p>
      <w:pPr>
        <w:pStyle w:val="BodyText"/>
      </w:pPr>
      <w:r>
        <w:t xml:space="preserve">Também são apresentados análise de dependências de rede, divisão do LCP e participação de terceiros; no desktop há indicação de recálculo forçado de layout e otimização do tamanho do DOM. As seções de desempenho registram 17 auditorias aprovadas no desktop e 19 no mobile.</w:t>
      </w:r>
    </w:p>
    <w:p>
      <w:pPr>
        <w:pStyle w:val="BodyText"/>
      </w:pPr>
      <w:r>
        <w:t xml:space="preserve">Em acessibilidade, as duas modalidades exibem 22 auditorias aprovadas, 41 não aplicáveis e dez verificações manuais adicionais. Essas últimas abrangem uso do teclado, finalidade e estado de controles, ordem de tabulação e do DOM, ausência de aprisionamento de foco, direcionamento do foco a conteúdo novo, regiões semânticas HTML5, ocultação de conteúdo fora da tela e identificação de controles personalizados. O próprio relatório informa que a detecção automática cobre apenas parte das questões de acessibilidade.</w:t>
      </w:r>
    </w:p>
    <w:p>
      <w:pPr>
        <w:pStyle w:val="BodyText"/>
      </w:pPr>
      <w:r>
        <w:t xml:space="preserve">Em práticas recomendadas, a pontuação 96 acompanha o aviso de imagens com proporção incorreta. A captura também apresenta itens sobre eficácia da CSP contra XSS, Trusted Types e compatibilidade Baseline; sua presença nessa lista não estabelece, por si, uma exploração demonstrada. Há 12 auditorias aprovadas e cinco não aplicáveis. SEO, Search Engine Optimization, recebe 100 e registra dez auditorias aprovadas, com validação manual de dados estruturados indicada separadamente. A categoria de navegação agêntica apresenta quatro auditorias aprovadas e três não aplicáveis, com a ressalva de que está em desenvolvimento e sujeita a alterações.</w:t>
      </w:r>
    </w:p>
    <w:bookmarkEnd w:id="22"/>
    <w:bookmarkStart w:id="23" w:name="ssl-labs-e-webpagetest"/>
    <w:p>
      <w:pPr>
        <w:pStyle w:val="Heading3"/>
      </w:pPr>
      <w:r>
        <w:t xml:space="preserve">SSL Labs e WebPageTest</w:t>
      </w:r>
    </w:p>
    <w:p>
      <w:pPr>
        <w:pStyle w:val="FirstParagraph"/>
      </w:pPr>
      <w:r>
        <w:t xml:space="preserve">O relatório</w:t>
      </w:r>
      <w:r>
        <w:t xml:space="preserve"> </w:t>
      </w:r>
      <w:r>
        <w:rPr>
          <w:b/>
          <w:bCs/>
        </w:rPr>
        <w:t xml:space="preserve">SSL Labs v2.4.3</w:t>
      </w:r>
      <w:r>
        <w:t xml:space="preserve"> </w:t>
      </w:r>
      <w:r>
        <w:t xml:space="preserve">lista 16 endpoints do mesmo hostname, sendo oito IPv4 e oito IPv6, todos com A+. Os testes individuais vão de 14/10/2026, 18:12:56 UTC a 18:34:59 UTC; o cabeçalho do relatório registra 18:36:31 UTC. São endpoints de transporte do mesmo endereço público, e não dezesseis sistemas distintos. A página de resumo não contém o detalhamento de protocolos, cifras ou certificados de cada endpoint; esses itens permanecem sem transcrição técnica específica.</w:t>
      </w:r>
    </w:p>
    <w:p>
      <w:pPr>
        <w:pStyle w:val="BodyText"/>
      </w:pPr>
      <w:r>
        <w:t xml:space="preserve">O WebPageTest registra desktop,</w:t>
      </w:r>
      <w:r>
        <w:t xml:space="preserve"> </w:t>
      </w:r>
      <w:r>
        <w:rPr>
          <w:b/>
          <w:bCs/>
        </w:rPr>
        <w:t xml:space="preserve">Chrome v152</w:t>
      </w:r>
      <w:r>
        <w:t xml:space="preserve">, conexão Wi-Fi de</w:t>
      </w:r>
      <w:r>
        <w:t xml:space="preserve"> </w:t>
      </w:r>
      <w:r>
        <w:rPr>
          <w:b/>
          <w:bCs/>
        </w:rPr>
        <w:t xml:space="preserve">240/120 Mbps e 2 ms de RTT</w:t>
      </w:r>
      <w:r>
        <w:t xml:space="preserve">, com ponto de execução em</w:t>
      </w:r>
      <w:r>
        <w:t xml:space="preserve"> </w:t>
      </w:r>
      <w:r>
        <w:rPr>
          <w:b/>
          <w:bCs/>
        </w:rPr>
        <w:t xml:space="preserve">Columbus, Ohio, EUA</w:t>
      </w:r>
      <w:r>
        <w:t xml:space="preserve">. RTT é o tempo de ida e volta da conexão informado na configuração. A captura reúne vistas sequenciais do resumo e do filmstrip da mesma rodada.</w:t>
      </w:r>
    </w:p>
    <w:p>
      <w:pPr>
        <w:pStyle w:val="TableCaption"/>
        <w:keepNext/>
      </w:pPr>
      <w:r>
        <w:t xml:space="preserve">Tabela </w:t>
      </w:r>
      <w:r>
        <w:rPr>
          <w:rFonts w:ascii="Open Sans" w:hAnsi="Open Sans"/>
          <w:sz w:val="18"/>
        </w:rPr>
        <w:fldChar w:fldCharType="begin"/>
        <w:instrText xml:space="preserve"> SEQ Tabela </w:instrText>
        <w:fldChar w:fldCharType="separate"/>
        <w:t>3</w:t>
        <w:fldChar w:fldCharType="end"/>
      </w:r>
      <w:r>
        <w:t xml:space="preserve"> — SSL Labs e WebPageTest.</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Indicador WebPageTest</w:t>
            </w:r>
          </w:p>
        </w:tc>
        <w:tc>
          <w:tcPr>
            <w:tcW w:type="dxa" w:w="2476"/>
            <w:vAlign w:val="top"/>
            <w:shd w:fill="233B82"/>
          </w:tcPr>
          <w:p>
            <w:pPr>
              <w:pStyle w:val="Compact"/>
              <w:spacing w:before="40" w:after="60" w:line="247" w:lineRule="auto"/>
              <w:jc w:val="left"/>
            </w:pPr>
            <w:r>
              <w:rPr>
                <w:b/>
                <w:color w:val="FFFFFF"/>
                <w:sz w:val="18"/>
              </w:rPr>
              <w:t xml:space="preserve">Valor apresentado</w:t>
            </w:r>
          </w:p>
        </w:tc>
        <w:tc>
          <w:tcPr>
            <w:tcW w:type="dxa" w:w="2762"/>
            <w:vAlign w:val="top"/>
            <w:shd w:fill="233B82"/>
          </w:tcPr>
          <w:p>
            <w:pPr>
              <w:pStyle w:val="Compact"/>
              <w:spacing w:before="40" w:after="60" w:line="247" w:lineRule="auto"/>
              <w:jc w:val="left"/>
            </w:pPr>
            <w:r>
              <w:rPr>
                <w:b/>
                <w:color w:val="FFFFFF"/>
                <w:sz w:val="18"/>
              </w:rPr>
              <w:t xml:space="preserve">Indicador WebPageTest</w:t>
            </w:r>
          </w:p>
        </w:tc>
        <w:tc>
          <w:tcPr>
            <w:tcW w:type="dxa" w:w="2572"/>
            <w:vAlign w:val="top"/>
            <w:shd w:fill="233B82"/>
          </w:tcPr>
          <w:p>
            <w:pPr>
              <w:pStyle w:val="Compact"/>
              <w:spacing w:before="40" w:after="60" w:line="247" w:lineRule="auto"/>
              <w:jc w:val="left"/>
            </w:pPr>
            <w:r>
              <w:rPr>
                <w:b/>
                <w:color w:val="FFFFFF"/>
                <w:sz w:val="18"/>
              </w:rPr>
              <w:t xml:space="preserve">Valor apresentado</w:t>
            </w:r>
          </w:p>
        </w:tc>
      </w:tr>
      <w:tr>
        <w:trPr>
          <w:cantSplit/>
        </w:trPr>
        <w:tc>
          <w:tcPr>
            <w:tcW w:type="dxa" w:w="1714"/>
            <w:vAlign w:val="top"/>
            <w:shd w:fill="FFFFFF"/>
          </w:tcPr>
          <w:p>
            <w:pPr>
              <w:pStyle w:val="Compact"/>
              <w:spacing w:before="40" w:after="60" w:line="247" w:lineRule="auto"/>
              <w:jc w:val="left"/>
            </w:pPr>
            <w:r>
              <w:rPr>
                <w:sz w:val="18"/>
              </w:rPr>
              <w:t xml:space="preserve">FCP</w:t>
            </w:r>
          </w:p>
        </w:tc>
        <w:tc>
          <w:tcPr>
            <w:tcW w:type="dxa" w:w="2476"/>
            <w:vAlign w:val="top"/>
            <w:shd w:fill="FFFFFF"/>
          </w:tcPr>
          <w:p>
            <w:pPr>
              <w:pStyle w:val="Compact"/>
              <w:spacing w:before="40" w:after="60" w:line="247" w:lineRule="auto"/>
              <w:jc w:val="left"/>
            </w:pPr>
            <w:r>
              <w:rPr>
                <w:sz w:val="18"/>
              </w:rPr>
              <w:t xml:space="preserve">1,052 s</w:t>
            </w:r>
          </w:p>
        </w:tc>
        <w:tc>
          <w:tcPr>
            <w:tcW w:type="dxa" w:w="2762"/>
            <w:vAlign w:val="top"/>
            <w:shd w:fill="FFFFFF"/>
          </w:tcPr>
          <w:p>
            <w:pPr>
              <w:pStyle w:val="Compact"/>
              <w:spacing w:before="40" w:after="60" w:line="247" w:lineRule="auto"/>
              <w:jc w:val="left"/>
            </w:pPr>
            <w:r>
              <w:rPr>
                <w:sz w:val="18"/>
              </w:rPr>
              <w:t xml:space="preserve">LCP</w:t>
            </w:r>
          </w:p>
        </w:tc>
        <w:tc>
          <w:tcPr>
            <w:tcW w:type="dxa" w:w="2572"/>
            <w:vAlign w:val="top"/>
            <w:shd w:fill="FFFFFF"/>
          </w:tcPr>
          <w:p>
            <w:pPr>
              <w:pStyle w:val="Compact"/>
              <w:spacing w:before="40" w:after="60" w:line="247" w:lineRule="auto"/>
              <w:jc w:val="left"/>
            </w:pPr>
            <w:r>
              <w:rPr>
                <w:sz w:val="18"/>
              </w:rPr>
              <w:t xml:space="preserve">1,052 s</w:t>
            </w:r>
          </w:p>
        </w:tc>
      </w:tr>
      <w:tr>
        <w:trPr>
          <w:cantSplit/>
        </w:trPr>
        <w:tc>
          <w:tcPr>
            <w:tcW w:type="dxa" w:w="1714"/>
            <w:vAlign w:val="top"/>
            <w:shd w:fill="F5F8FC"/>
          </w:tcPr>
          <w:p>
            <w:pPr>
              <w:pStyle w:val="Compact"/>
              <w:spacing w:before="40" w:after="60" w:line="247" w:lineRule="auto"/>
              <w:jc w:val="left"/>
            </w:pPr>
            <w:r>
              <w:rPr>
                <w:sz w:val="18"/>
              </w:rPr>
              <w:t xml:space="preserve">CLS</w:t>
            </w:r>
          </w:p>
        </w:tc>
        <w:tc>
          <w:tcPr>
            <w:tcW w:type="dxa" w:w="2476"/>
            <w:vAlign w:val="top"/>
            <w:shd w:fill="F5F8FC"/>
          </w:tcPr>
          <w:p>
            <w:pPr>
              <w:pStyle w:val="Compact"/>
              <w:spacing w:before="40" w:after="60" w:line="247" w:lineRule="auto"/>
              <w:jc w:val="left"/>
            </w:pPr>
            <w:r>
              <w:rPr>
                <w:sz w:val="18"/>
              </w:rPr>
              <w:t xml:space="preserve">0</w:t>
            </w:r>
          </w:p>
        </w:tc>
        <w:tc>
          <w:tcPr>
            <w:tcW w:type="dxa" w:w="2762"/>
            <w:vAlign w:val="top"/>
            <w:shd w:fill="F5F8FC"/>
          </w:tcPr>
          <w:p>
            <w:pPr>
              <w:pStyle w:val="Compact"/>
              <w:spacing w:before="40" w:after="60" w:line="247" w:lineRule="auto"/>
              <w:jc w:val="left"/>
            </w:pPr>
            <w:r>
              <w:rPr>
                <w:sz w:val="18"/>
              </w:rPr>
              <w:t xml:space="preserve">TTFB</w:t>
            </w:r>
          </w:p>
        </w:tc>
        <w:tc>
          <w:tcPr>
            <w:tcW w:type="dxa" w:w="2572"/>
            <w:vAlign w:val="top"/>
            <w:shd w:fill="F5F8FC"/>
          </w:tcPr>
          <w:p>
            <w:pPr>
              <w:pStyle w:val="Compact"/>
              <w:spacing w:before="40" w:after="60" w:line="247" w:lineRule="auto"/>
              <w:jc w:val="left"/>
            </w:pPr>
            <w:r>
              <w:rPr>
                <w:sz w:val="18"/>
              </w:rPr>
              <w:t xml:space="preserve">0,356 s</w:t>
            </w:r>
          </w:p>
        </w:tc>
      </w:tr>
      <w:tr>
        <w:trPr>
          <w:cantSplit/>
        </w:trPr>
        <w:tc>
          <w:tcPr>
            <w:tcW w:type="dxa" w:w="1714"/>
            <w:vAlign w:val="top"/>
            <w:shd w:fill="FFFFFF"/>
          </w:tcPr>
          <w:p>
            <w:pPr>
              <w:pStyle w:val="Compact"/>
              <w:spacing w:before="40" w:after="60" w:line="247" w:lineRule="auto"/>
              <w:jc w:val="left"/>
            </w:pPr>
            <w:r>
              <w:rPr>
                <w:sz w:val="18"/>
              </w:rPr>
              <w:t xml:space="preserve">Start Render</w:t>
            </w:r>
          </w:p>
        </w:tc>
        <w:tc>
          <w:tcPr>
            <w:tcW w:type="dxa" w:w="2476"/>
            <w:vAlign w:val="top"/>
            <w:shd w:fill="FFFFFF"/>
          </w:tcPr>
          <w:p>
            <w:pPr>
              <w:pStyle w:val="Compact"/>
              <w:spacing w:before="40" w:after="60" w:line="247" w:lineRule="auto"/>
              <w:jc w:val="left"/>
            </w:pPr>
            <w:r>
              <w:rPr>
                <w:sz w:val="18"/>
              </w:rPr>
              <w:t xml:space="preserve">1 s</w:t>
            </w:r>
          </w:p>
        </w:tc>
        <w:tc>
          <w:tcPr>
            <w:tcW w:type="dxa" w:w="2762"/>
            <w:vAlign w:val="top"/>
            <w:shd w:fill="FFFFFF"/>
          </w:tcPr>
          <w:p>
            <w:pPr>
              <w:pStyle w:val="Compact"/>
              <w:spacing w:before="40" w:after="60" w:line="247" w:lineRule="auto"/>
              <w:jc w:val="left"/>
            </w:pPr>
            <w:r>
              <w:rPr>
                <w:sz w:val="18"/>
              </w:rPr>
              <w:t xml:space="preserve">Speed Index</w:t>
            </w:r>
          </w:p>
        </w:tc>
        <w:tc>
          <w:tcPr>
            <w:tcW w:type="dxa" w:w="2572"/>
            <w:vAlign w:val="top"/>
            <w:shd w:fill="FFFFFF"/>
          </w:tcPr>
          <w:p>
            <w:pPr>
              <w:pStyle w:val="Compact"/>
              <w:spacing w:before="40" w:after="60" w:line="247" w:lineRule="auto"/>
              <w:jc w:val="left"/>
            </w:pPr>
            <w:r>
              <w:rPr>
                <w:sz w:val="18"/>
              </w:rPr>
              <w:t xml:space="preserve">1,171 s</w:t>
            </w:r>
          </w:p>
        </w:tc>
      </w:tr>
      <w:tr>
        <w:trPr>
          <w:cantSplit/>
        </w:trPr>
        <w:tc>
          <w:tcPr>
            <w:tcW w:type="dxa" w:w="1714"/>
            <w:vAlign w:val="top"/>
            <w:shd w:fill="F5F8FC"/>
          </w:tcPr>
          <w:p>
            <w:pPr>
              <w:pStyle w:val="Compact"/>
              <w:spacing w:before="40" w:after="60" w:line="247" w:lineRule="auto"/>
              <w:jc w:val="left"/>
            </w:pPr>
            <w:r>
              <w:rPr>
                <w:sz w:val="18"/>
              </w:rPr>
              <w:t xml:space="preserve">TBT</w:t>
            </w:r>
          </w:p>
        </w:tc>
        <w:tc>
          <w:tcPr>
            <w:tcW w:type="dxa" w:w="2476"/>
            <w:vAlign w:val="top"/>
            <w:shd w:fill="F5F8FC"/>
          </w:tcPr>
          <w:p>
            <w:pPr>
              <w:pStyle w:val="Compact"/>
              <w:spacing w:before="40" w:after="60" w:line="247" w:lineRule="auto"/>
              <w:jc w:val="left"/>
            </w:pPr>
            <w:r>
              <w:rPr>
                <w:sz w:val="18"/>
              </w:rPr>
              <w:t xml:space="preserve">0 s</w:t>
            </w:r>
          </w:p>
        </w:tc>
        <w:tc>
          <w:tcPr>
            <w:tcW w:type="dxa" w:w="2762"/>
            <w:vAlign w:val="top"/>
            <w:shd w:fill="F5F8FC"/>
          </w:tcPr>
          <w:p>
            <w:pPr>
              <w:pStyle w:val="Compact"/>
              <w:spacing w:before="40" w:after="60" w:line="247" w:lineRule="auto"/>
              <w:jc w:val="left"/>
            </w:pPr>
            <w:r>
              <w:rPr>
                <w:sz w:val="18"/>
              </w:rPr>
              <w:t xml:space="preserve">Page Weight</w:t>
            </w:r>
          </w:p>
        </w:tc>
        <w:tc>
          <w:tcPr>
            <w:tcW w:type="dxa" w:w="2572"/>
            <w:vAlign w:val="top"/>
            <w:shd w:fill="F5F8FC"/>
          </w:tcPr>
          <w:p>
            <w:pPr>
              <w:pStyle w:val="Compact"/>
              <w:spacing w:before="40" w:after="60" w:line="247" w:lineRule="auto"/>
              <w:jc w:val="left"/>
            </w:pPr>
            <w:r>
              <w:rPr>
                <w:sz w:val="18"/>
              </w:rPr>
              <w:t xml:space="preserve">343 KB</w:t>
            </w:r>
          </w:p>
        </w:tc>
      </w:tr>
      <w:tr>
        <w:trPr>
          <w:cantSplit/>
        </w:trPr>
        <w:tc>
          <w:tcPr>
            <w:tcW w:type="dxa" w:w="1714"/>
            <w:vAlign w:val="top"/>
            <w:shd w:fill="FFFFFF"/>
          </w:tcPr>
          <w:p>
            <w:pPr>
              <w:pStyle w:val="Compact"/>
              <w:spacing w:before="40" w:after="60" w:line="247" w:lineRule="auto"/>
              <w:jc w:val="left"/>
            </w:pPr>
            <w:r>
              <w:rPr>
                <w:sz w:val="18"/>
              </w:rPr>
              <w:t xml:space="preserve">DC Time</w:t>
            </w:r>
          </w:p>
        </w:tc>
        <w:tc>
          <w:tcPr>
            <w:tcW w:type="dxa" w:w="2476"/>
            <w:vAlign w:val="top"/>
            <w:shd w:fill="FFFFFF"/>
          </w:tcPr>
          <w:p>
            <w:pPr>
              <w:pStyle w:val="Compact"/>
              <w:spacing w:before="40" w:after="60" w:line="247" w:lineRule="auto"/>
              <w:jc w:val="left"/>
            </w:pPr>
            <w:r>
              <w:rPr>
                <w:sz w:val="18"/>
              </w:rPr>
              <w:t xml:space="preserve">1,122 s</w:t>
            </w:r>
          </w:p>
        </w:tc>
        <w:tc>
          <w:tcPr>
            <w:tcW w:type="dxa" w:w="2762"/>
            <w:vAlign w:val="top"/>
            <w:shd w:fill="FFFFFF"/>
          </w:tcPr>
          <w:p>
            <w:pPr>
              <w:pStyle w:val="Compact"/>
              <w:spacing w:before="40" w:after="60" w:line="247" w:lineRule="auto"/>
              <w:jc w:val="left"/>
            </w:pPr>
            <w:r>
              <w:rPr>
                <w:sz w:val="18"/>
              </w:rPr>
              <w:t xml:space="preserve">DC Bytes</w:t>
            </w:r>
          </w:p>
        </w:tc>
        <w:tc>
          <w:tcPr>
            <w:tcW w:type="dxa" w:w="2572"/>
            <w:vAlign w:val="top"/>
            <w:shd w:fill="FFFFFF"/>
          </w:tcPr>
          <w:p>
            <w:pPr>
              <w:pStyle w:val="Compact"/>
              <w:spacing w:before="40" w:after="60" w:line="247" w:lineRule="auto"/>
              <w:jc w:val="left"/>
            </w:pPr>
            <w:r>
              <w:rPr>
                <w:sz w:val="18"/>
              </w:rPr>
              <w:t xml:space="preserve">328 KB</w:t>
            </w:r>
          </w:p>
        </w:tc>
      </w:tr>
      <w:tr>
        <w:trPr>
          <w:cantSplit/>
        </w:trPr>
        <w:tc>
          <w:tcPr>
            <w:tcW w:type="dxa" w:w="1714"/>
            <w:vAlign w:val="top"/>
            <w:shd w:fill="F5F8FC"/>
          </w:tcPr>
          <w:p>
            <w:pPr>
              <w:pStyle w:val="Compact"/>
              <w:spacing w:before="40" w:after="60" w:line="247" w:lineRule="auto"/>
              <w:jc w:val="left"/>
            </w:pPr>
            <w:r>
              <w:rPr>
                <w:sz w:val="18"/>
              </w:rPr>
              <w:t xml:space="preserve">Total Time</w:t>
            </w:r>
          </w:p>
        </w:tc>
        <w:tc>
          <w:tcPr>
            <w:tcW w:type="dxa" w:w="2476"/>
            <w:vAlign w:val="top"/>
            <w:shd w:fill="F5F8FC"/>
          </w:tcPr>
          <w:p>
            <w:pPr>
              <w:pStyle w:val="Compact"/>
              <w:spacing w:before="40" w:after="60" w:line="247" w:lineRule="auto"/>
              <w:jc w:val="left"/>
            </w:pPr>
            <w:r>
              <w:rPr>
                <w:sz w:val="18"/>
              </w:rPr>
              <w:t xml:space="preserve">1,678 s</w:t>
            </w:r>
          </w:p>
        </w:tc>
        <w:tc>
          <w:tcPr>
            <w:tcW w:type="dxa" w:w="2762"/>
            <w:vAlign w:val="top"/>
            <w:shd w:fill="F5F8FC"/>
          </w:tcPr>
          <w:p>
            <w:pPr>
              <w:pStyle w:val="Compact"/>
              <w:spacing w:before="40" w:after="60" w:line="247" w:lineRule="auto"/>
              <w:jc w:val="left"/>
            </w:pPr>
            <w:r>
              <w:rPr>
                <w:sz w:val="18"/>
              </w:rPr>
              <w:t xml:space="preserve">Total Requests</w:t>
            </w:r>
          </w:p>
        </w:tc>
        <w:tc>
          <w:tcPr>
            <w:tcW w:type="dxa" w:w="2572"/>
            <w:vAlign w:val="top"/>
            <w:shd w:fill="F5F8FC"/>
          </w:tcPr>
          <w:p>
            <w:pPr>
              <w:pStyle w:val="Compact"/>
              <w:spacing w:before="40" w:after="60" w:line="247" w:lineRule="auto"/>
              <w:jc w:val="left"/>
            </w:pPr>
            <w:r>
              <w:rPr>
                <w:sz w:val="18"/>
              </w:rPr>
              <w:t xml:space="preserve">30</w:t>
            </w:r>
          </w:p>
        </w:tc>
      </w:tr>
    </w:tbl>
    <w:p>
      <w:pPr>
        <w:pStyle w:val="BodyText"/>
      </w:pPr>
      <w:r>
        <w:t xml:space="preserve">TTFB significa Time To First Byte, tempo até o primeiro byte. Start Render indica o início da apresentação visual. DC Time e DC Bytes referem-se ao marco Document Complete e aos bytes registrados até esse marco. Page Weight e Total Requests expressam, respectivamente, o peso de página e a quantidade total de requisições apresentados. As unidades KB, KiB, ms e s são conservadas conforme cada fonte; não se pressupõe equivalência entre KB e KiB.</w:t>
      </w:r>
    </w:p>
    <w:p>
      <w:pPr>
        <w:pStyle w:val="BodyText"/>
      </w:pPr>
      <w:r>
        <w:t xml:space="preserve">Os três resumos qualitativos — rapidez, usabilidade e resiliência — mostram</w:t>
      </w:r>
      <w:r>
        <w:t xml:space="preserve"> </w:t>
      </w:r>
      <w:r>
        <w:rPr>
          <w:b/>
          <w:bCs/>
        </w:rPr>
        <w:t xml:space="preserve">“</w:t>
      </w:r>
      <w:r>
        <w:rPr>
          <w:b/>
          <w:bCs/>
        </w:rPr>
        <w:t xml:space="preserve">Not Bad</w:t>
      </w:r>
      <w:r>
        <w:rPr>
          <w:b/>
          <w:bCs/>
        </w:rPr>
        <w:t xml:space="preserve">”</w:t>
      </w:r>
      <w:r>
        <w:t xml:space="preserve">. A ferramenta registra uma requisição que bloqueia a renderização, uma requisição de terceiro nessa condição e HTML gerado após a entrega, que pode afetar a interação ou a robustez. O trecho informa não ter encontrado problemas de segurança nessa execução; esse enunciado se refere às verificações daquela ferramenta. Os tempos do WebPageTest não são combinados aos do Lighthouse, cujas condições de simulação são diferentes.</w:t>
      </w:r>
    </w:p>
    <w:bookmarkEnd w:id="23"/>
    <w:bookmarkStart w:id="24" w:name="wave-e-webbkoll"/>
    <w:p>
      <w:pPr>
        <w:pStyle w:val="Heading3"/>
      </w:pPr>
      <w:r>
        <w:t xml:space="preserve">WAVE e Webbkoll</w:t>
      </w:r>
    </w:p>
    <w:p>
      <w:pPr>
        <w:pStyle w:val="FirstParagraph"/>
      </w:pPr>
      <w:r>
        <w:t xml:space="preserve">No WAVE, o resumo registra um recurso, três elementos de estrutura e zero elementos ARIA, além das contagens e do AIM 10/10 apresentados no quadro inicial. A página seguinte mostra</w:t>
      </w:r>
      <w:r>
        <w:t xml:space="preserve"> </w:t>
      </w:r>
      <w:r>
        <w:rPr>
          <w:b/>
          <w:bCs/>
        </w:rPr>
        <w:t xml:space="preserve">“</w:t>
      </w:r>
      <w:r>
        <w:rPr>
          <w:b/>
          <w:bCs/>
        </w:rPr>
        <w:t xml:space="preserve">Loading…</w:t>
      </w:r>
      <w:r>
        <w:rPr>
          <w:b/>
          <w:bCs/>
        </w:rPr>
        <w:t xml:space="preserve">”</w:t>
      </w:r>
      <w:r>
        <w:t xml:space="preserve"> </w:t>
      </w:r>
      <w:r>
        <w:t xml:space="preserve">e apenas os títulos do componente e da instituição. Por isso, o resultado documenta o conteúdo efetivamente visível nesse estado e não comprova avaliação dos controles completos, do formulário ou das demais rotas. A própria captura solicita testes manuais para assegurar acessibilidade e conformidade.</w:t>
      </w:r>
    </w:p>
    <w:p>
      <w:pPr>
        <w:pStyle w:val="BodyText"/>
      </w:pPr>
      <w:r>
        <w:t xml:space="preserve">No Webbkoll, a URL inicial é</w:t>
      </w:r>
      <w:r>
        <w:t xml:space="preserve"> </w:t>
      </w:r>
      <w:r>
        <w:rPr>
          <w:rStyle w:val="VerbatimChar"/>
        </w:rPr>
        <w:t xml:space="preserve">http://asg-ods.ai.studio/</w:t>
      </w:r>
      <w:r>
        <w:t xml:space="preserve"> </w:t>
      </w:r>
      <w:r>
        <w:t xml:space="preserve">e a final é</w:t>
      </w:r>
      <w:r>
        <w:t xml:space="preserve"> </w:t>
      </w:r>
      <w:r>
        <w:rPr>
          <w:rStyle w:val="VerbatimChar"/>
        </w:rPr>
        <w:t xml:space="preserve">https://asg-ods.ai.studio/</w:t>
      </w:r>
      <w:r>
        <w:t xml:space="preserve">. A ferramenta apresenta HTTPS por padrão, HSTS de 63.072.000 segundos, política de referência</w:t>
      </w:r>
      <w:r>
        <w:t xml:space="preserve"> </w:t>
      </w:r>
      <w:r>
        <w:rPr>
          <w:rStyle w:val="VerbatimChar"/>
        </w:rPr>
        <w:t xml:space="preserve">no-referrer</w:t>
      </w:r>
      <w:r>
        <w:t xml:space="preserve">, CSP avaliada como</w:t>
      </w:r>
      <w:r>
        <w:t xml:space="preserve"> </w:t>
      </w:r>
      <w:r>
        <w:t xml:space="preserve">“</w:t>
      </w:r>
      <w:r>
        <w:t xml:space="preserve">Good policy</w:t>
      </w:r>
      <w:r>
        <w:t xml:space="preserve">”</w:t>
      </w:r>
      <w:r>
        <w:t xml:space="preserve">, SRI implementado e ausência de envio de relatórios a terceiros. Registra um cookie próprio chamado</w:t>
      </w:r>
      <w:r>
        <w:t xml:space="preserve"> </w:t>
      </w:r>
      <w:r>
        <w:rPr>
          <w:b/>
          <w:bCs/>
        </w:rPr>
        <w:t xml:space="preserve">GAESA</w:t>
      </w:r>
      <w:r>
        <w:t xml:space="preserve">, nenhum cookie de terceiros e nenhuma requisição de terceiros. O valor do cookie não é reproduzido nesta documentação.</w:t>
      </w:r>
    </w:p>
    <w:p>
      <w:pPr>
        <w:pStyle w:val="BodyText"/>
      </w:pPr>
      <w:r>
        <w:t xml:space="preserve">A tabela do cookie indica ausência dos atributos</w:t>
      </w:r>
      <w:r>
        <w:t xml:space="preserve"> </w:t>
      </w:r>
      <w:r>
        <w:rPr>
          <w:b/>
          <w:bCs/>
        </w:rPr>
        <w:t xml:space="preserve">HttpOnly, Secure e SameSite</w:t>
      </w:r>
      <w:r>
        <w:t xml:space="preserve">. A ferramenta também alerta que o HSTS não está definido no domínio-base</w:t>
      </w:r>
      <w:r>
        <w:t xml:space="preserve"> </w:t>
      </w:r>
      <w:r>
        <w:rPr>
          <w:rStyle w:val="VerbatimChar"/>
        </w:rPr>
        <w:t xml:space="preserve">https://ai.studio</w:t>
      </w:r>
      <w:r>
        <w:t xml:space="preserve">. Essa observação se refere ao domínio-base da hospedagem, e não demonstra ausência de HSTS no hostname avaliado. Na seção de cabeçalhos, X-Frame-Options é indicado como não implementado, enquanto a proteção por</w:t>
      </w:r>
      <w:r>
        <w:t xml:space="preserve"> </w:t>
      </w:r>
      <w:r>
        <w:rPr>
          <w:rStyle w:val="VerbatimChar"/>
        </w:rPr>
        <w:t xml:space="preserve">frame-ancestors</w:t>
      </w:r>
      <w:r>
        <w:t xml:space="preserve"> </w:t>
      </w:r>
      <w:r>
        <w:t xml:space="preserve">consta na análise da CSP. X-XSS-Protection é tratado pela própria ferramenta como desnecessário diante da política apresentada.</w:t>
      </w:r>
    </w:p>
    <w:p>
      <w:pPr>
        <w:pStyle w:val="BodyText"/>
      </w:pPr>
      <w:r>
        <w:t xml:space="preserve">A captura registra</w:t>
      </w:r>
      <w:r>
        <w:t xml:space="preserve"> </w:t>
      </w:r>
      <w:r>
        <w:rPr>
          <w:rStyle w:val="VerbatimChar"/>
        </w:rPr>
        <w:t xml:space="preserve">localStorage not used</w:t>
      </w:r>
      <w:r>
        <w:t xml:space="preserve">. No código documentado, porém,</w:t>
      </w:r>
      <w:r>
        <w:t xml:space="preserve"> </w:t>
      </w:r>
      <w:r>
        <w:rPr>
          <w:rStyle w:val="VerbatimChar"/>
        </w:rPr>
        <w:t xml:space="preserve">src/store/useAccessibilityStore.ts</w:t>
      </w:r>
      <w:r>
        <w:t xml:space="preserve"> </w:t>
      </w:r>
      <w:r>
        <w:t xml:space="preserve">grava a preferência de fonte e contraste em</w:t>
      </w:r>
      <w:r>
        <w:t xml:space="preserve"> </w:t>
      </w:r>
      <w:r>
        <w:rPr>
          <w:rStyle w:val="VerbatimChar"/>
        </w:rPr>
        <w:t xml:space="preserve">crasp_a11y_state</w:t>
      </w:r>
      <w:r>
        <w:t xml:space="preserve"> </w:t>
      </w:r>
      <w:r>
        <w:t xml:space="preserve">após alterações do usuário. As fontes descrevem momentos diferentes: a metodologia do Webbkoll, transcrita na página 30, informa que não clica em links nem envia formulários. Portanto, o resultado não comprova ausência de armazenamento em interações futuras, nem ausência de integrações carregadas em outros estados. A ferramenta ainda informa que seus resultados podem conter erros e devem servir como ponto de partida para melhorias. Sua lista de testes da CSP marca</w:t>
      </w:r>
      <w:r>
        <w:t xml:space="preserve"> </w:t>
      </w:r>
      <w:r>
        <w:rPr>
          <w:rStyle w:val="VerbatimChar"/>
        </w:rPr>
        <w:t xml:space="preserve">strict-dynamic</w:t>
      </w:r>
      <w:r>
        <w:t xml:space="preserve"> </w:t>
      </w:r>
      <w:r>
        <w:t xml:space="preserve">como aprovado, embora essa diretiva não apareça no cabeçalho transcrito; essa marcação é preservada como resultado da ferramenta e não como comprovação da diretiva na aplicação.</w:t>
      </w:r>
    </w:p>
    <w:bookmarkEnd w:id="24"/>
    <w:bookmarkEnd w:id="25"/>
    <w:bookmarkStart w:id="26" w:name="identificação-e-metodologia"/>
    <w:p>
      <w:pPr>
        <w:pStyle w:val="Heading2"/>
      </w:pPr>
      <w:bookmarkStart w:id="20003" w:name="docsec_004"/>
      <w:r>
        <w:t xml:space="preserve">Identificação e metodologia</w:t>
      </w:r>
      <w:bookmarkEnd w:id="20003"/>
    </w:p>
    <w:p>
      <w:pPr>
        <w:pStyle w:val="FirstParagraph"/>
      </w:pPr>
      <w:r>
        <w:t xml:space="preserve">Esta edição</w:t>
      </w:r>
      <w:r>
        <w:t xml:space="preserve"> </w:t>
      </w:r>
      <w:r>
        <w:rPr>
          <w:b/>
          <w:bCs/>
        </w:rPr>
        <w:t xml:space="preserve">2.0</w:t>
      </w:r>
      <w:r>
        <w:t xml:space="preserve">, datada de</w:t>
      </w:r>
      <w:r>
        <w:t xml:space="preserve"> </w:t>
      </w:r>
      <w:r>
        <w:rPr>
          <w:b/>
          <w:bCs/>
        </w:rPr>
        <w:t xml:space="preserve">15 de outubro de 2026</w:t>
      </w:r>
      <w:r>
        <w:t xml:space="preserve">, descreve o repositório</w:t>
      </w:r>
      <w:r>
        <w:t xml:space="preserve"> </w:t>
      </w:r>
      <w:r>
        <w:rPr>
          <w:b/>
          <w:bCs/>
        </w:rPr>
        <w:t xml:space="preserve">desenvolvimentoprofissional-oss/asg-ods</w:t>
      </w:r>
      <w:r>
        <w:t xml:space="preserve">, branch</w:t>
      </w:r>
      <w:r>
        <w:t xml:space="preserve"> </w:t>
      </w:r>
      <w:r>
        <w:rPr>
          <w:rStyle w:val="VerbatimChar"/>
        </w:rPr>
        <w:t xml:space="preserve">main</w:t>
      </w:r>
      <w:r>
        <w:t xml:space="preserve">, na revisão completa</w:t>
      </w:r>
      <w:r>
        <w:t xml:space="preserve"> </w:t>
      </w:r>
      <w:r>
        <w:rPr>
          <w:b/>
          <w:bCs/>
        </w:rPr>
        <w:t xml:space="preserve">1d05eb64bfdb9f7f579221a144165a66f1ba25e4</w:t>
      </w:r>
      <w:r>
        <w:t xml:space="preserve">. Os capítulos técnicos utilizam essa revisão como referência de implementação. Datas de testes externos mantêm o horário e o fuso apresentados nas fontes; não houve conversão dos horários UTC neste capítulo.</w:t>
      </w:r>
    </w:p>
    <w:p>
      <w:pPr>
        <w:pStyle w:val="BodyText"/>
      </w:pPr>
      <w:r>
        <w:t xml:space="preserve">O trabalho relaciona as instruções de</w:t>
      </w:r>
      <w:r>
        <w:t xml:space="preserve"> </w:t>
      </w:r>
      <w:r>
        <w:rPr>
          <w:rStyle w:val="VerbatimChar"/>
        </w:rPr>
        <w:t xml:space="preserve">AGENTS.MD</w:t>
      </w:r>
      <w:r>
        <w:t xml:space="preserve">, o padrão</w:t>
      </w:r>
      <w:r>
        <w:t xml:space="preserve"> </w:t>
      </w:r>
      <w:r>
        <w:rPr>
          <w:rStyle w:val="VerbatimChar"/>
        </w:rPr>
        <w:t xml:space="preserve">AGENTE-DOCUMENTACAO.md</w:t>
      </w:r>
      <w:r>
        <w:t xml:space="preserve">, código de autoria do projeto, configuração, contratos, testes e recursos públicos às duas fontes fornecidas pelo responsável. O PDF</w:t>
      </w:r>
      <w:r>
        <w:t xml:space="preserve"> </w:t>
      </w:r>
      <w:r>
        <w:rPr>
          <w:b/>
          <w:bCs/>
        </w:rPr>
        <w:t xml:space="preserve">1- Site Componente Curricular.pdf</w:t>
      </w:r>
      <w:r>
        <w:t xml:space="preserve">, com cinco páginas, sustenta a descrição das telas desktop: início, chancela institucional, metodologia, objetivos de aprendizagem e manifestação de interesse. O PDF de análises sustenta os resultados externos acima.</w:t>
      </w:r>
    </w:p>
    <w:p>
      <w:pPr>
        <w:pStyle w:val="BodyText"/>
      </w:pPr>
      <w:r>
        <w:t xml:space="preserve">A leitura utiliza extração de texto e inspeção visual, inclusive nas páginas em que o resultado aparece somente como imagem. Os números foram relacionados à continuação correta, sem misturar rodadas anteriores compartilhadas no histórico do projeto. Os diagramas e dicionários dos capítulos seguintes derivam do código; as capturas recebidas servem para confronto de conteúdo e estado visual. Não foram iniciadas novas varreduras externas para compor este quadro.</w:t>
      </w:r>
    </w:p>
    <w:p>
      <w:pPr>
        <w:pStyle w:val="BodyText"/>
      </w:pPr>
      <w:r>
        <w:t xml:space="preserve">A documentação diferencia implementação encontrada no código, configuração versionada, execução identificada, evidência apresentada no PDF e informação fornecida pelo responsável. Uma configuração no repositório não comprova, isoladamente, a configuração ativa de hospedagem; uma imagem não identifica automaticamente o commit publicado. A referência E01–E08 e a indicação das páginas permitem localizar a origem de cada resultado sem incorporar os próprios PDFs ao Word.</w:t>
      </w:r>
    </w:p>
    <w:bookmarkEnd w:id="26"/>
    <w:bookmarkStart w:id="27" w:name="cobertura-e-limites-das-evidências"/>
    <w:p>
      <w:pPr>
        <w:pStyle w:val="Heading2"/>
      </w:pPr>
      <w:bookmarkStart w:id="20004" w:name="docsec_005"/>
      <w:r>
        <w:t xml:space="preserve">Cobertura e limites das evidências</w:t>
      </w:r>
      <w:bookmarkEnd w:id="20004"/>
    </w:p>
    <w:p>
      <w:pPr>
        <w:pStyle w:val="FirstParagraph"/>
      </w:pPr>
      <w:r>
        <w:t xml:space="preserve">As cinco capturas do site cobrem a apresentação desktop e o estado inicial do formulário. Elas não demonstram, sozinhas, envio bem-sucedido, duplicidade, falha de rede, validação de todos os campos, funcionamento em dispositivos móveis ou persistência no banco. Esses comportamentos são descritos a partir da implementação e dos testes identificados nos capítulos próprios, com sua natureza de evidência indicada.</w:t>
      </w:r>
    </w:p>
    <w:p>
      <w:pPr>
        <w:pStyle w:val="BodyText"/>
      </w:pPr>
      <w:r>
        <w:t xml:space="preserve">As capturas de scanners não informam o SHA do código publicado. A CSP registrada no Webbkoll permite jsDelivr de forma ampla e inclui PostHog, enquanto a revisão documentada restringe jsDelivr ao caminho versionado do VLibras e não contém PostHog na política. Essa diferença é conservada como distinção entre a resposta capturada e a configuração versionada, sem atribuir a captura à revisão final nem concluir que ela retrata o estado atual do ambiente.</w:t>
      </w:r>
    </w:p>
    <w:p>
      <w:pPr>
        <w:pStyle w:val="BodyText"/>
      </w:pPr>
      <w:r>
        <w:t xml:space="preserve">As notas de cabeçalhos, transporte, desempenho e acessibilidade se referem aos respectivos objetos de análise. Não certificam a segurança da lógica do formulário, a autorização do Firestore, a conformidade integral com a WCAG ou a adequação completa à LGPD. A cobertura normativa e as evidências técnicas correspondentes são apresentadas na matriz de requisitos, com situações fundamentadas e pontos não verificados.</w:t>
      </w:r>
    </w:p>
    <w:bookmarkEnd w:id="27"/>
    <w:bookmarkEnd w:id="28"/>
    <w:bookmarkStart w:id="43" w:name="visão-do-produto-e-arquitetura"/>
    <w:p>
      <w:pPr>
        <w:pStyle w:val="Heading1"/>
      </w:pPr>
      <w:bookmarkStart w:id="20005" w:name="docsec_006"/>
      <w:r>
        <w:t xml:space="preserve">Visão do produto e arquitetura</w:t>
      </w:r>
      <w:bookmarkEnd w:id="20005"/>
    </w:p>
    <w:bookmarkStart w:id="29" w:name="finalidade-e-público"/>
    <w:p>
      <w:pPr>
        <w:pStyle w:val="Heading2"/>
      </w:pPr>
      <w:bookmarkStart w:id="20006" w:name="docsec_007"/>
      <w:r>
        <w:t xml:space="preserve">Finalidade e público</w:t>
      </w:r>
      <w:bookmarkEnd w:id="20006"/>
    </w:p>
    <w:p>
      <w:pPr>
        <w:pStyle w:val="FirstParagraph"/>
      </w:pPr>
      <w:r>
        <w:t xml:space="preserve">O Componente Curricular de ASG e ODS é o portal de apresentação da iniciativa educacional do Conselho Regional de Administração de São Paulo (CRA-SP), desenvolvida com instituições participantes. ASG corresponde às dimensões ambiental, social e de governança; ODS refere-se aos Objetivos de Desenvolvimento Sustentável. O público principal compreende representantes de Instituições de Educação Superior (IES), professores, coordenadores e gestores interessados em integrar esse conteúdo à formação em Administração e Gestão.</w:t>
      </w:r>
    </w:p>
    <w:p>
      <w:pPr>
        <w:pStyle w:val="BodyText"/>
      </w:pPr>
      <w:r>
        <w:t xml:space="preserve">O resultado entregue pela aplicação é uma vitrine institucional com informações sobre chancela, metodologia e objetivos de aprendizagem, acompanhada de um formulário de manifestação de interesse. O visitante pode conhecer a proposta, consultar a organização curricular e informar seus dados de contato, instituição e previsão de implementação. O registro encaminha a demanda à estrutura de dados do projeto; a confirmação informa que a equipe do CRA-SP entrará em contato para orientar a adesão quando os conteúdos estiverem disponíveis.</w:t>
      </w:r>
    </w:p>
    <w:p>
      <w:pPr>
        <w:pStyle w:val="BodyText"/>
      </w:pPr>
      <w:r>
        <w:t xml:space="preserve">As páginas apresentam material gratuito, flexível e destinado à incorporação no Ambiente Virtual de Aprendizagem (AVA) das IES. Essa oferta institucional deve ser distinguida do funcionamento deste portal: a revisão documentada não contém reprodução de videoaulas, entrega de podcasts, emissão de certificados, gestão de turmas ou autenticação de docentes. As referências a esses recursos descrevem a proposta pedagógica e a etapa de disponibilização do conteúdo.</w:t>
      </w:r>
    </w:p>
    <w:p>
      <w:pPr>
        <w:pStyle w:val="BodyText"/>
      </w:pPr>
      <w:r>
        <w:t xml:space="preserve">Fonte:</w:t>
      </w:r>
      <w:r>
        <w:t xml:space="preserve"> </w:t>
      </w:r>
      <w:r>
        <w:rPr>
          <w:rStyle w:val="VerbatimChar"/>
        </w:rPr>
        <w:t xml:space="preserve">src/pages/Home.tsx</w:t>
      </w:r>
      <w:r>
        <w:t xml:space="preserve">,</w:t>
      </w:r>
      <w:r>
        <w:t xml:space="preserve"> </w:t>
      </w:r>
      <w:r>
        <w:rPr>
          <w:rStyle w:val="VerbatimChar"/>
        </w:rPr>
        <w:t xml:space="preserve">src/pages/InterestRegistrationPage.tsx</w:t>
      </w:r>
      <w:r>
        <w:t xml:space="preserve">,</w:t>
      </w:r>
      <w:r>
        <w:t xml:space="preserve"> </w:t>
      </w:r>
      <w:r>
        <w:rPr>
          <w:rStyle w:val="VerbatimChar"/>
        </w:rPr>
        <w:t xml:space="preserve">src/components/auth/LoginBrandingColumn.tsx</w:t>
      </w:r>
      <w:r>
        <w:t xml:space="preserve"> </w:t>
      </w:r>
      <w:r>
        <w:t xml:space="preserve">e PDF</w:t>
      </w:r>
      <w:r>
        <w:t xml:space="preserve"> </w:t>
      </w:r>
      <w:r>
        <w:t xml:space="preserve">“</w:t>
      </w:r>
      <w:r>
        <w:t xml:space="preserve">1- Site Componente Curricular</w:t>
      </w:r>
      <w:r>
        <w:t xml:space="preserve">”</w:t>
      </w:r>
      <w:r>
        <w:t xml:space="preserve">, páginas 1 e 5; revisão</w:t>
      </w:r>
      <w:r>
        <w:t xml:space="preserve"> </w:t>
      </w:r>
      <w:r>
        <w:rPr>
          <w:rStyle w:val="VerbatimChar"/>
        </w:rPr>
        <w:t xml:space="preserve">1d05eb6</w:t>
      </w:r>
      <w:r>
        <w:t xml:space="preserve">.</w:t>
      </w:r>
    </w:p>
    <w:bookmarkEnd w:id="29"/>
    <w:bookmarkStart w:id="30" w:name="estrutura-do-produto"/>
    <w:p>
      <w:pPr>
        <w:pStyle w:val="Heading2"/>
      </w:pPr>
      <w:bookmarkStart w:id="20007" w:name="docsec_008"/>
      <w:r>
        <w:t xml:space="preserve">Estrutura do produto</w:t>
      </w:r>
      <w:bookmarkEnd w:id="20007"/>
    </w:p>
    <w:p>
      <w:pPr>
        <w:pStyle w:val="FirstParagraph"/>
      </w:pPr>
      <w:r>
        <w:t xml:space="preserve">A informação é organizada em três eixos: credibilidade institucional, orientação pedagógica e contato para adesão. A página de Chancela reúne o histórico do manifesto, a apresentação das instituições signatárias e a declaração do presidente do CRA-SP. A Metodologia explica quatro pilares: Taxonomia de Bloom, microlearning, conexão com o mercado e sala de aula invertida. A Trilha detalha os módulos e seus objetivos de aprendizagem.</w:t>
      </w:r>
    </w:p>
    <w:p>
      <w:pPr>
        <w:pStyle w:val="BodyText"/>
      </w:pPr>
      <w:r>
        <w:t xml:space="preserve">O catálogo é definido em código e compartilhado pela visão resumida da página inicial e pela descrição detalhada da trilha. Existem seis módulos de quatro horas, somando 24 horas. Cada módulo contém quatro objetivos de uma hora, totalizando 24 objetivos. O termo</w:t>
      </w:r>
      <w:r>
        <w:t xml:space="preserve"> </w:t>
      </w:r>
      <w:r>
        <w:t xml:space="preserve">“</w:t>
      </w:r>
      <w:r>
        <w:t xml:space="preserve">módulo</w:t>
      </w:r>
      <w:r>
        <w:t xml:space="preserve">”</w:t>
      </w:r>
      <w:r>
        <w:t xml:space="preserve"> </w:t>
      </w:r>
      <w:r>
        <w:t xml:space="preserve">designa uma unidade curricular apresentada no site; não implica uma unidade executável do software nem uma aula disponibilizada para consumo dentro dele.</w:t>
      </w:r>
    </w:p>
    <w:p>
      <w:pPr>
        <w:pStyle w:val="TableCaption"/>
        <w:keepNext/>
      </w:pPr>
      <w:r>
        <w:t xml:space="preserve">Tabela </w:t>
      </w:r>
      <w:r>
        <w:rPr>
          <w:rFonts w:ascii="Open Sans" w:hAnsi="Open Sans"/>
          <w:sz w:val="18"/>
        </w:rPr>
        <w:fldChar w:fldCharType="begin"/>
        <w:instrText xml:space="preserve"> SEQ Tabela </w:instrText>
        <w:fldChar w:fldCharType="separate"/>
        <w:t>4</w:t>
        <w:fldChar w:fldCharType="end"/>
      </w:r>
      <w:r>
        <w:t xml:space="preserve"> — Estrutura do produto.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Módulo</w:t>
            </w:r>
          </w:p>
        </w:tc>
        <w:tc>
          <w:tcPr>
            <w:tcW w:type="dxa" w:w="3048"/>
            <w:vAlign w:val="top"/>
            <w:shd w:fill="233B82"/>
          </w:tcPr>
          <w:p>
            <w:pPr>
              <w:pStyle w:val="Compact"/>
              <w:spacing w:before="40" w:after="60" w:line="247" w:lineRule="auto"/>
              <w:jc w:val="left"/>
            </w:pPr>
            <w:r>
              <w:rPr>
                <w:b/>
                <w:color w:val="FFFFFF"/>
                <w:sz w:val="18"/>
              </w:rPr>
              <w:t xml:space="preserve">Instituição exibida</w:t>
            </w:r>
          </w:p>
        </w:tc>
        <w:tc>
          <w:tcPr>
            <w:tcW w:type="dxa" w:w="4286"/>
            <w:vAlign w:val="top"/>
            <w:shd w:fill="233B82"/>
          </w:tcPr>
          <w:p>
            <w:pPr>
              <w:pStyle w:val="Compact"/>
              <w:spacing w:before="40" w:after="60" w:line="247" w:lineRule="auto"/>
              <w:jc w:val="left"/>
            </w:pPr>
            <w:r>
              <w:rPr>
                <w:b/>
                <w:color w:val="FFFFFF"/>
                <w:sz w:val="18"/>
              </w:rPr>
              <w:t xml:space="preserve">Carga e organização</w:t>
            </w:r>
          </w:p>
        </w:tc>
      </w:tr>
      <w:tr>
        <w:trPr>
          <w:cantSplit/>
        </w:trPr>
        <w:tc>
          <w:tcPr>
            <w:tcW w:type="dxa" w:w="2191"/>
            <w:vAlign w:val="top"/>
            <w:shd w:fill="FFFFFF"/>
          </w:tcPr>
          <w:p>
            <w:pPr>
              <w:pStyle w:val="Compact"/>
              <w:spacing w:before="40" w:after="60" w:line="247" w:lineRule="auto"/>
              <w:jc w:val="left"/>
            </w:pPr>
            <w:r>
              <w:rPr>
                <w:sz w:val="18"/>
              </w:rPr>
              <w:t xml:space="preserve">1 — Histórico da RSC e do ASG</w:t>
            </w:r>
          </w:p>
        </w:tc>
        <w:tc>
          <w:tcPr>
            <w:tcW w:type="dxa" w:w="3048"/>
            <w:vAlign w:val="top"/>
            <w:shd w:fill="FFFFFF"/>
          </w:tcPr>
          <w:p>
            <w:pPr>
              <w:pStyle w:val="Compact"/>
              <w:spacing w:before="40" w:after="60" w:line="247" w:lineRule="auto"/>
              <w:jc w:val="left"/>
            </w:pPr>
            <w:r>
              <w:rPr>
                <w:sz w:val="18"/>
              </w:rPr>
              <w:t xml:space="preserve">CRA-SP</w:t>
            </w:r>
          </w:p>
        </w:tc>
        <w:tc>
          <w:tcPr>
            <w:tcW w:type="dxa" w:w="4286"/>
            <w:vAlign w:val="top"/>
            <w:shd w:fill="FFFFFF"/>
          </w:tcPr>
          <w:p>
            <w:pPr>
              <w:pStyle w:val="Compact"/>
              <w:spacing w:before="40" w:after="60" w:line="247" w:lineRule="auto"/>
              <w:jc w:val="left"/>
            </w:pPr>
            <w:r>
              <w:rPr>
                <w:sz w:val="18"/>
              </w:rPr>
              <w:t xml:space="preserve">4h; evolução conceitual, stakeholders e transição da responsabilidade social corporativa para o ASG.</w:t>
            </w:r>
          </w:p>
        </w:tc>
      </w:tr>
      <w:tr>
        <w:trPr>
          <w:cantSplit/>
        </w:trPr>
        <w:tc>
          <w:tcPr>
            <w:tcW w:type="dxa" w:w="2191"/>
            <w:vAlign w:val="top"/>
            <w:shd w:fill="F5F8FC"/>
          </w:tcPr>
          <w:p>
            <w:pPr>
              <w:pStyle w:val="Compact"/>
              <w:spacing w:before="40" w:after="60" w:line="247" w:lineRule="auto"/>
              <w:jc w:val="left"/>
            </w:pPr>
            <w:r>
              <w:rPr>
                <w:sz w:val="18"/>
              </w:rPr>
              <w:t xml:space="preserve">2 — Dimensão Ambiental</w:t>
            </w:r>
          </w:p>
        </w:tc>
        <w:tc>
          <w:tcPr>
            <w:tcW w:type="dxa" w:w="3048"/>
            <w:vAlign w:val="top"/>
            <w:shd w:fill="F5F8FC"/>
          </w:tcPr>
          <w:p>
            <w:pPr>
              <w:pStyle w:val="Compact"/>
              <w:spacing w:before="40" w:after="60" w:line="247" w:lineRule="auto"/>
              <w:jc w:val="left"/>
            </w:pPr>
            <w:r>
              <w:rPr>
                <w:sz w:val="18"/>
              </w:rPr>
              <w:t xml:space="preserve">ANGRAD</w:t>
            </w:r>
          </w:p>
        </w:tc>
        <w:tc>
          <w:tcPr>
            <w:tcW w:type="dxa" w:w="4286"/>
            <w:vAlign w:val="top"/>
            <w:shd w:fill="F5F8FC"/>
          </w:tcPr>
          <w:p>
            <w:pPr>
              <w:pStyle w:val="Compact"/>
              <w:spacing w:before="40" w:after="60" w:line="247" w:lineRule="auto"/>
              <w:jc w:val="left"/>
            </w:pPr>
            <w:r>
              <w:rPr>
                <w:sz w:val="18"/>
              </w:rPr>
              <w:t xml:space="preserve">4h; ODS, Pacto Global, clima, biodiversidade e materialidade.</w:t>
            </w:r>
          </w:p>
        </w:tc>
      </w:tr>
      <w:tr>
        <w:trPr>
          <w:cantSplit/>
        </w:trPr>
        <w:tc>
          <w:tcPr>
            <w:tcW w:type="dxa" w:w="2191"/>
            <w:vAlign w:val="top"/>
            <w:shd w:fill="FFFFFF"/>
          </w:tcPr>
          <w:p>
            <w:pPr>
              <w:pStyle w:val="Compact"/>
              <w:spacing w:before="40" w:after="60" w:line="247" w:lineRule="auto"/>
              <w:jc w:val="left"/>
            </w:pPr>
            <w:r>
              <w:rPr>
                <w:sz w:val="18"/>
              </w:rPr>
              <w:t xml:space="preserve">3 — Dimensão Social</w:t>
            </w:r>
          </w:p>
        </w:tc>
        <w:tc>
          <w:tcPr>
            <w:tcW w:type="dxa" w:w="3048"/>
            <w:vAlign w:val="top"/>
            <w:shd w:fill="FFFFFF"/>
          </w:tcPr>
          <w:p>
            <w:pPr>
              <w:pStyle w:val="Compact"/>
              <w:spacing w:before="40" w:after="60" w:line="247" w:lineRule="auto"/>
              <w:jc w:val="left"/>
            </w:pPr>
            <w:r>
              <w:rPr>
                <w:sz w:val="18"/>
              </w:rPr>
              <w:t xml:space="preserve">PRME</w:t>
            </w:r>
          </w:p>
        </w:tc>
        <w:tc>
          <w:tcPr>
            <w:tcW w:type="dxa" w:w="4286"/>
            <w:vAlign w:val="top"/>
            <w:shd w:fill="FFFFFF"/>
          </w:tcPr>
          <w:p>
            <w:pPr>
              <w:pStyle w:val="Compact"/>
              <w:spacing w:before="40" w:after="60" w:line="247" w:lineRule="auto"/>
              <w:jc w:val="left"/>
            </w:pPr>
            <w:r>
              <w:rPr>
                <w:sz w:val="18"/>
              </w:rPr>
              <w:t xml:space="preserve">4h; direitos humanos, diversidade, cadeia de valor e indicadores sociais.</w:t>
            </w:r>
          </w:p>
        </w:tc>
      </w:tr>
      <w:tr>
        <w:trPr>
          <w:cantSplit/>
        </w:trPr>
        <w:tc>
          <w:tcPr>
            <w:tcW w:type="dxa" w:w="2191"/>
            <w:vAlign w:val="top"/>
            <w:shd w:fill="F5F8FC"/>
          </w:tcPr>
          <w:p>
            <w:pPr>
              <w:pStyle w:val="Compact"/>
              <w:spacing w:before="40" w:after="60" w:line="247" w:lineRule="auto"/>
              <w:jc w:val="left"/>
            </w:pPr>
            <w:r>
              <w:rPr>
                <w:sz w:val="18"/>
              </w:rPr>
              <w:t xml:space="preserve">4 — Dimensão Governança</w:t>
            </w:r>
          </w:p>
        </w:tc>
        <w:tc>
          <w:tcPr>
            <w:tcW w:type="dxa" w:w="3048"/>
            <w:vAlign w:val="top"/>
            <w:shd w:fill="F5F8FC"/>
          </w:tcPr>
          <w:p>
            <w:pPr>
              <w:pStyle w:val="Compact"/>
              <w:spacing w:before="40" w:after="60" w:line="247" w:lineRule="auto"/>
              <w:jc w:val="left"/>
            </w:pPr>
            <w:r>
              <w:rPr>
                <w:sz w:val="18"/>
              </w:rPr>
              <w:t xml:space="preserve">IBGC</w:t>
            </w:r>
          </w:p>
        </w:tc>
        <w:tc>
          <w:tcPr>
            <w:tcW w:type="dxa" w:w="4286"/>
            <w:vAlign w:val="top"/>
            <w:shd w:fill="F5F8FC"/>
          </w:tcPr>
          <w:p>
            <w:pPr>
              <w:pStyle w:val="Compact"/>
              <w:spacing w:before="40" w:after="60" w:line="247" w:lineRule="auto"/>
              <w:jc w:val="left"/>
            </w:pPr>
            <w:r>
              <w:rPr>
                <w:sz w:val="18"/>
              </w:rPr>
              <w:t xml:space="preserve">4h; princípios, órgãos de governança, estruturas empresariais e diagnóstico.</w:t>
            </w:r>
          </w:p>
        </w:tc>
      </w:tr>
      <w:tr>
        <w:trPr>
          <w:cantSplit/>
        </w:trPr>
        <w:tc>
          <w:tcPr>
            <w:tcW w:type="dxa" w:w="2191"/>
            <w:vAlign w:val="top"/>
            <w:shd w:fill="FFFFFF"/>
          </w:tcPr>
          <w:p>
            <w:pPr>
              <w:pStyle w:val="Compact"/>
              <w:spacing w:before="40" w:after="60" w:line="247" w:lineRule="auto"/>
              <w:jc w:val="left"/>
            </w:pPr>
            <w:r>
              <w:rPr>
                <w:sz w:val="18"/>
              </w:rPr>
              <w:t xml:space="preserve">5 — Integridade Socioambiental</w:t>
            </w:r>
          </w:p>
        </w:tc>
        <w:tc>
          <w:tcPr>
            <w:tcW w:type="dxa" w:w="3048"/>
            <w:vAlign w:val="top"/>
            <w:shd w:fill="FFFFFF"/>
          </w:tcPr>
          <w:p>
            <w:pPr>
              <w:pStyle w:val="Compact"/>
              <w:spacing w:before="40" w:after="60" w:line="247" w:lineRule="auto"/>
              <w:jc w:val="left"/>
            </w:pPr>
            <w:r>
              <w:rPr>
                <w:sz w:val="18"/>
              </w:rPr>
              <w:t xml:space="preserve">ETHOS</w:t>
            </w:r>
          </w:p>
        </w:tc>
        <w:tc>
          <w:tcPr>
            <w:tcW w:type="dxa" w:w="4286"/>
            <w:vAlign w:val="top"/>
            <w:shd w:fill="FFFFFF"/>
          </w:tcPr>
          <w:p>
            <w:pPr>
              <w:pStyle w:val="Compact"/>
              <w:spacing w:before="40" w:after="60" w:line="247" w:lineRule="auto"/>
              <w:jc w:val="left"/>
            </w:pPr>
            <w:r>
              <w:rPr>
                <w:sz w:val="18"/>
              </w:rPr>
              <w:t xml:space="preserve">4h; integridade, compliance, conduta e conflitos de interesse.</w:t>
            </w:r>
          </w:p>
        </w:tc>
      </w:tr>
      <w:tr>
        <w:trPr>
          <w:cantSplit/>
        </w:trPr>
        <w:tc>
          <w:tcPr>
            <w:tcW w:type="dxa" w:w="2191"/>
            <w:vAlign w:val="top"/>
            <w:shd w:fill="F5F8FC"/>
          </w:tcPr>
          <w:p>
            <w:pPr>
              <w:pStyle w:val="Compact"/>
              <w:spacing w:before="40" w:after="60" w:line="247" w:lineRule="auto"/>
              <w:jc w:val="left"/>
            </w:pPr>
            <w:r>
              <w:rPr>
                <w:sz w:val="18"/>
              </w:rPr>
              <w:t xml:space="preserve">6 — Mensuração e Investimento</w:t>
            </w:r>
          </w:p>
        </w:tc>
        <w:tc>
          <w:tcPr>
            <w:tcW w:type="dxa" w:w="3048"/>
            <w:vAlign w:val="top"/>
            <w:shd w:fill="F5F8FC"/>
          </w:tcPr>
          <w:p>
            <w:pPr>
              <w:pStyle w:val="Compact"/>
              <w:spacing w:before="40" w:after="60" w:line="247" w:lineRule="auto"/>
              <w:jc w:val="left"/>
            </w:pPr>
            <w:r>
              <w:rPr>
                <w:sz w:val="18"/>
              </w:rPr>
              <w:t xml:space="preserve">ANGRAD</w:t>
            </w:r>
          </w:p>
        </w:tc>
        <w:tc>
          <w:tcPr>
            <w:tcW w:type="dxa" w:w="4286"/>
            <w:vAlign w:val="top"/>
            <w:shd w:fill="F5F8FC"/>
          </w:tcPr>
          <w:p>
            <w:pPr>
              <w:pStyle w:val="Compact"/>
              <w:spacing w:before="40" w:after="60" w:line="247" w:lineRule="auto"/>
              <w:jc w:val="left"/>
            </w:pPr>
            <w:r>
              <w:rPr>
                <w:sz w:val="18"/>
              </w:rPr>
              <w:t xml:space="preserve">4h; materialidade, indicadores, greenwashing e proposta de valor.</w:t>
            </w:r>
          </w:p>
        </w:tc>
      </w:tr>
    </w:tbl>
    <w:p>
      <w:pPr>
        <w:pStyle w:val="BodyText"/>
      </w:pPr>
      <w:r>
        <w:t xml:space="preserve">Os objetivos registram quatro atributos: nível de Bloom, verbo de ação, descrição e carga. Nos cinco primeiros módulos, os níveis apresentados são Conhecer, Compreender, Aplicar e Analisar. No sexto, são Compreender, Aplicar, Avaliar e Criar. A tabela da trilha exibe essas informações diretamente, sem cálculo de progresso, avaliação ou matrícula.</w:t>
      </w:r>
    </w:p>
    <w:p>
      <w:pPr>
        <w:pStyle w:val="BodyText"/>
      </w:pPr>
      <w:r>
        <w:t xml:space="preserve">A metodologia apresenta videoaulas e podcasts de 30 a 60 minutos, além do Guia do Professor. Prevê adoção integral das 24 horas, inserção de módulos em disciplinas existentes e utilização como material de apoio. Esses formatos e possibilidades estão descritos em</w:t>
      </w:r>
      <w:r>
        <w:t xml:space="preserve"> </w:t>
      </w:r>
      <w:r>
        <w:rPr>
          <w:rStyle w:val="VerbatimChar"/>
        </w:rPr>
        <w:t xml:space="preserve">metodologiaData</w:t>
      </w:r>
      <w:r>
        <w:t xml:space="preserve">; não há serviços próprios de streaming ou disponibilização de arquivos didáticos na revisão.</w:t>
      </w:r>
    </w:p>
    <w:p>
      <w:pPr>
        <w:pStyle w:val="BodyText"/>
      </w:pPr>
      <w:r>
        <w:t xml:space="preserve">Fonte:</w:t>
      </w:r>
      <w:r>
        <w:t xml:space="preserve"> </w:t>
      </w:r>
      <w:r>
        <w:rPr>
          <w:rStyle w:val="VerbatimChar"/>
        </w:rPr>
        <w:t xml:space="preserve">src/constants/modules.ts</w:t>
      </w:r>
      <w:r>
        <w:t xml:space="preserve">,</w:t>
      </w:r>
      <w:r>
        <w:t xml:space="preserve"> </w:t>
      </w:r>
      <w:r>
        <w:rPr>
          <w:rStyle w:val="VerbatimChar"/>
        </w:rPr>
        <w:t xml:space="preserve">modulesDetails.ts</w:t>
      </w:r>
      <w:r>
        <w:t xml:space="preserve">,</w:t>
      </w:r>
      <w:r>
        <w:t xml:space="preserve"> </w:t>
      </w:r>
      <w:r>
        <w:rPr>
          <w:rStyle w:val="VerbatimChar"/>
        </w:rPr>
        <w:t xml:space="preserve">trilha.ts</w:t>
      </w:r>
      <w:r>
        <w:t xml:space="preserve"> </w:t>
      </w:r>
      <w:r>
        <w:t xml:space="preserve">e</w:t>
      </w:r>
      <w:r>
        <w:t xml:space="preserve"> </w:t>
      </w:r>
      <w:r>
        <w:rPr>
          <w:rStyle w:val="VerbatimChar"/>
        </w:rPr>
        <w:t xml:space="preserve">metodologia.ts</w:t>
      </w:r>
      <w:r>
        <w:t xml:space="preserve">; PDF do site, páginas 3 e 4.</w:t>
      </w:r>
    </w:p>
    <w:bookmarkEnd w:id="30"/>
    <w:bookmarkStart w:id="34" w:name="mapa-de-páginas-e-percurso-de-navegação"/>
    <w:p>
      <w:pPr>
        <w:pStyle w:val="Heading2"/>
      </w:pPr>
      <w:bookmarkStart w:id="20008" w:name="docsec_009"/>
      <w:r>
        <w:t xml:space="preserve">Mapa de páginas e percurso de navegação</w:t>
      </w:r>
      <w:bookmarkEnd w:id="20008"/>
    </w:p>
    <w:p>
      <w:pPr>
        <w:pStyle w:val="FirstParagraph"/>
      </w:pPr>
      <w:r>
        <w:t xml:space="preserve">As cinco páginas são públicas. A navegação principal permite sair da página inicial para Chancela Institucional, Metodologia Dinâmica e Objetivos de Aprendizagem. O logotipo do cabeçalho retorna ao início. As chamadas</w:t>
      </w:r>
      <w:r>
        <w:t xml:space="preserve"> </w:t>
      </w:r>
      <w:r>
        <w:t xml:space="preserve">“</w:t>
      </w:r>
      <w:r>
        <w:t xml:space="preserve">Registrar interesse</w:t>
      </w:r>
      <w:r>
        <w:t xml:space="preserve">”</w:t>
      </w:r>
      <w:r>
        <w:t xml:space="preserve">, presentes no banner principal e no bloco de adesão, direcionam ao formulário.</w:t>
      </w:r>
    </w:p>
    <w:p>
      <w:pPr>
        <w:pStyle w:val="TableCaption"/>
        <w:keepNext/>
      </w:pPr>
      <w:r>
        <w:t xml:space="preserve">Tabela </w:t>
      </w:r>
      <w:r>
        <w:rPr>
          <w:rFonts w:ascii="Open Sans" w:hAnsi="Open Sans"/>
          <w:sz w:val="18"/>
        </w:rPr>
        <w:fldChar w:fldCharType="begin"/>
        <w:instrText xml:space="preserve"> SEQ Tabela </w:instrText>
        <w:fldChar w:fldCharType="separate"/>
        <w:t>5</w:t>
        <w:fldChar w:fldCharType="end"/>
      </w:r>
      <w:r>
        <w:t xml:space="preserve"> — Mapa de páginas e percurso de navegação.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Caminho</w:t>
            </w:r>
          </w:p>
        </w:tc>
        <w:tc>
          <w:tcPr>
            <w:tcW w:type="dxa" w:w="3048"/>
            <w:vAlign w:val="top"/>
            <w:shd w:fill="233B82"/>
          </w:tcPr>
          <w:p>
            <w:pPr>
              <w:pStyle w:val="Compact"/>
              <w:spacing w:before="40" w:after="60" w:line="247" w:lineRule="auto"/>
              <w:jc w:val="left"/>
            </w:pPr>
            <w:r>
              <w:rPr>
                <w:b/>
                <w:color w:val="FFFFFF"/>
                <w:sz w:val="18"/>
              </w:rPr>
              <w:t xml:space="preserve">Conteúdo principal</w:t>
            </w:r>
          </w:p>
        </w:tc>
        <w:tc>
          <w:tcPr>
            <w:tcW w:type="dxa" w:w="4286"/>
            <w:vAlign w:val="top"/>
            <w:shd w:fill="233B82"/>
          </w:tcPr>
          <w:p>
            <w:pPr>
              <w:pStyle w:val="Compact"/>
              <w:spacing w:before="40" w:after="60" w:line="247" w:lineRule="auto"/>
              <w:jc w:val="left"/>
            </w:pPr>
            <w:r>
              <w:rPr>
                <w:b/>
                <w:color w:val="FFFFFF"/>
                <w:sz w:val="18"/>
              </w:rPr>
              <w:t xml:space="preserve">Entrada ou continuidade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w:t>
            </w:r>
          </w:p>
        </w:tc>
        <w:tc>
          <w:tcPr>
            <w:tcW w:type="dxa" w:w="3048"/>
            <w:vAlign w:val="top"/>
            <w:shd w:fill="FFFFFF"/>
          </w:tcPr>
          <w:p>
            <w:pPr>
              <w:pStyle w:val="Compact"/>
              <w:spacing w:before="40" w:after="60" w:line="247" w:lineRule="auto"/>
              <w:jc w:val="left"/>
            </w:pPr>
            <w:r>
              <w:rPr>
                <w:sz w:val="18"/>
              </w:rPr>
              <w:t xml:space="preserve">Apresentação, seis módulos resumidos, adesão, perguntas frequentes e instituições.</w:t>
            </w:r>
          </w:p>
        </w:tc>
        <w:tc>
          <w:tcPr>
            <w:tcW w:type="dxa" w:w="4286"/>
            <w:vAlign w:val="top"/>
            <w:shd w:fill="FFFFFF"/>
          </w:tcPr>
          <w:p>
            <w:pPr>
              <w:pStyle w:val="Compact"/>
              <w:spacing w:before="40" w:after="60" w:line="247" w:lineRule="auto"/>
              <w:jc w:val="left"/>
            </w:pPr>
            <w:r>
              <w:rPr>
                <w:sz w:val="18"/>
              </w:rPr>
              <w:t xml:space="preserve">Página inicial e destino do logotipo.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/chancela</w:t>
            </w:r>
          </w:p>
        </w:tc>
        <w:tc>
          <w:tcPr>
            <w:tcW w:type="dxa" w:w="3048"/>
            <w:vAlign w:val="top"/>
            <w:shd w:fill="F5F8FC"/>
          </w:tcPr>
          <w:p>
            <w:pPr>
              <w:pStyle w:val="Compact"/>
              <w:spacing w:before="40" w:after="60" w:line="247" w:lineRule="auto"/>
              <w:jc w:val="left"/>
            </w:pPr>
            <w:r>
              <w:rPr>
                <w:sz w:val="18"/>
              </w:rPr>
              <w:t xml:space="preserve">Manifesto, declaração institucional e cinco signatárias.</w:t>
            </w:r>
          </w:p>
        </w:tc>
        <w:tc>
          <w:tcPr>
            <w:tcW w:type="dxa" w:w="4286"/>
            <w:vAlign w:val="top"/>
            <w:shd w:fill="F5F8FC"/>
          </w:tcPr>
          <w:p>
            <w:pPr>
              <w:pStyle w:val="Compact"/>
              <w:spacing w:before="40" w:after="60" w:line="247" w:lineRule="auto"/>
              <w:jc w:val="left"/>
            </w:pPr>
            <w:r>
              <w:rPr>
                <w:sz w:val="18"/>
              </w:rPr>
              <w:t xml:space="preserve">Menu e cartão de Chancela.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/metodologia</w:t>
            </w:r>
          </w:p>
        </w:tc>
        <w:tc>
          <w:tcPr>
            <w:tcW w:type="dxa" w:w="3048"/>
            <w:vAlign w:val="top"/>
            <w:shd w:fill="FFFFFF"/>
          </w:tcPr>
          <w:p>
            <w:pPr>
              <w:pStyle w:val="Compact"/>
              <w:spacing w:before="40" w:after="60" w:line="247" w:lineRule="auto"/>
              <w:jc w:val="left"/>
            </w:pPr>
            <w:r>
              <w:rPr>
                <w:sz w:val="18"/>
              </w:rPr>
              <w:t xml:space="preserve">Pilares, formatos e possibilidades de implementação.</w:t>
            </w:r>
          </w:p>
        </w:tc>
        <w:tc>
          <w:tcPr>
            <w:tcW w:type="dxa" w:w="4286"/>
            <w:vAlign w:val="top"/>
            <w:shd w:fill="FFFFFF"/>
          </w:tcPr>
          <w:p>
            <w:pPr>
              <w:pStyle w:val="Compact"/>
              <w:spacing w:before="40" w:after="60" w:line="247" w:lineRule="auto"/>
              <w:jc w:val="left"/>
            </w:pPr>
            <w:r>
              <w:rPr>
                <w:sz w:val="18"/>
              </w:rPr>
              <w:t xml:space="preserve">Menu, cartão de Metodologia e links do rodapé.</w:t>
            </w:r>
          </w:p>
        </w:tc>
      </w:tr>
      <w:tr>
        <w:trPr>
          <w:cantSplit/>
        </w:trPr>
        <w:tc>
          <w:tcPr>
            <w:tcW w:type="dxa" w:w="2191"/>
            <w:vAlign w:val="top"/>
            <w:shd w:fill="F5F8FC"/>
          </w:tcPr>
          <w:p>
            <w:pPr>
              <w:pStyle w:val="Compact"/>
              <w:spacing w:before="40" w:after="60" w:line="247" w:lineRule="auto"/>
              <w:jc w:val="left"/>
            </w:pPr>
            <w:r>
              <w:rPr>
                <w:rStyle w:val="VerbatimChar"/>
                <w:sz w:val="17"/>
              </w:rPr>
              <w:t xml:space="preserve">/trilha</w:t>
            </w:r>
          </w:p>
        </w:tc>
        <w:tc>
          <w:tcPr>
            <w:tcW w:type="dxa" w:w="3048"/>
            <w:vAlign w:val="top"/>
            <w:shd w:fill="F5F8FC"/>
          </w:tcPr>
          <w:p>
            <w:pPr>
              <w:pStyle w:val="Compact"/>
              <w:spacing w:before="40" w:after="60" w:line="247" w:lineRule="auto"/>
              <w:jc w:val="left"/>
            </w:pPr>
            <w:r>
              <w:rPr>
                <w:sz w:val="18"/>
              </w:rPr>
              <w:t xml:space="preserve">Seis módulos com suas tabelas de objetivos.</w:t>
            </w:r>
          </w:p>
        </w:tc>
        <w:tc>
          <w:tcPr>
            <w:tcW w:type="dxa" w:w="4286"/>
            <w:vAlign w:val="top"/>
            <w:shd w:fill="F5F8FC"/>
          </w:tcPr>
          <w:p>
            <w:pPr>
              <w:pStyle w:val="Compact"/>
              <w:spacing w:before="40" w:after="60" w:line="247" w:lineRule="auto"/>
              <w:jc w:val="left"/>
            </w:pPr>
            <w:r>
              <w:rPr>
                <w:sz w:val="18"/>
              </w:rPr>
              <w:t xml:space="preserve">Menu,</w:t>
            </w:r>
            <w:r>
              <w:rPr>
                <w:sz w:val="18"/>
              </w:rPr>
              <w:t xml:space="preserve"> </w:t>
            </w:r>
            <w:r>
              <w:rPr>
                <w:sz w:val="18"/>
              </w:rPr>
              <w:t xml:space="preserve">“</w:t>
            </w:r>
            <w:r>
              <w:rPr>
                <w:sz w:val="18"/>
              </w:rPr>
              <w:t xml:space="preserve">Saiba mais</w:t>
            </w:r>
            <w:r>
              <w:rPr>
                <w:sz w:val="18"/>
              </w:rPr>
              <w:t xml:space="preserve">”</w:t>
            </w:r>
            <w:r>
              <w:rPr>
                <w:sz w:val="18"/>
              </w:rPr>
              <w:t xml:space="preserve"> </w:t>
            </w:r>
            <w:r>
              <w:rPr>
                <w:sz w:val="18"/>
              </w:rPr>
              <w:t xml:space="preserve">e links de módulos.</w:t>
            </w:r>
          </w:p>
        </w:tc>
      </w:tr>
      <w:tr>
        <w:trPr>
          <w:cantSplit/>
        </w:trPr>
        <w:tc>
          <w:tcPr>
            <w:tcW w:type="dxa" w:w="2191"/>
            <w:vAlign w:val="top"/>
            <w:shd w:fill="FFFFFF"/>
          </w:tcPr>
          <w:p>
            <w:pPr>
              <w:pStyle w:val="Compact"/>
              <w:spacing w:before="40" w:after="60" w:line="247" w:lineRule="auto"/>
              <w:jc w:val="left"/>
            </w:pPr>
            <w:r>
              <w:rPr>
                <w:rStyle w:val="VerbatimChar"/>
                <w:sz w:val="17"/>
              </w:rPr>
              <w:t xml:space="preserve">/registro-interesse</w:t>
            </w:r>
          </w:p>
        </w:tc>
        <w:tc>
          <w:tcPr>
            <w:tcW w:type="dxa" w:w="3048"/>
            <w:vAlign w:val="top"/>
            <w:shd w:fill="FFFFFF"/>
          </w:tcPr>
          <w:p>
            <w:pPr>
              <w:pStyle w:val="Compact"/>
              <w:spacing w:before="40" w:after="60" w:line="247" w:lineRule="auto"/>
              <w:jc w:val="left"/>
            </w:pPr>
            <w:r>
              <w:rPr>
                <w:sz w:val="18"/>
              </w:rPr>
              <w:t xml:space="preserve">Formulário e confirmação de registro.</w:t>
            </w:r>
          </w:p>
        </w:tc>
        <w:tc>
          <w:tcPr>
            <w:tcW w:type="dxa" w:w="4286"/>
            <w:vAlign w:val="top"/>
            <w:shd w:fill="FFFFFF"/>
          </w:tcPr>
          <w:p>
            <w:pPr>
              <w:pStyle w:val="Compact"/>
              <w:spacing w:before="40" w:after="60" w:line="247" w:lineRule="auto"/>
              <w:jc w:val="left"/>
            </w:pPr>
            <w:r>
              <w:rPr>
                <w:sz w:val="18"/>
              </w:rPr>
              <w:t xml:space="preserve">Chamadas de interesse e redirecionamentos de rotas legadas.</w:t>
            </w:r>
          </w:p>
        </w:tc>
      </w:tr>
    </w:tbl>
    <w:p>
      <w:pPr>
        <w:pStyle w:val="BodyText"/>
      </w:pPr>
      <w:r>
        <w:t xml:space="preserve">O botão</w:t>
      </w:r>
      <w:r>
        <w:t xml:space="preserve"> </w:t>
      </w:r>
      <w:r>
        <w:t xml:space="preserve">“</w:t>
      </w:r>
      <w:r>
        <w:t xml:space="preserve">Entrar</w:t>
      </w:r>
      <w:r>
        <w:t xml:space="preserve">”</w:t>
      </w:r>
      <w:r>
        <w:t xml:space="preserve"> </w:t>
      </w:r>
      <w:r>
        <w:t xml:space="preserve">encaminha para</w:t>
      </w:r>
      <w:r>
        <w:t xml:space="preserve"> </w:t>
      </w:r>
      <w:r>
        <w:rPr>
          <w:rStyle w:val="VerbatimChar"/>
        </w:rPr>
        <w:t xml:space="preserve">/login</w:t>
      </w:r>
      <w:r>
        <w:t xml:space="preserve">, que redireciona com substituição do histórico para</w:t>
      </w:r>
      <w:r>
        <w:t xml:space="preserve"> </w:t>
      </w:r>
      <w:r>
        <w:rPr>
          <w:rStyle w:val="VerbatimChar"/>
        </w:rPr>
        <w:t xml:space="preserve">/registro-interesse</w:t>
      </w:r>
      <w:r>
        <w:t xml:space="preserve">. Os caminhos</w:t>
      </w:r>
      <w:r>
        <w:t xml:space="preserve"> </w:t>
      </w:r>
      <w:r>
        <w:rPr>
          <w:rStyle w:val="VerbatimChar"/>
        </w:rPr>
        <w:t xml:space="preserve">/cadastro</w:t>
      </w:r>
      <w:r>
        <w:t xml:space="preserve"> </w:t>
      </w:r>
      <w:r>
        <w:t xml:space="preserve">e</w:t>
      </w:r>
      <w:r>
        <w:t xml:space="preserve"> </w:t>
      </w:r>
      <w:r>
        <w:rPr>
          <w:rStyle w:val="VerbatimChar"/>
        </w:rPr>
        <w:t xml:space="preserve">/area-docente/*</w:t>
      </w:r>
      <w:r>
        <w:t xml:space="preserve"> </w:t>
      </w:r>
      <w:r>
        <w:t xml:space="preserve">têm o mesmo destino. Essa compatibilidade de navegação não cria sessão ou autenticação. Endereços não reconhecidos pelo roteador retornam à página inicial.</w:t>
      </w:r>
    </w:p>
    <w:p>
      <w:pPr>
        <w:pStyle w:val="BodyText"/>
      </w:pPr>
      <w:r>
        <w:t xml:space="preserve">O rodapé permite acessar seções por fragmentos:</w:t>
      </w:r>
      <w:r>
        <w:t xml:space="preserve"> </w:t>
      </w:r>
      <w:r>
        <w:rPr>
          <w:rStyle w:val="VerbatimChar"/>
        </w:rPr>
        <w:t xml:space="preserve">/metodologia#por-que-dinamica</w:t>
      </w:r>
      <w:r>
        <w:t xml:space="preserve">,</w:t>
      </w:r>
      <w:r>
        <w:t xml:space="preserve"> </w:t>
      </w:r>
      <w:r>
        <w:rPr>
          <w:rStyle w:val="VerbatimChar"/>
        </w:rPr>
        <w:t xml:space="preserve">#formatos-de-aprendizagem</w:t>
      </w:r>
      <w:r>
        <w:t xml:space="preserve"> </w:t>
      </w:r>
      <w:r>
        <w:t xml:space="preserve">e</w:t>
      </w:r>
      <w:r>
        <w:t xml:space="preserve"> </w:t>
      </w:r>
      <w:r>
        <w:rPr>
          <w:rStyle w:val="VerbatimChar"/>
        </w:rPr>
        <w:t xml:space="preserve">#flexibilidade-de-implementacao</w:t>
      </w:r>
      <w:r>
        <w:t xml:space="preserve">, além de</w:t>
      </w:r>
      <w:r>
        <w:t xml:space="preserve"> </w:t>
      </w:r>
      <w:r>
        <w:rPr>
          <w:rStyle w:val="VerbatimChar"/>
        </w:rPr>
        <w:t xml:space="preserve">/trilha#modulo-1</w:t>
      </w:r>
      <w:r>
        <w:t xml:space="preserve"> </w:t>
      </w:r>
      <w:r>
        <w:t xml:space="preserve">até</w:t>
      </w:r>
      <w:r>
        <w:t xml:space="preserve"> </w:t>
      </w:r>
      <w:r>
        <w:rPr>
          <w:rStyle w:val="VerbatimChar"/>
        </w:rPr>
        <w:t xml:space="preserve">#modulo-6</w:t>
      </w:r>
      <w:r>
        <w:t xml:space="preserve">. Ao carregar o layout público, o efeito de navegação procura o elemento correspondente e solicita a rolagem. A área</w:t>
      </w:r>
      <w:r>
        <w:t xml:space="preserve"> </w:t>
      </w:r>
      <w:r>
        <w:t xml:space="preserve">“</w:t>
      </w:r>
      <w:r>
        <w:t xml:space="preserve">Área do Docente</w:t>
      </w:r>
      <w:r>
        <w:t xml:space="preserve">”</w:t>
      </w:r>
      <w:r>
        <w:t xml:space="preserve"> </w:t>
      </w:r>
      <w:r>
        <w:t xml:space="preserve">do rodapé funciona, nesta edição, como índice desses módulos públicos.</w:t>
      </w:r>
    </w:p>
    <w:p>
      <w:pPr>
        <w:pStyle w:val="CaptionedFigure"/>
        <w:keepNext/>
        <w:jc w:val="center"/>
      </w:pPr>
      <w:r>
        <w:drawing>
          <wp:inline>
            <wp:extent cx="6045200" cy="3616574"/>
            <wp:effectExtent b="0" l="0" r="0" t="0"/>
            <wp:docPr descr="Mapa das cinco páginas públicas, redirecionamentos de compatibilidade e percurso até a manifestação de interesse." title="" id="32" name="Picture"/>
            <a:graphic>
              <a:graphicData uri="http://schemas.openxmlformats.org/drawingml/2006/picture">
                <pic:pic>
                  <pic:nvPicPr>
                    <pic:cNvPr descr="diagrams/01_rotas.png" id="33" name="Picture"/>
                    <pic:cNvPicPr>
                      <a:picLocks noChangeArrowheads="1" noChangeAspect="1"/>
                    </pic:cNvPicPr>
                  </pic:nvPicPr>
                  <pic:blipFill>
                    <a:blip r:embed="rId31"/>
                    <a:stretch>
                      <a:fillRect/>
                    </a:stretch>
                  </pic:blipFill>
                  <pic:spPr bwMode="auto">
                    <a:xfrm>
                      <a:off x="0" y="0"/>
                      <a:ext cx="6045200" cy="3616574"/>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1</w:t>
        <w:fldChar w:fldCharType="end"/>
      </w:r>
      <w:r>
        <w:t xml:space="preserve"> — Mapa das cinco páginas públicas, redirecionamentos de compatibilidade e percurso até a manifestação de interesse.</w:t>
      </w:r>
    </w:p>
    <w:p>
      <w:pPr>
        <w:pStyle w:val="BodyText"/>
      </w:pPr>
      <w:r>
        <w:t xml:space="preserve">Fonte:</w:t>
      </w:r>
      <w:r>
        <w:t xml:space="preserve"> </w:t>
      </w:r>
      <w:r>
        <w:rPr>
          <w:rStyle w:val="VerbatimChar"/>
        </w:rPr>
        <w:t xml:space="preserve">src/routes/index.tsx</w:t>
      </w:r>
      <w:r>
        <w:t xml:space="preserve">,</w:t>
      </w:r>
      <w:r>
        <w:t xml:space="preserve"> </w:t>
      </w:r>
      <w:r>
        <w:rPr>
          <w:rStyle w:val="VerbatimChar"/>
        </w:rPr>
        <w:t xml:space="preserve">src/constants/navigation.ts</w:t>
      </w:r>
      <w:r>
        <w:t xml:space="preserve">,</w:t>
      </w:r>
      <w:r>
        <w:t xml:space="preserve"> </w:t>
      </w:r>
      <w:r>
        <w:rPr>
          <w:rStyle w:val="VerbatimChar"/>
        </w:rPr>
        <w:t xml:space="preserve">src/constants/footer.ts</w:t>
      </w:r>
      <w:r>
        <w:t xml:space="preserve"> </w:t>
      </w:r>
      <w:r>
        <w:t xml:space="preserve">e</w:t>
      </w:r>
      <w:r>
        <w:t xml:space="preserve"> </w:t>
      </w:r>
      <w:r>
        <w:rPr>
          <w:rStyle w:val="VerbatimChar"/>
        </w:rPr>
        <w:t xml:space="preserve">src/components/layout/PublicLayout.tsx</w:t>
      </w:r>
      <w:r>
        <w:t xml:space="preserve">.</w:t>
      </w:r>
    </w:p>
    <w:bookmarkEnd w:id="34"/>
    <w:bookmarkStart w:id="35" w:name="composição-da-interface"/>
    <w:p>
      <w:pPr>
        <w:pStyle w:val="Heading2"/>
      </w:pPr>
      <w:bookmarkStart w:id="20009" w:name="docsec_010"/>
      <w:r>
        <w:t xml:space="preserve">Composição da interface</w:t>
      </w:r>
      <w:bookmarkEnd w:id="20009"/>
    </w:p>
    <w:p>
      <w:pPr>
        <w:pStyle w:val="FirstParagraph"/>
      </w:pPr>
      <w:r>
        <w:t xml:space="preserve">A aplicação é uma SPA, isto é, uma aplicação de página única renderizada no navegador. O HTML fornece o elemento</w:t>
      </w:r>
      <w:r>
        <w:t xml:space="preserve"> </w:t>
      </w:r>
      <w:r>
        <w:rPr>
          <w:rStyle w:val="VerbatimChar"/>
        </w:rPr>
        <w:t xml:space="preserve">root</w:t>
      </w:r>
      <w:r>
        <w:t xml:space="preserve">;</w:t>
      </w:r>
      <w:r>
        <w:t xml:space="preserve"> </w:t>
      </w:r>
      <w:r>
        <w:rPr>
          <w:rStyle w:val="VerbatimChar"/>
        </w:rPr>
        <w:t xml:space="preserve">src/main.tsx</w:t>
      </w:r>
      <w:r>
        <w:t xml:space="preserve"> </w:t>
      </w:r>
      <w:r>
        <w:t xml:space="preserve">cria a raiz React e monta</w:t>
      </w:r>
      <w:r>
        <w:t xml:space="preserve"> </w:t>
      </w:r>
      <w:r>
        <w:rPr>
          <w:rStyle w:val="VerbatimChar"/>
        </w:rPr>
        <w:t xml:space="preserve">App</w:t>
      </w:r>
      <w:r>
        <w:t xml:space="preserve"> </w:t>
      </w:r>
      <w:r>
        <w:t xml:space="preserve">em</w:t>
      </w:r>
      <w:r>
        <w:t xml:space="preserve"> </w:t>
      </w:r>
      <w:r>
        <w:rPr>
          <w:rStyle w:val="VerbatimChar"/>
        </w:rPr>
        <w:t xml:space="preserve">StrictMode</w:t>
      </w:r>
      <w:r>
        <w:t xml:space="preserve">. O componente</w:t>
      </w:r>
      <w:r>
        <w:t xml:space="preserve"> </w:t>
      </w:r>
      <w:r>
        <w:rPr>
          <w:rStyle w:val="VerbatimChar"/>
        </w:rPr>
        <w:t xml:space="preserve">App</w:t>
      </w:r>
      <w:r>
        <w:t xml:space="preserve"> </w:t>
      </w:r>
      <w:r>
        <w:t xml:space="preserve">estabelece o</w:t>
      </w:r>
      <w:r>
        <w:t xml:space="preserve"> </w:t>
      </w:r>
      <w:r>
        <w:rPr>
          <w:rStyle w:val="VerbatimChar"/>
        </w:rPr>
        <w:t xml:space="preserve">BrowserRouter</w:t>
      </w:r>
      <w:r>
        <w:t xml:space="preserve">, a sincronização das preferências de acessibilidade, a rolagem de início, as rotas e os recursos globais de apresentação e VLibras.</w:t>
      </w:r>
    </w:p>
    <w:p>
      <w:pPr>
        <w:pStyle w:val="BodyText"/>
      </w:pPr>
      <w:r>
        <w:rPr>
          <w:rStyle w:val="VerbatimChar"/>
        </w:rPr>
        <w:t xml:space="preserve">PublicLayout</w:t>
      </w:r>
      <w:r>
        <w:t xml:space="preserve"> </w:t>
      </w:r>
      <w:r>
        <w:t xml:space="preserve">envolve as quatro páginas institucionais com barra superior, cabeçalho, área</w:t>
      </w:r>
      <w:r>
        <w:t xml:space="preserve"> </w:t>
      </w:r>
      <w:r>
        <w:rPr>
          <w:rStyle w:val="VerbatimChar"/>
        </w:rPr>
        <w:t xml:space="preserve">main</w:t>
      </w:r>
      <w:r>
        <w:t xml:space="preserve"> </w:t>
      </w:r>
      <w:r>
        <w:t xml:space="preserve">e rodapé. Seu</w:t>
      </w:r>
      <w:r>
        <w:t xml:space="preserve"> </w:t>
      </w:r>
      <w:r>
        <w:rPr>
          <w:rStyle w:val="VerbatimChar"/>
        </w:rPr>
        <w:t xml:space="preserve">Outlet</w:t>
      </w:r>
      <w:r>
        <w:t xml:space="preserve"> </w:t>
      </w:r>
      <w:r>
        <w:t xml:space="preserve">recebe a página selecionada. O registro de interesse tem uma composição própria, fora desse layout: em telas largas, uma coluna institucional ocupa metade da largura e o formulário ocupa a outra; em telas menores, a coluna institucional é ocultada. A página mantém seu próprio título de documento e link de retorno ao início.</w:t>
      </w:r>
    </w:p>
    <w:p>
      <w:pPr>
        <w:pStyle w:val="BodyText"/>
      </w:pPr>
      <w:r>
        <w:t xml:space="preserve">A página inicial é carregada diretamente. As demais páginas usam importações dinâmicas com</w:t>
      </w:r>
      <w:r>
        <w:t xml:space="preserve"> </w:t>
      </w:r>
      <w:r>
        <w:rPr>
          <w:rStyle w:val="VerbatimChar"/>
        </w:rPr>
        <w:t xml:space="preserve">lazy</w:t>
      </w:r>
      <w:r>
        <w:t xml:space="preserve"> </w:t>
      </w:r>
      <w:r>
        <w:t xml:space="preserve">e</w:t>
      </w:r>
      <w:r>
        <w:t xml:space="preserve"> </w:t>
      </w:r>
      <w:r>
        <w:rPr>
          <w:rStyle w:val="VerbatimChar"/>
        </w:rPr>
        <w:t xml:space="preserve">Suspense</w:t>
      </w:r>
      <w:r>
        <w:t xml:space="preserve">; durante a espera, o roteador apresenta um indicador central com</w:t>
      </w:r>
      <w:r>
        <w:t xml:space="preserve"> </w:t>
      </w:r>
      <w:r>
        <w:rPr>
          <w:rStyle w:val="VerbatimChar"/>
        </w:rPr>
        <w:t xml:space="preserve">aria-busy="true"</w:t>
      </w:r>
      <w:r>
        <w:t xml:space="preserve">. Na Home, módulos, adesão, FAQ e lista inferior de instituições também são carregados de forma adiada. Essa composição divide a transferência de código conforme a navegação. O fallback representa espera de carregamento; não é uma tela de recuperação de erro de rede.</w:t>
      </w:r>
    </w:p>
    <w:p>
      <w:pPr>
        <w:pStyle w:val="BodyText"/>
      </w:pPr>
      <w:r>
        <w:t xml:space="preserve">Fonte:</w:t>
      </w:r>
      <w:r>
        <w:t xml:space="preserve"> </w:t>
      </w:r>
      <w:r>
        <w:rPr>
          <w:rStyle w:val="VerbatimChar"/>
        </w:rPr>
        <w:t xml:space="preserve">index.html</w:t>
      </w:r>
      <w:r>
        <w:t xml:space="preserve">,</w:t>
      </w:r>
      <w:r>
        <w:t xml:space="preserve"> </w:t>
      </w:r>
      <w:r>
        <w:rPr>
          <w:rStyle w:val="VerbatimChar"/>
        </w:rPr>
        <w:t xml:space="preserve">src/main.tsx</w:t>
      </w:r>
      <w:r>
        <w:t xml:space="preserve">,</w:t>
      </w:r>
      <w:r>
        <w:t xml:space="preserve"> </w:t>
      </w:r>
      <w:r>
        <w:rPr>
          <w:rStyle w:val="VerbatimChar"/>
        </w:rPr>
        <w:t xml:space="preserve">src/App.tsx</w:t>
      </w:r>
      <w:r>
        <w:t xml:space="preserve">,</w:t>
      </w:r>
      <w:r>
        <w:t xml:space="preserve"> </w:t>
      </w:r>
      <w:r>
        <w:rPr>
          <w:rStyle w:val="VerbatimChar"/>
        </w:rPr>
        <w:t xml:space="preserve">src/routes/index.tsx</w:t>
      </w:r>
      <w:r>
        <w:t xml:space="preserve">,</w:t>
      </w:r>
      <w:r>
        <w:t xml:space="preserve"> </w:t>
      </w:r>
      <w:r>
        <w:rPr>
          <w:rStyle w:val="VerbatimChar"/>
        </w:rPr>
        <w:t xml:space="preserve">src/pages/Home.tsx</w:t>
      </w:r>
      <w:r>
        <w:t xml:space="preserve"> </w:t>
      </w:r>
      <w:r>
        <w:t xml:space="preserve">e</w:t>
      </w:r>
      <w:r>
        <w:t xml:space="preserve"> </w:t>
      </w:r>
      <w:r>
        <w:rPr>
          <w:rStyle w:val="VerbatimChar"/>
        </w:rPr>
        <w:t xml:space="preserve">src/pages/InterestRegistrationPage.tsx</w:t>
      </w:r>
      <w:r>
        <w:t xml:space="preserve">.</w:t>
      </w:r>
    </w:p>
    <w:bookmarkEnd w:id="35"/>
    <w:bookmarkStart w:id="36" w:name="catálogos-textos-e-identidade-visual"/>
    <w:p>
      <w:pPr>
        <w:pStyle w:val="Heading2"/>
      </w:pPr>
      <w:bookmarkStart w:id="20010" w:name="docsec_011"/>
      <w:r>
        <w:t xml:space="preserve">Catálogos, textos e identidade visual</w:t>
      </w:r>
      <w:bookmarkEnd w:id="20010"/>
    </w:p>
    <w:p>
      <w:pPr>
        <w:pStyle w:val="FirstParagraph"/>
      </w:pPr>
      <w:r>
        <w:t xml:space="preserve">Os conteúdos institucionais são mantidos em componentes e constantes TypeScript. Não existe painel de edição de textos nem leitura de um gerenciador de conteúdo remoto. Alterações de ementa, perguntas frequentes, instituições, cargos ou cursos dependem da revisão dos respectivos arquivos e de nova distribuição da aplicação.</w:t>
      </w:r>
    </w:p>
    <w:p>
      <w:pPr>
        <w:pStyle w:val="TableCaption"/>
        <w:keepNext/>
      </w:pPr>
      <w:r>
        <w:t xml:space="preserve">Tabela </w:t>
      </w:r>
      <w:r>
        <w:rPr>
          <w:rFonts w:ascii="Open Sans" w:hAnsi="Open Sans"/>
          <w:sz w:val="18"/>
        </w:rPr>
        <w:fldChar w:fldCharType="begin"/>
        <w:instrText xml:space="preserve"> SEQ Tabela </w:instrText>
        <w:fldChar w:fldCharType="separate"/>
        <w:t>6</w:t>
        <w:fldChar w:fldCharType="end"/>
      </w:r>
      <w:r>
        <w:t xml:space="preserve"> — Catálogos, textos e identidade visual.</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Fonte</w:t>
            </w:r>
          </w:p>
        </w:tc>
        <w:tc>
          <w:tcPr>
            <w:tcW w:type="dxa" w:w="3048"/>
            <w:vAlign w:val="top"/>
            <w:shd w:fill="233B82"/>
          </w:tcPr>
          <w:p>
            <w:pPr>
              <w:pStyle w:val="Compact"/>
              <w:spacing w:before="40" w:after="60" w:line="247" w:lineRule="auto"/>
              <w:jc w:val="left"/>
            </w:pPr>
            <w:r>
              <w:rPr>
                <w:b/>
                <w:color w:val="FFFFFF"/>
                <w:sz w:val="18"/>
              </w:rPr>
              <w:t xml:space="preserve">Informação mantida</w:t>
            </w:r>
          </w:p>
        </w:tc>
        <w:tc>
          <w:tcPr>
            <w:tcW w:type="dxa" w:w="4286"/>
            <w:vAlign w:val="top"/>
            <w:shd w:fill="233B82"/>
          </w:tcPr>
          <w:p>
            <w:pPr>
              <w:pStyle w:val="Compact"/>
              <w:spacing w:before="40" w:after="60" w:line="247" w:lineRule="auto"/>
              <w:jc w:val="left"/>
            </w:pPr>
            <w:r>
              <w:rPr>
                <w:b/>
                <w:color w:val="FFFFFF"/>
                <w:sz w:val="18"/>
              </w:rPr>
              <w:t xml:space="preserve">Aplicação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src/constants/modules.ts</w:t>
            </w:r>
            <w:r>
              <w:rPr>
                <w:sz w:val="18"/>
              </w:rPr>
              <w:t xml:space="preserve"> </w:t>
            </w:r>
            <w:r>
              <w:rPr>
                <w:sz w:val="18"/>
              </w:rPr>
              <w:t xml:space="preserve">e</w:t>
            </w:r>
            <w:r>
              <w:rPr>
                <w:sz w:val="18"/>
              </w:rPr>
              <w:t xml:space="preserve"> </w:t>
            </w:r>
            <w:r>
              <w:rPr>
                <w:rStyle w:val="VerbatimChar"/>
                <w:sz w:val="17"/>
              </w:rPr>
              <w:t xml:space="preserve">modulesDetails.ts</w:t>
            </w:r>
          </w:p>
        </w:tc>
        <w:tc>
          <w:tcPr>
            <w:tcW w:type="dxa" w:w="3048"/>
            <w:vAlign w:val="top"/>
            <w:shd w:fill="FFFFFF"/>
          </w:tcPr>
          <w:p>
            <w:pPr>
              <w:pStyle w:val="Compact"/>
              <w:spacing w:before="40" w:after="60" w:line="247" w:lineRule="auto"/>
              <w:jc w:val="left"/>
            </w:pPr>
            <w:r>
              <w:rPr>
                <w:sz w:val="18"/>
              </w:rPr>
              <w:t xml:space="preserve">Títulos, instituição, carga, descrição e objetivos.</w:t>
            </w:r>
          </w:p>
        </w:tc>
        <w:tc>
          <w:tcPr>
            <w:tcW w:type="dxa" w:w="4286"/>
            <w:vAlign w:val="top"/>
            <w:shd w:fill="FFFFFF"/>
          </w:tcPr>
          <w:p>
            <w:pPr>
              <w:pStyle w:val="Compact"/>
              <w:spacing w:before="40" w:after="60" w:line="247" w:lineRule="auto"/>
              <w:jc w:val="left"/>
            </w:pPr>
            <w:r>
              <w:rPr>
                <w:sz w:val="18"/>
              </w:rPr>
              <w:t xml:space="preserve">Home e Trilha.</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src/constants/metodologia.ts</w:t>
            </w:r>
            <w:r>
              <w:rPr>
                <w:sz w:val="18"/>
              </w:rPr>
              <w:t xml:space="preserve"> </w:t>
            </w:r>
            <w:r>
              <w:rPr>
                <w:sz w:val="18"/>
              </w:rPr>
              <w:t xml:space="preserve">e</w:t>
            </w:r>
            <w:r>
              <w:rPr>
                <w:sz w:val="18"/>
              </w:rPr>
              <w:t xml:space="preserve"> </w:t>
            </w:r>
            <w:r>
              <w:rPr>
                <w:rStyle w:val="VerbatimChar"/>
                <w:sz w:val="17"/>
              </w:rPr>
              <w:t xml:space="preserve">trilha.ts</w:t>
            </w:r>
          </w:p>
        </w:tc>
        <w:tc>
          <w:tcPr>
            <w:tcW w:type="dxa" w:w="3048"/>
            <w:vAlign w:val="top"/>
            <w:shd w:fill="F5F8FC"/>
          </w:tcPr>
          <w:p>
            <w:pPr>
              <w:pStyle w:val="Compact"/>
              <w:spacing w:before="40" w:after="60" w:line="247" w:lineRule="auto"/>
              <w:jc w:val="left"/>
            </w:pPr>
            <w:r>
              <w:rPr>
                <w:sz w:val="18"/>
              </w:rPr>
              <w:t xml:space="preserve">Pilares, formatos e textos pedagógicos.</w:t>
            </w:r>
          </w:p>
        </w:tc>
        <w:tc>
          <w:tcPr>
            <w:tcW w:type="dxa" w:w="4286"/>
            <w:vAlign w:val="top"/>
            <w:shd w:fill="F5F8FC"/>
          </w:tcPr>
          <w:p>
            <w:pPr>
              <w:pStyle w:val="Compact"/>
              <w:spacing w:before="40" w:after="60" w:line="247" w:lineRule="auto"/>
              <w:jc w:val="left"/>
            </w:pPr>
            <w:r>
              <w:rPr>
                <w:sz w:val="18"/>
              </w:rPr>
              <w:t xml:space="preserve">Metodologia e banner da Trilha.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src/constants/chancela.ts</w:t>
            </w:r>
            <w:r>
              <w:rPr>
                <w:sz w:val="18"/>
              </w:rPr>
              <w:t xml:space="preserve"> </w:t>
            </w:r>
            <w:r>
              <w:rPr>
                <w:sz w:val="18"/>
              </w:rPr>
              <w:t xml:space="preserve">e</w:t>
            </w:r>
            <w:r>
              <w:rPr>
                <w:sz w:val="18"/>
              </w:rPr>
              <w:t xml:space="preserve"> </w:t>
            </w:r>
            <w:r>
              <w:rPr>
                <w:rStyle w:val="VerbatimChar"/>
                <w:sz w:val="17"/>
              </w:rPr>
              <w:t xml:space="preserve">partners.ts</w:t>
            </w:r>
          </w:p>
        </w:tc>
        <w:tc>
          <w:tcPr>
            <w:tcW w:type="dxa" w:w="3048"/>
            <w:vAlign w:val="top"/>
            <w:shd w:fill="FFFFFF"/>
          </w:tcPr>
          <w:p>
            <w:pPr>
              <w:pStyle w:val="Compact"/>
              <w:spacing w:before="40" w:after="60" w:line="247" w:lineRule="auto"/>
              <w:jc w:val="left"/>
            </w:pPr>
            <w:r>
              <w:rPr>
                <w:sz w:val="18"/>
              </w:rPr>
              <w:t xml:space="preserve">Nomes, marcas, descrições e destinos institucionais.</w:t>
            </w:r>
          </w:p>
        </w:tc>
        <w:tc>
          <w:tcPr>
            <w:tcW w:type="dxa" w:w="4286"/>
            <w:vAlign w:val="top"/>
            <w:shd w:fill="FFFFFF"/>
          </w:tcPr>
          <w:p>
            <w:pPr>
              <w:pStyle w:val="Compact"/>
              <w:spacing w:before="40" w:after="60" w:line="247" w:lineRule="auto"/>
              <w:jc w:val="left"/>
            </w:pPr>
            <w:r>
              <w:rPr>
                <w:sz w:val="18"/>
              </w:rPr>
              <w:t xml:space="preserve">Chancela e faixas de parceiros.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src/constants/content.ts</w:t>
            </w:r>
            <w:r>
              <w:rPr>
                <w:sz w:val="18"/>
              </w:rPr>
              <w:t xml:space="preserve"> </w:t>
            </w:r>
            <w:r>
              <w:rPr>
                <w:sz w:val="18"/>
              </w:rPr>
              <w:t xml:space="preserve">e</w:t>
            </w:r>
            <w:r>
              <w:rPr>
                <w:sz w:val="18"/>
              </w:rPr>
              <w:t xml:space="preserve"> </w:t>
            </w:r>
            <w:r>
              <w:rPr>
                <w:rStyle w:val="VerbatimChar"/>
                <w:sz w:val="17"/>
              </w:rPr>
              <w:t xml:space="preserve">courses.ts</w:t>
            </w:r>
          </w:p>
        </w:tc>
        <w:tc>
          <w:tcPr>
            <w:tcW w:type="dxa" w:w="3048"/>
            <w:vAlign w:val="top"/>
            <w:shd w:fill="F5F8FC"/>
          </w:tcPr>
          <w:p>
            <w:pPr>
              <w:pStyle w:val="Compact"/>
              <w:spacing w:before="40" w:after="60" w:line="247" w:lineRule="auto"/>
              <w:jc w:val="left"/>
            </w:pPr>
            <w:r>
              <w:rPr>
                <w:sz w:val="18"/>
              </w:rPr>
              <w:t xml:space="preserve">Sete perguntas frequentes e opções do formulário.</w:t>
            </w:r>
          </w:p>
        </w:tc>
        <w:tc>
          <w:tcPr>
            <w:tcW w:type="dxa" w:w="4286"/>
            <w:vAlign w:val="top"/>
            <w:shd w:fill="F5F8FC"/>
          </w:tcPr>
          <w:p>
            <w:pPr>
              <w:pStyle w:val="Compact"/>
              <w:spacing w:before="40" w:after="60" w:line="247" w:lineRule="auto"/>
              <w:jc w:val="left"/>
            </w:pPr>
            <w:r>
              <w:rPr>
                <w:sz w:val="18"/>
              </w:rPr>
              <w:t xml:space="preserve">Home e manifestação de interesse.</w:t>
            </w:r>
          </w:p>
        </w:tc>
      </w:tr>
    </w:tbl>
    <w:p>
      <w:pPr>
        <w:pStyle w:val="BodyText"/>
      </w:pPr>
      <w:r>
        <w:t xml:space="preserve">A identidade utiliza a marca CRA-SP, azuis institucionais, fundos brancos e cinzas e amarelo em controles de destaque. O contêiner comum tem largura máxima de 1.152 pixels, margens automáticas e preenchimento lateral de 16 pixels. As classes responsivas organizam cartões, colunas, fontes e menus conforme a largura disponível.</w:t>
      </w:r>
    </w:p>
    <w:p>
      <w:pPr>
        <w:pStyle w:val="BodyText"/>
      </w:pPr>
      <w:r>
        <w:t xml:space="preserve">O banner inicial seleciona</w:t>
      </w:r>
      <w:r>
        <w:t xml:space="preserve"> </w:t>
      </w:r>
      <w:r>
        <w:rPr>
          <w:rStyle w:val="VerbatimChar"/>
        </w:rPr>
        <w:t xml:space="preserve">image2.webp</w:t>
      </w:r>
      <w:r>
        <w:t xml:space="preserve"> </w:t>
      </w:r>
      <w:r>
        <w:t xml:space="preserve">até 767 pixels e</w:t>
      </w:r>
      <w:r>
        <w:t xml:space="preserve"> </w:t>
      </w:r>
      <w:r>
        <w:rPr>
          <w:rStyle w:val="VerbatimChar"/>
        </w:rPr>
        <w:t xml:space="preserve">image1.webp</w:t>
      </w:r>
      <w:r>
        <w:t xml:space="preserve"> </w:t>
      </w:r>
      <w:r>
        <w:t xml:space="preserve">a partir de 768 pixels. Essas imagens são pré-carregadas de forma condicional no HTML; a imagem principal tem prioridade alta. Outras imagens locais ficam em</w:t>
      </w:r>
      <w:r>
        <w:t xml:space="preserve"> </w:t>
      </w:r>
      <w:r>
        <w:rPr>
          <w:rStyle w:val="VerbatimChar"/>
        </w:rPr>
        <w:t xml:space="preserve">public/imgs</w:t>
      </w:r>
      <w:r>
        <w:t xml:space="preserve">, incluindo marcas, ilustrações e fotografias. Os banners de Metodologia e Trilha referenciam imagens do Unsplash. A fotografia do presidente tem uma alternativa visual com as iniciais</w:t>
      </w:r>
      <w:r>
        <w:t xml:space="preserve"> </w:t>
      </w:r>
      <w:r>
        <w:t xml:space="preserve">“</w:t>
      </w:r>
      <w:r>
        <w:t xml:space="preserve">AW</w:t>
      </w:r>
      <w:r>
        <w:t xml:space="preserve">”</w:t>
      </w:r>
      <w:r>
        <w:t xml:space="preserve"> </w:t>
      </w:r>
      <w:r>
        <w:t xml:space="preserve">quando a imagem não pode ser exibida.</w:t>
      </w:r>
    </w:p>
    <w:p>
      <w:pPr>
        <w:pStyle w:val="BodyText"/>
      </w:pPr>
      <w:r>
        <w:t xml:space="preserve">Fonte:</w:t>
      </w:r>
      <w:r>
        <w:t xml:space="preserve"> </w:t>
      </w:r>
      <w:r>
        <w:rPr>
          <w:rStyle w:val="VerbatimChar"/>
        </w:rPr>
        <w:t xml:space="preserve">src/index.css</w:t>
      </w:r>
      <w:r>
        <w:t xml:space="preserve">,</w:t>
      </w:r>
      <w:r>
        <w:t xml:space="preserve"> </w:t>
      </w:r>
      <w:r>
        <w:rPr>
          <w:rStyle w:val="VerbatimChar"/>
        </w:rPr>
        <w:t xml:space="preserve">src/components/home/HomeHero.tsx</w:t>
      </w:r>
      <w:r>
        <w:t xml:space="preserve">,</w:t>
      </w:r>
      <w:r>
        <w:t xml:space="preserve"> </w:t>
      </w:r>
      <w:r>
        <w:rPr>
          <w:rStyle w:val="VerbatimChar"/>
        </w:rPr>
        <w:t xml:space="preserve">src/components/layout/CraspLogo.tsx</w:t>
      </w:r>
      <w:r>
        <w:t xml:space="preserve">, componentes de banners e PDF do site, páginas 1 a 4.</w:t>
      </w:r>
    </w:p>
    <w:bookmarkEnd w:id="36"/>
    <w:bookmarkStart w:id="37" w:name="interações-e-recursos-globais"/>
    <w:p>
      <w:pPr>
        <w:pStyle w:val="Heading2"/>
      </w:pPr>
      <w:bookmarkStart w:id="20011" w:name="docsec_012"/>
      <w:r>
        <w:t xml:space="preserve">Interações e recursos globais</w:t>
      </w:r>
      <w:bookmarkEnd w:id="20011"/>
    </w:p>
    <w:p>
      <w:pPr>
        <w:pStyle w:val="FirstParagraph"/>
      </w:pPr>
      <w:r>
        <w:t xml:space="preserve">O FAQ mostra inicialmente três das sete perguntas.</w:t>
      </w:r>
      <w:r>
        <w:t xml:space="preserve"> </w:t>
      </w:r>
      <w:r>
        <w:t xml:space="preserve">“</w:t>
      </w:r>
      <w:r>
        <w:t xml:space="preserve">Ver mais perguntas</w:t>
      </w:r>
      <w:r>
        <w:t xml:space="preserve">”</w:t>
      </w:r>
      <w:r>
        <w:t xml:space="preserve"> </w:t>
      </w:r>
      <w:r>
        <w:t xml:space="preserve">expande a lista e</w:t>
      </w:r>
      <w:r>
        <w:t xml:space="preserve"> </w:t>
      </w:r>
      <w:r>
        <w:t xml:space="preserve">“</w:t>
      </w:r>
      <w:r>
        <w:t xml:space="preserve">Ver menos</w:t>
      </w:r>
      <w:r>
        <w:t xml:space="preserve">”</w:t>
      </w:r>
      <w:r>
        <w:t xml:space="preserve"> </w:t>
      </w:r>
      <w:r>
        <w:t xml:space="preserve">retorna à apresentação inicial. Apenas uma resposta fica aberta de cada vez; selecionar a resposta aberta a recolhe. Os botões relacionam controles e painéis por identificadores e indicam a expansão com</w:t>
      </w:r>
      <w:r>
        <w:t xml:space="preserve"> </w:t>
      </w:r>
      <w:r>
        <w:rPr>
          <w:rStyle w:val="VerbatimChar"/>
        </w:rPr>
        <w:t xml:space="preserve">aria-expanded</w:t>
      </w:r>
      <w:r>
        <w:t xml:space="preserve">.</w:t>
      </w:r>
    </w:p>
    <w:p>
      <w:pPr>
        <w:pStyle w:val="BodyText"/>
      </w:pPr>
      <w:r>
        <w:t xml:space="preserve">O carrossel de signatárias apresenta cinco instituições: CRA-SP, ANGRAD, Instituto Ethos, IBGC e PRME. Repete o conjunto três vezes para permitir continuidade de rolagem. Há controles anterior/próximo no desktop e cinco indicadores de seleção. O avanço automático tem intervalo de cinco segundos e não é iniciado quando a preferência de movimento reduzido está ativa na montagem. O foco dentro dos cartões suspende o avanço e a reorganização do ciclo, mantendo visível o cartão focado.</w:t>
      </w:r>
    </w:p>
    <w:p>
      <w:pPr>
        <w:pStyle w:val="BodyText"/>
      </w:pPr>
      <w:r>
        <w:t xml:space="preserve">A faixa de marcas do banner inicial tem animação CSS de 60 segundos e pausa ao receber o ponteiro. A lista inferior da Home é explicitamente estática, embora exista um componente reutilizável de marcas animadas. A regra CSS de movimento reduzido limita a duração de animações e transições e configura rolagem sem suavização CSS.</w:t>
      </w:r>
    </w:p>
    <w:p>
      <w:pPr>
        <w:pStyle w:val="BodyText"/>
      </w:pPr>
      <w:r>
        <w:t xml:space="preserve">Os recursos globais incluem ampliação de fonte, alto contraste, diálogo de governança e privacidade, atalhos de apresentação e integração com o VLibras. As preferências são aplicadas à raiz HTML e permanecem em armazenamento local. O formulário conserva a sincronização global, mas não exibe a barra de controles do layout institucional.</w:t>
      </w:r>
    </w:p>
    <w:p>
      <w:pPr>
        <w:pStyle w:val="BodyText"/>
      </w:pPr>
      <w:r>
        <w:t xml:space="preserve">Fonte: componentes</w:t>
      </w:r>
      <w:r>
        <w:t xml:space="preserve"> </w:t>
      </w:r>
      <w:r>
        <w:rPr>
          <w:rStyle w:val="VerbatimChar"/>
        </w:rPr>
        <w:t xml:space="preserve">home/FaqAccordion</w:t>
      </w:r>
      <w:r>
        <w:t xml:space="preserve">,</w:t>
      </w:r>
      <w:r>
        <w:t xml:space="preserve"> </w:t>
      </w:r>
      <w:r>
        <w:rPr>
          <w:rStyle w:val="VerbatimChar"/>
        </w:rPr>
        <w:t xml:space="preserve">home/FaqItem</w:t>
      </w:r>
      <w:r>
        <w:t xml:space="preserve">,</w:t>
      </w:r>
      <w:r>
        <w:t xml:space="preserve"> </w:t>
      </w:r>
      <w:r>
        <w:rPr>
          <w:rStyle w:val="VerbatimChar"/>
        </w:rPr>
        <w:t xml:space="preserve">presentation</w:t>
      </w:r>
      <w:r>
        <w:t xml:space="preserve">,</w:t>
      </w:r>
      <w:r>
        <w:t xml:space="preserve"> </w:t>
      </w:r>
      <w:r>
        <w:rPr>
          <w:rStyle w:val="VerbatimChar"/>
        </w:rPr>
        <w:t xml:space="preserve">PartnerNames</w:t>
      </w:r>
      <w:r>
        <w:t xml:space="preserve">,</w:t>
      </w:r>
      <w:r>
        <w:t xml:space="preserve"> </w:t>
      </w:r>
      <w:r>
        <w:rPr>
          <w:rStyle w:val="VerbatimChar"/>
        </w:rPr>
        <w:t xml:space="preserve">App</w:t>
      </w:r>
      <w:r>
        <w:t xml:space="preserve"> </w:t>
      </w:r>
      <w:r>
        <w:t xml:space="preserve">e</w:t>
      </w:r>
      <w:r>
        <w:t xml:space="preserve"> </w:t>
      </w:r>
      <w:r>
        <w:rPr>
          <w:rStyle w:val="VerbatimChar"/>
        </w:rPr>
        <w:t xml:space="preserve">src/index.css</w:t>
      </w:r>
      <w:r>
        <w:t xml:space="preserve">.</w:t>
      </w:r>
    </w:p>
    <w:bookmarkEnd w:id="37"/>
    <w:bookmarkStart w:id="41" w:name="fronteiras-entre-as-camadas"/>
    <w:p>
      <w:pPr>
        <w:pStyle w:val="Heading2"/>
      </w:pPr>
      <w:bookmarkStart w:id="20012" w:name="docsec_013"/>
      <w:r>
        <w:t xml:space="preserve">Fronteiras entre as camadas</w:t>
      </w:r>
      <w:bookmarkEnd w:id="20012"/>
    </w:p>
    <w:p>
      <w:pPr>
        <w:pStyle w:val="FirstParagraph"/>
      </w:pPr>
      <w:r>
        <w:t xml:space="preserve">O navegador exibe os conteúdos, mantém o estado transitório do formulário, aplica validações de usabilidade e solicita o registro ao servidor. Não inicializa o SDK cliente do Firestore para persistir manifestações. A API Express valida o contrato recebido e executa as regras de processamento. O Admin SDK é utilizado exclusivamente no servidor para acessar a base configurada, com a identidade disponível no ambiente.</w:t>
      </w:r>
    </w:p>
    <w:p>
      <w:pPr>
        <w:pStyle w:val="BodyText"/>
      </w:pPr>
      <w:r>
        <w:t xml:space="preserve">Os dados são separados entre registros operacionais, índice de unicidade e cofre de contato. A criptografia e o cálculo dos identificadores de unicidade ocorrem no servidor; seus segredos não fazem parte da interface. As regras versionadas do Firestore bloqueiam acesso direto de clientes. A autorização do processo servidor é tratada pela identidade e pelas permissões IAM, documentadas nas seções de serviços e operação.</w:t>
      </w:r>
    </w:p>
    <w:p>
      <w:pPr>
        <w:pStyle w:val="BodyText"/>
      </w:pPr>
      <w:r>
        <w:t xml:space="preserve">VLibras e imagens externas participam da apresentação, com recursos de rede próprios. Os links das instituições, redes sociais, Ouvidoria, mapas e transparência levam o visitante a serviços externos; não representam endpoints de gestão implementados nesta aplicação.</w:t>
      </w:r>
    </w:p>
    <w:p>
      <w:pPr>
        <w:pStyle w:val="CaptionedFigure"/>
        <w:keepNext/>
        <w:jc w:val="center"/>
      </w:pPr>
      <w:r>
        <w:drawing>
          <wp:inline>
            <wp:extent cx="6045200" cy="5997733"/>
            <wp:effectExtent b="0" l="0" r="0" t="0"/>
            <wp:docPr descr="Contexto da aplicação, comunicação entre navegador e API e separação dos serviços de apresentação e persistência." title="" id="39" name="Picture"/>
            <a:graphic>
              <a:graphicData uri="http://schemas.openxmlformats.org/drawingml/2006/picture">
                <pic:pic>
                  <pic:nvPicPr>
                    <pic:cNvPr descr="diagrams/02_camadas.png" id="40" name="Picture"/>
                    <pic:cNvPicPr>
                      <a:picLocks noChangeArrowheads="1" noChangeAspect="1"/>
                    </pic:cNvPicPr>
                  </pic:nvPicPr>
                  <pic:blipFill>
                    <a:blip r:embed="rId38"/>
                    <a:stretch>
                      <a:fillRect/>
                    </a:stretch>
                  </pic:blipFill>
                  <pic:spPr bwMode="auto">
                    <a:xfrm>
                      <a:off x="0" y="0"/>
                      <a:ext cx="6045200" cy="5997733"/>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2</w:t>
        <w:fldChar w:fldCharType="end"/>
      </w:r>
      <w:r>
        <w:t xml:space="preserve"> — Contexto da aplicação, comunicação entre navegador e API e separação dos serviços de apresentação e persistência.</w:t>
      </w:r>
    </w:p>
    <w:p>
      <w:pPr>
        <w:pStyle w:val="BodyText"/>
      </w:pPr>
      <w:r>
        <w:t xml:space="preserve">Fonte:</w:t>
      </w:r>
      <w:r>
        <w:t xml:space="preserve"> </w:t>
      </w:r>
      <w:r>
        <w:rPr>
          <w:rStyle w:val="VerbatimChar"/>
        </w:rPr>
        <w:t xml:space="preserve">src/api/leadsService.ts</w:t>
      </w:r>
      <w:r>
        <w:t xml:space="preserve">,</w:t>
      </w:r>
      <w:r>
        <w:t xml:space="preserve"> </w:t>
      </w:r>
      <w:r>
        <w:rPr>
          <w:rStyle w:val="VerbatimChar"/>
        </w:rPr>
        <w:t xml:space="preserve">server.ts</w:t>
      </w:r>
      <w:r>
        <w:t xml:space="preserve">,</w:t>
      </w:r>
      <w:r>
        <w:t xml:space="preserve"> </w:t>
      </w:r>
      <w:r>
        <w:rPr>
          <w:rStyle w:val="VerbatimChar"/>
        </w:rPr>
        <w:t xml:space="preserve">src/server/firestoreClient.ts</w:t>
      </w:r>
      <w:r>
        <w:t xml:space="preserve">,</w:t>
      </w:r>
      <w:r>
        <w:t xml:space="preserve"> </w:t>
      </w:r>
      <w:r>
        <w:rPr>
          <w:rStyle w:val="VerbatimChar"/>
        </w:rPr>
        <w:t xml:space="preserve">vaultService.ts</w:t>
      </w:r>
      <w:r>
        <w:t xml:space="preserve">,</w:t>
      </w:r>
      <w:r>
        <w:t xml:space="preserve"> </w:t>
      </w:r>
      <w:r>
        <w:rPr>
          <w:rStyle w:val="VerbatimChar"/>
        </w:rPr>
        <w:t xml:space="preserve">leadBucketService.ts</w:t>
      </w:r>
      <w:r>
        <w:t xml:space="preserve"> </w:t>
      </w:r>
      <w:r>
        <w:t xml:space="preserve">e</w:t>
      </w:r>
      <w:r>
        <w:t xml:space="preserve"> </w:t>
      </w:r>
      <w:r>
        <w:rPr>
          <w:rStyle w:val="VerbatimChar"/>
        </w:rPr>
        <w:t xml:space="preserve">firestore.rules</w:t>
      </w:r>
      <w:r>
        <w:t xml:space="preserve">.</w:t>
      </w:r>
    </w:p>
    <w:bookmarkEnd w:id="41"/>
    <w:bookmarkStart w:id="42" w:name="operação-principal-conectando-as-camadas"/>
    <w:p>
      <w:pPr>
        <w:pStyle w:val="Heading2"/>
      </w:pPr>
      <w:bookmarkStart w:id="20013" w:name="docsec_014"/>
      <w:r>
        <w:t xml:space="preserve">Operação principal conectando as camadas</w:t>
      </w:r>
      <w:bookmarkEnd w:id="20013"/>
    </w:p>
    <w:p>
      <w:pPr>
        <w:pStyle w:val="FirstParagraph"/>
      </w:pPr>
      <w:r>
        <w:t xml:space="preserve">O visitante inicia o percurso em</w:t>
      </w:r>
      <w:r>
        <w:t xml:space="preserve"> </w:t>
      </w:r>
      <w:r>
        <w:t xml:space="preserve">“</w:t>
      </w:r>
      <w:r>
        <w:t xml:space="preserve">Registrar interesse</w:t>
      </w:r>
      <w:r>
        <w:t xml:space="preserve">”</w:t>
      </w:r>
      <w:r>
        <w:t xml:space="preserve">, preenche os nove campos e aciona</w:t>
      </w:r>
      <w:r>
        <w:t xml:space="preserve"> </w:t>
      </w:r>
      <w:r>
        <w:t xml:space="preserve">“</w:t>
      </w:r>
      <w:r>
        <w:t xml:space="preserve">Confirmar Interesse na Implementação</w:t>
      </w:r>
      <w:r>
        <w:t xml:space="preserve">”</w:t>
      </w:r>
      <w:r>
        <w:t xml:space="preserve">. O navegador verifica os campos obrigatórios e o formato básico do e-mail. O hook</w:t>
      </w:r>
      <w:r>
        <w:t xml:space="preserve"> </w:t>
      </w:r>
      <w:r>
        <w:rPr>
          <w:rStyle w:val="VerbatimChar"/>
        </w:rPr>
        <w:t xml:space="preserve">useInterestForm</w:t>
      </w:r>
      <w:r>
        <w:t xml:space="preserve"> </w:t>
      </w:r>
      <w:r>
        <w:t xml:space="preserve">confere os valores após remoção de espaços nas extremidades e exige telefone com dez ou onze dígitos. Quando a verificação local falha, a página apresenta uma mensagem e não realiza a requisição.</w:t>
      </w:r>
    </w:p>
    <w:p>
      <w:pPr>
        <w:pStyle w:val="BodyText"/>
      </w:pPr>
      <w:r>
        <w:t xml:space="preserve">Durante o envio, o botão fica desabilitado e apresenta</w:t>
      </w:r>
      <w:r>
        <w:t xml:space="preserve"> </w:t>
      </w:r>
      <w:r>
        <w:t xml:space="preserve">“</w:t>
      </w:r>
      <w:r>
        <w:t xml:space="preserve">Registrando…</w:t>
      </w:r>
      <w:r>
        <w:t xml:space="preserve">”</w:t>
      </w:r>
      <w:r>
        <w:t xml:space="preserve">.</w:t>
      </w:r>
      <w:r>
        <w:t xml:space="preserve"> </w:t>
      </w:r>
      <w:r>
        <w:rPr>
          <w:rStyle w:val="VerbatimChar"/>
        </w:rPr>
        <w:t xml:space="preserve">buildPayload</w:t>
      </w:r>
      <w:r>
        <w:t xml:space="preserve"> </w:t>
      </w:r>
      <w:r>
        <w:t xml:space="preserve">converte o estado da tela para o contrato da API, incluindo a mudança de</w:t>
      </w:r>
      <w:r>
        <w:t xml:space="preserve"> </w:t>
      </w:r>
      <w:r>
        <w:rPr>
          <w:rStyle w:val="VerbatimChar"/>
        </w:rPr>
        <w:t xml:space="preserve">previsao</w:t>
      </w:r>
      <w:r>
        <w:t xml:space="preserve"> </w:t>
      </w:r>
      <w:r>
        <w:t xml:space="preserve">para</w:t>
      </w:r>
      <w:r>
        <w:t xml:space="preserve"> </w:t>
      </w:r>
      <w:r>
        <w:rPr>
          <w:rStyle w:val="VerbatimChar"/>
        </w:rPr>
        <w:t xml:space="preserve">previsaoSemestre</w:t>
      </w:r>
      <w:r>
        <w:t xml:space="preserve">.</w:t>
      </w:r>
      <w:r>
        <w:t xml:space="preserve"> </w:t>
      </w:r>
      <w:r>
        <w:rPr>
          <w:rStyle w:val="VerbatimChar"/>
        </w:rPr>
        <w:t xml:space="preserve">registrarManifestacaoInteresse</w:t>
      </w:r>
      <w:r>
        <w:t xml:space="preserve"> </w:t>
      </w:r>
      <w:r>
        <w:t xml:space="preserve">envia JSON ao endereço relativo</w:t>
      </w:r>
      <w:r>
        <w:t xml:space="preserve"> </w:t>
      </w:r>
      <w:r>
        <w:rPr>
          <w:rStyle w:val="VerbatimChar"/>
        </w:rPr>
        <w:t xml:space="preserve">/api/registrar-interesse</w:t>
      </w:r>
      <w:r>
        <w:t xml:space="preserve">, mantendo a requisição no mesmo endereço de origem da aplicação.</w:t>
      </w:r>
    </w:p>
    <w:p>
      <w:pPr>
        <w:pStyle w:val="BodyText"/>
      </w:pPr>
      <w:r>
        <w:t xml:space="preserve">No servidor, a requisição atravessa os middlewares, a leitura de JSON, o limite de requisições do endpoint e a validação Zod. Após uma entrada válida, o processamento prepara um identificador, o registro operacional e o registro criptografado de contato. O serviço de persistência utiliza uma transação para coordenar índice, cofre e agrupamento das manifestações. Uma manifestação já existente é tratada como duplicidade; falhas de serviço não são convertidas em confirmação de gravação.</w:t>
      </w:r>
    </w:p>
    <w:p>
      <w:pPr>
        <w:pStyle w:val="BodyText"/>
      </w:pPr>
      <w:r>
        <w:t xml:space="preserve">Uma resposta HTTP 201 com</w:t>
      </w:r>
      <w:r>
        <w:t xml:space="preserve"> </w:t>
      </w:r>
      <w:r>
        <w:rPr>
          <w:rStyle w:val="VerbatimChar"/>
        </w:rPr>
        <w:t xml:space="preserve">success: true</w:t>
      </w:r>
      <w:r>
        <w:t xml:space="preserve"> </w:t>
      </w:r>
      <w:r>
        <w:t xml:space="preserve">encerra o formulário e exibe</w:t>
      </w:r>
      <w:r>
        <w:t xml:space="preserve"> </w:t>
      </w:r>
      <w:r>
        <w:t xml:space="preserve">“</w:t>
      </w:r>
      <w:r>
        <w:t xml:space="preserve">Interesse Registrado!</w:t>
      </w:r>
      <w:r>
        <w:t xml:space="preserve">”</w:t>
      </w:r>
      <w:r>
        <w:t xml:space="preserve">, a saudação pelo primeiro nome e o retorno à página principal. Em caso de duplicidade ou erro, os valores permanecem disponíveis na tela para revisão e nova tentativa. A confirmação visual representa o retorno positivo da API; não corresponde ao envio de e-mail, à matrícula em curso ou à criação de conta. O estado de preenchimento e o estado de confirmação não são persistidos pelo formulário após recarregar a página.</w:t>
      </w:r>
    </w:p>
    <w:p>
      <w:pPr>
        <w:pStyle w:val="BodyText"/>
      </w:pPr>
      <w:r>
        <w:t xml:space="preserve">Fonte:</w:t>
      </w:r>
      <w:r>
        <w:t xml:space="preserve"> </w:t>
      </w:r>
      <w:r>
        <w:rPr>
          <w:rStyle w:val="VerbatimChar"/>
        </w:rPr>
        <w:t xml:space="preserve">src/components/interest/useInterestForm.ts</w:t>
      </w:r>
      <w:r>
        <w:t xml:space="preserve">,</w:t>
      </w:r>
      <w:r>
        <w:t xml:space="preserve"> </w:t>
      </w:r>
      <w:r>
        <w:rPr>
          <w:rStyle w:val="VerbatimChar"/>
        </w:rPr>
        <w:t xml:space="preserve">interestFormUtils.ts</w:t>
      </w:r>
      <w:r>
        <w:t xml:space="preserve">,</w:t>
      </w:r>
      <w:r>
        <w:t xml:space="preserve"> </w:t>
      </w:r>
      <w:r>
        <w:rPr>
          <w:rStyle w:val="VerbatimChar"/>
        </w:rPr>
        <w:t xml:space="preserve">src/api/leadsService.ts</w:t>
      </w:r>
      <w:r>
        <w:t xml:space="preserve">,</w:t>
      </w:r>
      <w:r>
        <w:t xml:space="preserve"> </w:t>
      </w:r>
      <w:r>
        <w:rPr>
          <w:rStyle w:val="VerbatimChar"/>
        </w:rPr>
        <w:t xml:space="preserve">server.ts</w:t>
      </w:r>
      <w:r>
        <w:t xml:space="preserve"> </w:t>
      </w:r>
      <w:r>
        <w:t xml:space="preserve">e</w:t>
      </w:r>
      <w:r>
        <w:t xml:space="preserve"> </w:t>
      </w:r>
      <w:r>
        <w:rPr>
          <w:rStyle w:val="VerbatimChar"/>
        </w:rPr>
        <w:t xml:space="preserve">src/pages/InterestRegistrationPage.tsx</w:t>
      </w:r>
      <w:r>
        <w:t xml:space="preserve">.</w:t>
      </w:r>
    </w:p>
    <w:bookmarkEnd w:id="42"/>
    <w:bookmarkEnd w:id="43"/>
    <w:bookmarkStart w:id="53" w:name="interface-web-navegação-e-interação"/>
    <w:p>
      <w:pPr>
        <w:pStyle w:val="Heading1"/>
      </w:pPr>
      <w:bookmarkStart w:id="20014" w:name="docsec_015"/>
      <w:r>
        <w:t xml:space="preserve">Interface web, navegação e interação</w:t>
      </w:r>
      <w:bookmarkEnd w:id="20014"/>
    </w:p>
    <w:bookmarkStart w:id="44" w:name="montagem-da-aplicação"/>
    <w:p>
      <w:pPr>
        <w:pStyle w:val="Heading2"/>
      </w:pPr>
      <w:bookmarkStart w:id="20015" w:name="docsec_016"/>
      <w:r>
        <w:t xml:space="preserve">Montagem da aplicação</w:t>
      </w:r>
      <w:bookmarkEnd w:id="20015"/>
    </w:p>
    <w:p>
      <w:pPr>
        <w:pStyle w:val="FirstParagraph"/>
      </w:pPr>
      <w:r>
        <w:t xml:space="preserve">O documento inicial declara idioma</w:t>
      </w:r>
      <w:r>
        <w:t xml:space="preserve"> </w:t>
      </w:r>
      <w:r>
        <w:rPr>
          <w:rStyle w:val="VerbatimChar"/>
        </w:rPr>
        <w:t xml:space="preserve">pt-BR</w:t>
      </w:r>
      <w:r>
        <w:t xml:space="preserve">, codificação UTF-8 e viewport adaptável à largura do dispositivo. Inclui título, descrição, metadados Open Graph, ícone SVG e referências ao catálogo de agentes e ao documento ARD. Na revisão</w:t>
      </w:r>
      <w:r>
        <w:t xml:space="preserve"> </w:t>
      </w:r>
      <w:r>
        <w:rPr>
          <w:rStyle w:val="VerbatimChar"/>
        </w:rPr>
        <w:t xml:space="preserve">1d05eb6</w:t>
      </w:r>
      <w:r>
        <w:t xml:space="preserve">, o endereço canônico e</w:t>
      </w:r>
      <w:r>
        <w:t xml:space="preserve"> </w:t>
      </w:r>
      <w:r>
        <w:rPr>
          <w:rStyle w:val="VerbatimChar"/>
        </w:rPr>
        <w:t xml:space="preserve">og:url</w:t>
      </w:r>
      <w:r>
        <w:t xml:space="preserve"> </w:t>
      </w:r>
      <w:r>
        <w:t xml:space="preserve">apontam para</w:t>
      </w:r>
      <w:r>
        <w:t xml:space="preserve"> </w:t>
      </w:r>
      <w:r>
        <w:rPr>
          <w:rStyle w:val="VerbatimChar"/>
        </w:rPr>
        <w:t xml:space="preserve">https://asg-ods.ai.studio/</w:t>
      </w:r>
      <w:r>
        <w:t xml:space="preserve">. O responsável informou</w:t>
      </w:r>
      <w:r>
        <w:t xml:space="preserve"> </w:t>
      </w:r>
      <w:r>
        <w:rPr>
          <w:rStyle w:val="VerbatimChar"/>
        </w:rPr>
        <w:t xml:space="preserve">https://asg.ods.crasp.org.br/</w:t>
      </w:r>
      <w:r>
        <w:t xml:space="preserve"> </w:t>
      </w:r>
      <w:r>
        <w:t xml:space="preserve">como endereço final do site; essa informação não altera automaticamente os metadados versionados.</w:t>
      </w:r>
    </w:p>
    <w:p>
      <w:pPr>
        <w:pStyle w:val="BodyText"/>
      </w:pPr>
      <w:r>
        <w:t xml:space="preserve">Antes da montagem React,</w:t>
      </w:r>
      <w:r>
        <w:t xml:space="preserve"> </w:t>
      </w:r>
      <w:r>
        <w:rPr>
          <w:rStyle w:val="VerbatimChar"/>
        </w:rPr>
        <w:t xml:space="preserve">root</w:t>
      </w:r>
      <w:r>
        <w:t xml:space="preserve"> </w:t>
      </w:r>
      <w:r>
        <w:t xml:space="preserve">contém uma estrutura textual inicial com o nome do componente e a instituição.</w:t>
      </w:r>
      <w:r>
        <w:t xml:space="preserve"> </w:t>
      </w:r>
      <w:r>
        <w:rPr>
          <w:rStyle w:val="VerbatimChar"/>
        </w:rPr>
        <w:t xml:space="preserve">createRoot</w:t>
      </w:r>
      <w:r>
        <w:t xml:space="preserve"> </w:t>
      </w:r>
      <w:r>
        <w:t xml:space="preserve">substitui esse conteúdo pela árvore da aplicação. A interface e as rotas são processadas no cliente, sem renderização das páginas React pelo servidor. O CSS de entrada importa Tailwind e acrescenta regras próprias de contêiner, animação, escala tipográfica, alto contraste e integração visual com o VLibras.</w:t>
      </w:r>
    </w:p>
    <w:p>
      <w:pPr>
        <w:pStyle w:val="BodyText"/>
      </w:pPr>
      <w:r>
        <w:t xml:space="preserve">O carregamento adiado das páginas apresenta um indicador de espera de tela inteira. Os recursos globais de apresentação e VLibras têm</w:t>
      </w:r>
      <w:r>
        <w:t xml:space="preserve"> </w:t>
      </w:r>
      <w:r>
        <w:rPr>
          <w:rStyle w:val="VerbatimChar"/>
        </w:rPr>
        <w:t xml:space="preserve">Suspense</w:t>
      </w:r>
      <w:r>
        <w:t xml:space="preserve"> </w:t>
      </w:r>
      <w:r>
        <w:t xml:space="preserve">sem conteúdo visual de espera; as seções adiadas da Home usam uma reserva de espaço. A aplicação não contém um Error Boundary específico para recuperar falhas na importação desses módulos. Essa é uma característica do tratamento de estados da revisão: espera e recuperação de erro não devem ser confundidas ao manter a interface.</w:t>
      </w:r>
    </w:p>
    <w:p>
      <w:pPr>
        <w:pStyle w:val="BodyText"/>
      </w:pPr>
      <w:r>
        <w:t xml:space="preserve">Fonte:</w:t>
      </w:r>
      <w:r>
        <w:t xml:space="preserve"> </w:t>
      </w:r>
      <w:r>
        <w:rPr>
          <w:rStyle w:val="VerbatimChar"/>
        </w:rPr>
        <w:t xml:space="preserve">index.html</w:t>
      </w:r>
      <w:r>
        <w:t xml:space="preserve">,</w:t>
      </w:r>
      <w:r>
        <w:t xml:space="preserve"> </w:t>
      </w:r>
      <w:r>
        <w:rPr>
          <w:rStyle w:val="VerbatimChar"/>
        </w:rPr>
        <w:t xml:space="preserve">src/main.tsx</w:t>
      </w:r>
      <w:r>
        <w:t xml:space="preserve">,</w:t>
      </w:r>
      <w:r>
        <w:t xml:space="preserve"> </w:t>
      </w:r>
      <w:r>
        <w:rPr>
          <w:rStyle w:val="VerbatimChar"/>
        </w:rPr>
        <w:t xml:space="preserve">src/App.tsx</w:t>
      </w:r>
      <w:r>
        <w:t xml:space="preserve">,</w:t>
      </w:r>
      <w:r>
        <w:t xml:space="preserve"> </w:t>
      </w:r>
      <w:r>
        <w:rPr>
          <w:rStyle w:val="VerbatimChar"/>
        </w:rPr>
        <w:t xml:space="preserve">src/routes/index.tsx</w:t>
      </w:r>
      <w:r>
        <w:t xml:space="preserve"> </w:t>
      </w:r>
      <w:r>
        <w:t xml:space="preserve">e</w:t>
      </w:r>
      <w:r>
        <w:t xml:space="preserve"> </w:t>
      </w:r>
      <w:r>
        <w:rPr>
          <w:rStyle w:val="VerbatimChar"/>
        </w:rPr>
        <w:t xml:space="preserve">src/index.css</w:t>
      </w:r>
      <w:r>
        <w:t xml:space="preserve">.</w:t>
      </w:r>
    </w:p>
    <w:bookmarkEnd w:id="44"/>
    <w:bookmarkStart w:id="45" w:name="rotas-e-páginas"/>
    <w:p>
      <w:pPr>
        <w:pStyle w:val="Heading2"/>
      </w:pPr>
      <w:bookmarkStart w:id="20016" w:name="docsec_017"/>
      <w:r>
        <w:t xml:space="preserve">Rotas e páginas</w:t>
      </w:r>
      <w:bookmarkEnd w:id="20016"/>
    </w:p>
    <w:p>
      <w:pPr>
        <w:pStyle w:val="FirstParagraph"/>
      </w:pPr>
      <w:r>
        <w:t xml:space="preserve">O roteamento é definido centralmente em</w:t>
      </w:r>
      <w:r>
        <w:t xml:space="preserve"> </w:t>
      </w:r>
      <w:r>
        <w:rPr>
          <w:rStyle w:val="VerbatimChar"/>
        </w:rPr>
        <w:t xml:space="preserve">src/routes/index.tsx</w:t>
      </w:r>
      <w:r>
        <w:t xml:space="preserve">. Todas as páginas são públicas e não dependem de uma sessão de usuário. A coluna</w:t>
      </w:r>
      <w:r>
        <w:t xml:space="preserve"> </w:t>
      </w:r>
      <w:r>
        <w:t xml:space="preserve">“</w:t>
      </w:r>
      <w:r>
        <w:t xml:space="preserve">auth</w:t>
      </w:r>
      <w:r>
        <w:t xml:space="preserve">”</w:t>
      </w:r>
      <w:r>
        <w:t xml:space="preserve"> </w:t>
      </w:r>
      <w:r>
        <w:t xml:space="preserve">do diretório de componentes mantém a denominação histórica</w:t>
      </w:r>
      <w:r>
        <w:t xml:space="preserve"> </w:t>
      </w:r>
      <w:r>
        <w:rPr>
          <w:rStyle w:val="VerbatimChar"/>
        </w:rPr>
        <w:t xml:space="preserve">LoginBrandingColumn</w:t>
      </w:r>
      <w:r>
        <w:t xml:space="preserve">, mas seu uso atual é apenas visual na página de manifestação de interesse.</w:t>
      </w:r>
    </w:p>
    <w:p>
      <w:pPr>
        <w:pStyle w:val="TableCaption"/>
        <w:keepNext/>
      </w:pPr>
      <w:r>
        <w:t xml:space="preserve">Tabela </w:t>
      </w:r>
      <w:r>
        <w:rPr>
          <w:rFonts w:ascii="Open Sans" w:hAnsi="Open Sans"/>
          <w:sz w:val="18"/>
        </w:rPr>
        <w:fldChar w:fldCharType="begin"/>
        <w:instrText xml:space="preserve"> SEQ Tabela </w:instrText>
        <w:fldChar w:fldCharType="separate"/>
        <w:t>7</w:t>
        <w:fldChar w:fldCharType="end"/>
      </w:r>
      <w:r>
        <w:t xml:space="preserve"> — Rotas e páginas.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Página e caminho</w:t>
            </w:r>
          </w:p>
        </w:tc>
        <w:tc>
          <w:tcPr>
            <w:tcW w:type="dxa" w:w="3048"/>
            <w:vAlign w:val="top"/>
            <w:shd w:fill="233B82"/>
          </w:tcPr>
          <w:p>
            <w:pPr>
              <w:pStyle w:val="Compact"/>
              <w:spacing w:before="40" w:after="60" w:line="247" w:lineRule="auto"/>
              <w:jc w:val="left"/>
            </w:pPr>
            <w:r>
              <w:rPr>
                <w:b/>
                <w:color w:val="FFFFFF"/>
                <w:sz w:val="18"/>
              </w:rPr>
              <w:t xml:space="preserve">Componente</w:t>
            </w:r>
          </w:p>
        </w:tc>
        <w:tc>
          <w:tcPr>
            <w:tcW w:type="dxa" w:w="4286"/>
            <w:vAlign w:val="top"/>
            <w:shd w:fill="233B82"/>
          </w:tcPr>
          <w:p>
            <w:pPr>
              <w:pStyle w:val="Compact"/>
              <w:spacing w:before="40" w:after="60" w:line="247" w:lineRule="auto"/>
              <w:jc w:val="left"/>
            </w:pPr>
            <w:r>
              <w:rPr>
                <w:b/>
                <w:color w:val="FFFFFF"/>
                <w:sz w:val="18"/>
              </w:rPr>
              <w:t xml:space="preserve">Comportamento relevante</w:t>
            </w:r>
          </w:p>
        </w:tc>
      </w:tr>
      <w:tr>
        <w:trPr>
          <w:cantSplit/>
        </w:trPr>
        <w:tc>
          <w:tcPr>
            <w:tcW w:type="dxa" w:w="2191"/>
            <w:vAlign w:val="top"/>
            <w:shd w:fill="FFFFFF"/>
          </w:tcPr>
          <w:p>
            <w:pPr>
              <w:pStyle w:val="Compact"/>
              <w:spacing w:before="40" w:after="60" w:line="247" w:lineRule="auto"/>
              <w:jc w:val="left"/>
            </w:pPr>
            <w:r>
              <w:rPr>
                <w:sz w:val="18"/>
              </w:rPr>
              <w:t xml:space="preserve">Início —</w:t>
            </w:r>
            <w:r>
              <w:rPr>
                <w:sz w:val="18"/>
              </w:rPr>
              <w:t xml:space="preserve"> </w:t>
            </w:r>
            <w:r>
              <w:rPr>
                <w:rStyle w:val="VerbatimChar"/>
                <w:sz w:val="17"/>
              </w:rPr>
              <w:t xml:space="preserve">/</w:t>
            </w:r>
          </w:p>
        </w:tc>
        <w:tc>
          <w:tcPr>
            <w:tcW w:type="dxa" w:w="3048"/>
            <w:vAlign w:val="top"/>
            <w:shd w:fill="FFFFFF"/>
          </w:tcPr>
          <w:p>
            <w:pPr>
              <w:pStyle w:val="Compact"/>
              <w:spacing w:before="40" w:after="60" w:line="247" w:lineRule="auto"/>
              <w:jc w:val="left"/>
            </w:pPr>
            <w:r>
              <w:rPr>
                <w:rStyle w:val="VerbatimChar"/>
                <w:sz w:val="17"/>
              </w:rPr>
              <w:t xml:space="preserve">Home</w:t>
            </w:r>
          </w:p>
        </w:tc>
        <w:tc>
          <w:tcPr>
            <w:tcW w:type="dxa" w:w="4286"/>
            <w:vAlign w:val="top"/>
            <w:shd w:fill="FFFFFF"/>
          </w:tcPr>
          <w:p>
            <w:pPr>
              <w:pStyle w:val="Compact"/>
              <w:spacing w:before="40" w:after="60" w:line="247" w:lineRule="auto"/>
              <w:jc w:val="left"/>
            </w:pPr>
            <w:r>
              <w:rPr>
                <w:sz w:val="18"/>
              </w:rPr>
              <w:t xml:space="preserve">Banner, catálogo resumido, registro, FAQ e marcas. Carregamento inicial direto.</w:t>
            </w:r>
          </w:p>
        </w:tc>
      </w:tr>
      <w:tr>
        <w:trPr>
          <w:cantSplit/>
        </w:trPr>
        <w:tc>
          <w:tcPr>
            <w:tcW w:type="dxa" w:w="2191"/>
            <w:vAlign w:val="top"/>
            <w:shd w:fill="F5F8FC"/>
          </w:tcPr>
          <w:p>
            <w:pPr>
              <w:pStyle w:val="Compact"/>
              <w:spacing w:before="40" w:after="60" w:line="247" w:lineRule="auto"/>
              <w:jc w:val="left"/>
            </w:pPr>
            <w:r>
              <w:rPr>
                <w:sz w:val="18"/>
              </w:rPr>
              <w:t xml:space="preserve">Chancela —</w:t>
            </w:r>
            <w:r>
              <w:rPr>
                <w:sz w:val="18"/>
              </w:rPr>
              <w:t xml:space="preserve"> </w:t>
            </w:r>
            <w:r>
              <w:rPr>
                <w:rStyle w:val="VerbatimChar"/>
                <w:sz w:val="17"/>
              </w:rPr>
              <w:t xml:space="preserve">/chancela</w:t>
            </w:r>
          </w:p>
        </w:tc>
        <w:tc>
          <w:tcPr>
            <w:tcW w:type="dxa" w:w="3048"/>
            <w:vAlign w:val="top"/>
            <w:shd w:fill="F5F8FC"/>
          </w:tcPr>
          <w:p>
            <w:pPr>
              <w:pStyle w:val="Compact"/>
              <w:spacing w:before="40" w:after="60" w:line="247" w:lineRule="auto"/>
              <w:jc w:val="left"/>
            </w:pPr>
            <w:r>
              <w:rPr>
                <w:rStyle w:val="VerbatimChar"/>
                <w:sz w:val="17"/>
              </w:rPr>
              <w:t xml:space="preserve">Chancela</w:t>
            </w:r>
          </w:p>
        </w:tc>
        <w:tc>
          <w:tcPr>
            <w:tcW w:type="dxa" w:w="4286"/>
            <w:vAlign w:val="top"/>
            <w:shd w:fill="F5F8FC"/>
          </w:tcPr>
          <w:p>
            <w:pPr>
              <w:pStyle w:val="Compact"/>
              <w:spacing w:before="40" w:after="60" w:line="247" w:lineRule="auto"/>
              <w:jc w:val="left"/>
            </w:pPr>
            <w:r>
              <w:rPr>
                <w:sz w:val="18"/>
              </w:rPr>
              <w:t xml:space="preserve">Histórico institucional e carrossel de signatárias.</w:t>
            </w:r>
          </w:p>
        </w:tc>
      </w:tr>
      <w:tr>
        <w:trPr>
          <w:cantSplit/>
        </w:trPr>
        <w:tc>
          <w:tcPr>
            <w:tcW w:type="dxa" w:w="2191"/>
            <w:vAlign w:val="top"/>
            <w:shd w:fill="FFFFFF"/>
          </w:tcPr>
          <w:p>
            <w:pPr>
              <w:pStyle w:val="Compact"/>
              <w:spacing w:before="40" w:after="60" w:line="247" w:lineRule="auto"/>
              <w:jc w:val="left"/>
            </w:pPr>
            <w:r>
              <w:rPr>
                <w:sz w:val="18"/>
              </w:rPr>
              <w:t xml:space="preserve">Metodologia —</w:t>
            </w:r>
            <w:r>
              <w:rPr>
                <w:sz w:val="18"/>
              </w:rPr>
              <w:t xml:space="preserve"> </w:t>
            </w:r>
            <w:r>
              <w:rPr>
                <w:rStyle w:val="VerbatimChar"/>
                <w:sz w:val="17"/>
              </w:rPr>
              <w:t xml:space="preserve">/metodologia</w:t>
            </w:r>
          </w:p>
        </w:tc>
        <w:tc>
          <w:tcPr>
            <w:tcW w:type="dxa" w:w="3048"/>
            <w:vAlign w:val="top"/>
            <w:shd w:fill="FFFFFF"/>
          </w:tcPr>
          <w:p>
            <w:pPr>
              <w:pStyle w:val="Compact"/>
              <w:spacing w:before="40" w:after="60" w:line="247" w:lineRule="auto"/>
              <w:jc w:val="left"/>
            </w:pPr>
            <w:r>
              <w:rPr>
                <w:rStyle w:val="VerbatimChar"/>
                <w:sz w:val="17"/>
              </w:rPr>
              <w:t xml:space="preserve">Metodologia</w:t>
            </w:r>
          </w:p>
        </w:tc>
        <w:tc>
          <w:tcPr>
            <w:tcW w:type="dxa" w:w="4286"/>
            <w:vAlign w:val="top"/>
            <w:shd w:fill="FFFFFF"/>
          </w:tcPr>
          <w:p>
            <w:pPr>
              <w:pStyle w:val="Compact"/>
              <w:spacing w:before="40" w:after="60" w:line="247" w:lineRule="auto"/>
              <w:jc w:val="left"/>
            </w:pPr>
            <w:r>
              <w:rPr>
                <w:sz w:val="18"/>
              </w:rPr>
              <w:t xml:space="preserve">Conteúdo dividido em três seções com fragmentos de navegação.</w:t>
            </w:r>
          </w:p>
        </w:tc>
      </w:tr>
      <w:tr>
        <w:trPr>
          <w:cantSplit/>
        </w:trPr>
        <w:tc>
          <w:tcPr>
            <w:tcW w:type="dxa" w:w="2191"/>
            <w:vAlign w:val="top"/>
            <w:shd w:fill="F5F8FC"/>
          </w:tcPr>
          <w:p>
            <w:pPr>
              <w:pStyle w:val="Compact"/>
              <w:spacing w:before="40" w:after="60" w:line="247" w:lineRule="auto"/>
              <w:jc w:val="left"/>
            </w:pPr>
            <w:r>
              <w:rPr>
                <w:sz w:val="18"/>
              </w:rPr>
              <w:t xml:space="preserve">Objetivos —</w:t>
            </w:r>
            <w:r>
              <w:rPr>
                <w:sz w:val="18"/>
              </w:rPr>
              <w:t xml:space="preserve"> </w:t>
            </w:r>
            <w:r>
              <w:rPr>
                <w:rStyle w:val="VerbatimChar"/>
                <w:sz w:val="17"/>
              </w:rPr>
              <w:t xml:space="preserve">/trilha</w:t>
            </w:r>
          </w:p>
        </w:tc>
        <w:tc>
          <w:tcPr>
            <w:tcW w:type="dxa" w:w="3048"/>
            <w:vAlign w:val="top"/>
            <w:shd w:fill="F5F8FC"/>
          </w:tcPr>
          <w:p>
            <w:pPr>
              <w:pStyle w:val="Compact"/>
              <w:spacing w:before="40" w:after="60" w:line="247" w:lineRule="auto"/>
              <w:jc w:val="left"/>
            </w:pPr>
            <w:r>
              <w:rPr>
                <w:rStyle w:val="VerbatimChar"/>
                <w:sz w:val="17"/>
              </w:rPr>
              <w:t xml:space="preserve">Trilha</w:t>
            </w:r>
          </w:p>
        </w:tc>
        <w:tc>
          <w:tcPr>
            <w:tcW w:type="dxa" w:w="4286"/>
            <w:vAlign w:val="top"/>
            <w:shd w:fill="F5F8FC"/>
          </w:tcPr>
          <w:p>
            <w:pPr>
              <w:pStyle w:val="Compact"/>
              <w:spacing w:before="40" w:after="60" w:line="247" w:lineRule="auto"/>
              <w:jc w:val="left"/>
            </w:pPr>
            <w:r>
              <w:rPr>
                <w:sz w:val="18"/>
              </w:rPr>
              <w:t xml:space="preserve">Seis cartões com tabelas de quatro objetivos cada.</w:t>
            </w:r>
          </w:p>
        </w:tc>
      </w:tr>
      <w:tr>
        <w:trPr>
          <w:cantSplit/>
        </w:trPr>
        <w:tc>
          <w:tcPr>
            <w:tcW w:type="dxa" w:w="2191"/>
            <w:vAlign w:val="top"/>
            <w:shd w:fill="FFFFFF"/>
          </w:tcPr>
          <w:p>
            <w:pPr>
              <w:pStyle w:val="Compact"/>
              <w:spacing w:before="40" w:after="60" w:line="247" w:lineRule="auto"/>
              <w:jc w:val="left"/>
            </w:pPr>
            <w:r>
              <w:rPr>
                <w:sz w:val="18"/>
              </w:rPr>
              <w:t xml:space="preserve">Interesse —</w:t>
            </w:r>
            <w:r>
              <w:rPr>
                <w:sz w:val="18"/>
              </w:rPr>
              <w:t xml:space="preserve"> </w:t>
            </w:r>
            <w:r>
              <w:rPr>
                <w:rStyle w:val="VerbatimChar"/>
                <w:sz w:val="17"/>
              </w:rPr>
              <w:t xml:space="preserve">/registro-interesse</w:t>
            </w:r>
          </w:p>
        </w:tc>
        <w:tc>
          <w:tcPr>
            <w:tcW w:type="dxa" w:w="3048"/>
            <w:vAlign w:val="top"/>
            <w:shd w:fill="FFFFFF"/>
          </w:tcPr>
          <w:p>
            <w:pPr>
              <w:pStyle w:val="Compact"/>
              <w:spacing w:before="40" w:after="60" w:line="247" w:lineRule="auto"/>
              <w:jc w:val="left"/>
            </w:pPr>
            <w:r>
              <w:rPr>
                <w:rStyle w:val="VerbatimChar"/>
                <w:sz w:val="17"/>
              </w:rPr>
              <w:t xml:space="preserve">InterestRegistrationPage</w:t>
            </w:r>
          </w:p>
        </w:tc>
        <w:tc>
          <w:tcPr>
            <w:tcW w:type="dxa" w:w="4286"/>
            <w:vAlign w:val="top"/>
            <w:shd w:fill="FFFFFF"/>
          </w:tcPr>
          <w:p>
            <w:pPr>
              <w:pStyle w:val="Compact"/>
              <w:spacing w:before="40" w:after="60" w:line="247" w:lineRule="auto"/>
              <w:jc w:val="left"/>
            </w:pPr>
            <w:r>
              <w:rPr>
                <w:sz w:val="18"/>
              </w:rPr>
              <w:t xml:space="preserve">Alterna formulário e confirmação conforme o resultado do envio.</w:t>
            </w:r>
          </w:p>
        </w:tc>
      </w:tr>
    </w:tbl>
    <w:p>
      <w:pPr>
        <w:pStyle w:val="BodyText"/>
      </w:pPr>
      <w:r>
        <w:t xml:space="preserve">Os redirecionamentos</w:t>
      </w:r>
      <w:r>
        <w:t xml:space="preserve"> </w:t>
      </w:r>
      <w:r>
        <w:rPr>
          <w:rStyle w:val="VerbatimChar"/>
        </w:rPr>
        <w:t xml:space="preserve">/login</w:t>
      </w:r>
      <w:r>
        <w:t xml:space="preserve">,</w:t>
      </w:r>
      <w:r>
        <w:t xml:space="preserve"> </w:t>
      </w:r>
      <w:r>
        <w:rPr>
          <w:rStyle w:val="VerbatimChar"/>
        </w:rPr>
        <w:t xml:space="preserve">/cadastro</w:t>
      </w:r>
      <w:r>
        <w:t xml:space="preserve"> </w:t>
      </w:r>
      <w:r>
        <w:t xml:space="preserve">e</w:t>
      </w:r>
      <w:r>
        <w:t xml:space="preserve"> </w:t>
      </w:r>
      <w:r>
        <w:rPr>
          <w:rStyle w:val="VerbatimChar"/>
        </w:rPr>
        <w:t xml:space="preserve">/area-docente/*</w:t>
      </w:r>
      <w:r>
        <w:t xml:space="preserve"> </w:t>
      </w:r>
      <w:r>
        <w:t xml:space="preserve">utilizam</w:t>
      </w:r>
      <w:r>
        <w:t xml:space="preserve"> </w:t>
      </w:r>
      <w:r>
        <w:rPr>
          <w:rStyle w:val="VerbatimChar"/>
        </w:rPr>
        <w:t xml:space="preserve">Navigate</w:t>
      </w:r>
      <w:r>
        <w:t xml:space="preserve"> </w:t>
      </w:r>
      <w:r>
        <w:t xml:space="preserve">com</w:t>
      </w:r>
      <w:r>
        <w:t xml:space="preserve"> </w:t>
      </w:r>
      <w:r>
        <w:rPr>
          <w:rStyle w:val="VerbatimChar"/>
        </w:rPr>
        <w:t xml:space="preserve">replace</w:t>
      </w:r>
      <w:r>
        <w:t xml:space="preserve">. Endereços desconhecidos redirecionam para</w:t>
      </w:r>
      <w:r>
        <w:t xml:space="preserve"> </w:t>
      </w:r>
      <w:r>
        <w:rPr>
          <w:rStyle w:val="VerbatimChar"/>
        </w:rPr>
        <w:t xml:space="preserve">/</w:t>
      </w:r>
      <w:r>
        <w:t xml:space="preserve">. O histórico não recebe uma página de login intermediária nesses percursos. A mesma definição deve orientar links novos e integrações que apontem diretamente para o site.</w:t>
      </w:r>
    </w:p>
    <w:p>
      <w:pPr>
        <w:pStyle w:val="BodyText"/>
      </w:pPr>
      <w:r>
        <w:t xml:space="preserve">Os títulos internos são</w:t>
      </w:r>
      <w:r>
        <w:t xml:space="preserve"> </w:t>
      </w:r>
      <w:r>
        <w:t xml:space="preserve">“</w:t>
      </w:r>
      <w:r>
        <w:t xml:space="preserve">Início | Componente Curricular de ASG e ODS | CRA-SP</w:t>
      </w:r>
      <w:r>
        <w:t xml:space="preserve">”</w:t>
      </w:r>
      <w:r>
        <w:t xml:space="preserve">,</w:t>
      </w:r>
      <w:r>
        <w:t xml:space="preserve"> </w:t>
      </w:r>
      <w:r>
        <w:t xml:space="preserve">“</w:t>
      </w:r>
      <w:r>
        <w:t xml:space="preserve">Chancela Institucional | CRA-SP</w:t>
      </w:r>
      <w:r>
        <w:t xml:space="preserve">”</w:t>
      </w:r>
      <w:r>
        <w:t xml:space="preserve">,</w:t>
      </w:r>
      <w:r>
        <w:t xml:space="preserve"> </w:t>
      </w:r>
      <w:r>
        <w:t xml:space="preserve">“</w:t>
      </w:r>
      <w:r>
        <w:t xml:space="preserve">Metodologia e Diretrizes | CRA-SP</w:t>
      </w:r>
      <w:r>
        <w:t xml:space="preserve">”</w:t>
      </w:r>
      <w:r>
        <w:t xml:space="preserve"> </w:t>
      </w:r>
      <w:r>
        <w:t xml:space="preserve">e</w:t>
      </w:r>
      <w:r>
        <w:t xml:space="preserve"> </w:t>
      </w:r>
      <w:r>
        <w:t xml:space="preserve">“</w:t>
      </w:r>
      <w:r>
        <w:t xml:space="preserve">Trilha de Aprendizagem | CRA-SP</w:t>
      </w:r>
      <w:r>
        <w:t xml:space="preserve">”</w:t>
      </w:r>
      <w:r>
        <w:t xml:space="preserve">. O registro define independentemente</w:t>
      </w:r>
      <w:r>
        <w:t xml:space="preserve"> </w:t>
      </w:r>
      <w:r>
        <w:t xml:space="preserve">“</w:t>
      </w:r>
      <w:r>
        <w:t xml:space="preserve">Manifestação de Interesse | CRA-SP</w:t>
      </w:r>
      <w:r>
        <w:t xml:space="preserve">”</w:t>
      </w:r>
      <w:r>
        <w:t xml:space="preserve">. A posição de rolagem retorna ao início na troca de caminho; o layout público também trata fragmentos quando presentes.</w:t>
      </w:r>
    </w:p>
    <w:p>
      <w:pPr>
        <w:pStyle w:val="BodyText"/>
      </w:pPr>
      <w:r>
        <w:t xml:space="preserve">Fonte:</w:t>
      </w:r>
      <w:r>
        <w:t xml:space="preserve"> </w:t>
      </w:r>
      <w:r>
        <w:rPr>
          <w:rStyle w:val="VerbatimChar"/>
        </w:rPr>
        <w:t xml:space="preserve">src/routes/index.tsx</w:t>
      </w:r>
      <w:r>
        <w:t xml:space="preserve">,</w:t>
      </w:r>
      <w:r>
        <w:t xml:space="preserve"> </w:t>
      </w:r>
      <w:r>
        <w:rPr>
          <w:rStyle w:val="VerbatimChar"/>
        </w:rPr>
        <w:t xml:space="preserve">src/components/layout/PublicLayout.tsx</w:t>
      </w:r>
      <w:r>
        <w:t xml:space="preserve"> </w:t>
      </w:r>
      <w:r>
        <w:t xml:space="preserve">e</w:t>
      </w:r>
      <w:r>
        <w:t xml:space="preserve"> </w:t>
      </w:r>
      <w:r>
        <w:rPr>
          <w:rStyle w:val="VerbatimChar"/>
        </w:rPr>
        <w:t xml:space="preserve">src/pages/InterestRegistrationPage.tsx</w:t>
      </w:r>
      <w:r>
        <w:t xml:space="preserve">.</w:t>
      </w:r>
    </w:p>
    <w:bookmarkEnd w:id="45"/>
    <w:bookmarkStart w:id="46" w:name="layouts-e-navegação"/>
    <w:p>
      <w:pPr>
        <w:pStyle w:val="Heading2"/>
      </w:pPr>
      <w:bookmarkStart w:id="20017" w:name="docsec_018"/>
      <w:r>
        <w:t xml:space="preserve">Layouts e navegação</w:t>
      </w:r>
      <w:bookmarkEnd w:id="20017"/>
    </w:p>
    <w:p>
      <w:pPr>
        <w:pStyle w:val="FirstParagraph"/>
      </w:pPr>
      <w:r>
        <w:t xml:space="preserve">Nas páginas institucionais, a barra superior reúne ferramentas de acessibilidade, botão de privacidade, redes sociais e</w:t>
      </w:r>
      <w:r>
        <w:t xml:space="preserve"> </w:t>
      </w:r>
      <w:r>
        <w:t xml:space="preserve">“</w:t>
      </w:r>
      <w:r>
        <w:t xml:space="preserve">Entrar</w:t>
      </w:r>
      <w:r>
        <w:t xml:space="preserve">”</w:t>
      </w:r>
      <w:r>
        <w:t xml:space="preserve">. O cabeçalho apresenta a marca CRA-SP e três links de navegação. O item atual recebe</w:t>
      </w:r>
      <w:r>
        <w:t xml:space="preserve"> </w:t>
      </w:r>
      <w:r>
        <w:rPr>
          <w:rStyle w:val="VerbatimChar"/>
        </w:rPr>
        <w:t xml:space="preserve">aria-current="page"</w:t>
      </w:r>
      <w:r>
        <w:t xml:space="preserve">. Em telas menores que o breakpoint</w:t>
      </w:r>
      <w:r>
        <w:t xml:space="preserve"> </w:t>
      </w:r>
      <w:r>
        <w:rPr>
          <w:rStyle w:val="VerbatimChar"/>
        </w:rPr>
        <w:t xml:space="preserve">md</w:t>
      </w:r>
      <w:r>
        <w:t xml:space="preserve">, o menu passa a um botão com rótulo de abertura ou fechamento,</w:t>
      </w:r>
      <w:r>
        <w:t xml:space="preserve"> </w:t>
      </w:r>
      <w:r>
        <w:rPr>
          <w:rStyle w:val="VerbatimChar"/>
        </w:rPr>
        <w:t xml:space="preserve">aria-expanded</w:t>
      </w:r>
      <w:r>
        <w:t xml:space="preserve"> </w:t>
      </w:r>
      <w:r>
        <w:t xml:space="preserve">e associação ao menu por</w:t>
      </w:r>
      <w:r>
        <w:t xml:space="preserve"> </w:t>
      </w:r>
      <w:r>
        <w:rPr>
          <w:rStyle w:val="VerbatimChar"/>
        </w:rPr>
        <w:t xml:space="preserve">aria-controls</w:t>
      </w:r>
      <w:r>
        <w:t xml:space="preserve">. O menu é inserido apenas enquanto aberto e fecha ao selecionar uma opção.</w:t>
      </w:r>
    </w:p>
    <w:p>
      <w:pPr>
        <w:pStyle w:val="BodyText"/>
      </w:pPr>
      <w:r>
        <w:t xml:space="preserve">O conteúdo ocupa a área</w:t>
      </w:r>
      <w:r>
        <w:t xml:space="preserve"> </w:t>
      </w:r>
      <w:r>
        <w:rPr>
          <w:rStyle w:val="VerbatimChar"/>
        </w:rPr>
        <w:t xml:space="preserve">main</w:t>
      </w:r>
      <w:r>
        <w:t xml:space="preserve">, e o rodapé consolida endereço, contato, instituições, seções da Metodologia e módulos da Trilha. Os links externos usam nova aba com</w:t>
      </w:r>
      <w:r>
        <w:t xml:space="preserve"> </w:t>
      </w:r>
      <w:r>
        <w:rPr>
          <w:rStyle w:val="VerbatimChar"/>
        </w:rPr>
        <w:t xml:space="preserve">noopener noreferrer</w:t>
      </w:r>
      <w:r>
        <w:t xml:space="preserve">. Telefone e e-mail utilizam</w:t>
      </w:r>
      <w:r>
        <w:t xml:space="preserve"> </w:t>
      </w:r>
      <w:r>
        <w:rPr>
          <w:rStyle w:val="VerbatimChar"/>
        </w:rPr>
        <w:t xml:space="preserve">tel:</w:t>
      </w:r>
      <w:r>
        <w:t xml:space="preserve"> </w:t>
      </w:r>
      <w:r>
        <w:t xml:space="preserve">e</w:t>
      </w:r>
      <w:r>
        <w:t xml:space="preserve"> </w:t>
      </w:r>
      <w:r>
        <w:rPr>
          <w:rStyle w:val="VerbatimChar"/>
        </w:rPr>
        <w:t xml:space="preserve">mailto:</w:t>
      </w:r>
      <w:r>
        <w:t xml:space="preserve">;</w:t>
      </w:r>
      <w:r>
        <w:t xml:space="preserve"> </w:t>
      </w:r>
      <w:r>
        <w:t xml:space="preserve">“</w:t>
      </w:r>
      <w:r>
        <w:t xml:space="preserve">Como chegar</w:t>
      </w:r>
      <w:r>
        <w:t xml:space="preserve">”</w:t>
      </w:r>
      <w:r>
        <w:t xml:space="preserve"> </w:t>
      </w:r>
      <w:r>
        <w:t xml:space="preserve">abre um trajeto no Google Maps. O canal de transparência e a Ouvidoria são links institucionais externos.</w:t>
      </w:r>
    </w:p>
    <w:p>
      <w:pPr>
        <w:pStyle w:val="BodyText"/>
      </w:pPr>
      <w:r>
        <w:t xml:space="preserve">Na Trilha, cada tabela mantém largura mínima de 600 pixels em um contêiner com rolagem horizontal. Esse arranjo preserva as colunas de nível, verbo, objetivo e carga em telas estreitas. Os cartões e linhas de módulo mantêm identificadores</w:t>
      </w:r>
      <w:r>
        <w:t xml:space="preserve"> </w:t>
      </w:r>
      <w:r>
        <w:rPr>
          <w:rStyle w:val="VerbatimChar"/>
        </w:rPr>
        <w:t xml:space="preserve">modulo-N</w:t>
      </w:r>
      <w:r>
        <w:t xml:space="preserve">, usados pelos links diretos do rodapé.</w:t>
      </w:r>
    </w:p>
    <w:p>
      <w:pPr>
        <w:pStyle w:val="BodyText"/>
      </w:pPr>
      <w:r>
        <w:t xml:space="preserve">O registro apresenta</w:t>
      </w:r>
      <w:r>
        <w:t xml:space="preserve"> </w:t>
      </w:r>
      <w:r>
        <w:t xml:space="preserve">“</w:t>
      </w:r>
      <w:r>
        <w:t xml:space="preserve">Voltar ao início</w:t>
      </w:r>
      <w:r>
        <w:t xml:space="preserve">”</w:t>
      </w:r>
      <w:r>
        <w:t xml:space="preserve"> </w:t>
      </w:r>
      <w:r>
        <w:t xml:space="preserve">antes do formulário e</w:t>
      </w:r>
      <w:r>
        <w:t xml:space="preserve"> </w:t>
      </w:r>
      <w:r>
        <w:t xml:space="preserve">“</w:t>
      </w:r>
      <w:r>
        <w:t xml:space="preserve">Voltar à Página Principal</w:t>
      </w:r>
      <w:r>
        <w:t xml:space="preserve">”</w:t>
      </w:r>
      <w:r>
        <w:t xml:space="preserve"> </w:t>
      </w:r>
      <w:r>
        <w:t xml:space="preserve">no estado final. Não inclui o cabeçalho e o rodapé comuns. A sincronização das preferências permanece ativa pelo componente global em</w:t>
      </w:r>
      <w:r>
        <w:t xml:space="preserve"> </w:t>
      </w:r>
      <w:r>
        <w:rPr>
          <w:rStyle w:val="VerbatimChar"/>
        </w:rPr>
        <w:t xml:space="preserve">App</w:t>
      </w:r>
      <w:r>
        <w:t xml:space="preserve">; os controles que modificam essas preferências pertencem à barra superior das demais páginas.</w:t>
      </w:r>
    </w:p>
    <w:p>
      <w:pPr>
        <w:pStyle w:val="BodyText"/>
      </w:pPr>
      <w:r>
        <w:t xml:space="preserve">Fonte: componentes em</w:t>
      </w:r>
      <w:r>
        <w:t xml:space="preserve"> </w:t>
      </w:r>
      <w:r>
        <w:rPr>
          <w:rStyle w:val="VerbatimChar"/>
        </w:rPr>
        <w:t xml:space="preserve">src/components/layout</w:t>
      </w:r>
      <w:r>
        <w:t xml:space="preserve">,</w:t>
      </w:r>
      <w:r>
        <w:t xml:space="preserve"> </w:t>
      </w:r>
      <w:r>
        <w:rPr>
          <w:rStyle w:val="VerbatimChar"/>
        </w:rPr>
        <w:t xml:space="preserve">src/components/trilha/TrilhaModuleCard.tsx</w:t>
      </w:r>
      <w:r>
        <w:t xml:space="preserve"> </w:t>
      </w:r>
      <w:r>
        <w:t xml:space="preserve">e PDF do site, páginas 1 a 5.</w:t>
      </w:r>
    </w:p>
    <w:bookmarkEnd w:id="46"/>
    <w:bookmarkStart w:id="47" w:name="formulários-e-componentes"/>
    <w:p>
      <w:pPr>
        <w:pStyle w:val="Heading2"/>
      </w:pPr>
      <w:bookmarkStart w:id="20018" w:name="docsec_019"/>
      <w:r>
        <w:t xml:space="preserve">Formulários e componentes</w:t>
      </w:r>
      <w:bookmarkEnd w:id="20018"/>
    </w:p>
    <w:p>
      <w:pPr>
        <w:pStyle w:val="FirstParagraph"/>
      </w:pPr>
      <w:r>
        <w:t xml:space="preserve">O formulário utiliza campos controlados por React. Seus valores ficam no objeto</w:t>
      </w:r>
      <w:r>
        <w:t xml:space="preserve"> </w:t>
      </w:r>
      <w:r>
        <w:rPr>
          <w:rStyle w:val="VerbatimChar"/>
        </w:rPr>
        <w:t xml:space="preserve">InterestFields</w:t>
      </w:r>
      <w:r>
        <w:t xml:space="preserve">, inicialmente preenchido com strings vazias. A organização visual separa instituição/unidade, pessoa/cargo, contato, curso/previsão e observações. Os rótulos se associam aos controles por</w:t>
      </w:r>
      <w:r>
        <w:t xml:space="preserve"> </w:t>
      </w:r>
      <w:r>
        <w:rPr>
          <w:rStyle w:val="VerbatimChar"/>
        </w:rPr>
        <w:t xml:space="preserve">htmlFor</w:t>
      </w:r>
      <w:r>
        <w:t xml:space="preserve"> </w:t>
      </w:r>
      <w:r>
        <w:t xml:space="preserve">e identificadores; o asterisco indica obrigatoriedade no texto, complementada por</w:t>
      </w:r>
      <w:r>
        <w:t xml:space="preserve"> </w:t>
      </w:r>
      <w:r>
        <w:rPr>
          <w:rStyle w:val="VerbatimChar"/>
        </w:rPr>
        <w:t xml:space="preserve">required</w:t>
      </w:r>
      <w:r>
        <w:t xml:space="preserve"> </w:t>
      </w:r>
      <w:r>
        <w:t xml:space="preserve">nos controles pertinentes.</w:t>
      </w:r>
    </w:p>
    <w:p>
      <w:pPr>
        <w:pStyle w:val="TableCaption"/>
        <w:keepNext/>
      </w:pPr>
      <w:r>
        <w:t xml:space="preserve">Tabela </w:t>
      </w:r>
      <w:r>
        <w:rPr>
          <w:rFonts w:ascii="Open Sans" w:hAnsi="Open Sans"/>
          <w:sz w:val="18"/>
        </w:rPr>
        <w:fldChar w:fldCharType="begin"/>
        <w:instrText xml:space="preserve"> SEQ Tabela </w:instrText>
        <w:fldChar w:fldCharType="separate"/>
        <w:t>8</w:t>
        <w:fldChar w:fldCharType="end"/>
      </w:r>
      <w:r>
        <w:t xml:space="preserve"> — Formulários e componentes.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Campo da interface</w:t>
            </w:r>
          </w:p>
        </w:tc>
        <w:tc>
          <w:tcPr>
            <w:tcW w:type="dxa" w:w="3048"/>
            <w:vAlign w:val="top"/>
            <w:shd w:fill="233B82"/>
          </w:tcPr>
          <w:p>
            <w:pPr>
              <w:pStyle w:val="Compact"/>
              <w:spacing w:before="40" w:after="60" w:line="247" w:lineRule="auto"/>
              <w:jc w:val="left"/>
            </w:pPr>
            <w:r>
              <w:rPr>
                <w:b/>
                <w:color w:val="FFFFFF"/>
                <w:sz w:val="18"/>
              </w:rPr>
              <w:t xml:space="preserve">Tipo e presença</w:t>
            </w:r>
          </w:p>
        </w:tc>
        <w:tc>
          <w:tcPr>
            <w:tcW w:type="dxa" w:w="4286"/>
            <w:vAlign w:val="top"/>
            <w:shd w:fill="233B82"/>
          </w:tcPr>
          <w:p>
            <w:pPr>
              <w:pStyle w:val="Compact"/>
              <w:spacing w:before="40" w:after="60" w:line="247" w:lineRule="auto"/>
              <w:jc w:val="left"/>
            </w:pPr>
            <w:r>
              <w:rPr>
                <w:b/>
                <w:color w:val="FFFFFF"/>
                <w:sz w:val="18"/>
              </w:rPr>
              <w:t xml:space="preserve">Tratamento implementado</w:t>
            </w:r>
          </w:p>
        </w:tc>
      </w:tr>
      <w:tr>
        <w:trPr>
          <w:cantSplit/>
        </w:trPr>
        <w:tc>
          <w:tcPr>
            <w:tcW w:type="dxa" w:w="2191"/>
            <w:vAlign w:val="top"/>
            <w:shd w:fill="FFFFFF"/>
          </w:tcPr>
          <w:p>
            <w:pPr>
              <w:pStyle w:val="Compact"/>
              <w:spacing w:before="40" w:after="60" w:line="247" w:lineRule="auto"/>
              <w:jc w:val="left"/>
            </w:pPr>
            <w:r>
              <w:rPr>
                <w:sz w:val="18"/>
              </w:rPr>
              <w:t xml:space="preserve">Instituição de Educação (IES)</w:t>
            </w:r>
          </w:p>
        </w:tc>
        <w:tc>
          <w:tcPr>
            <w:tcW w:type="dxa" w:w="3048"/>
            <w:vAlign w:val="top"/>
            <w:shd w:fill="FFFFFF"/>
          </w:tcPr>
          <w:p>
            <w:pPr>
              <w:pStyle w:val="Compact"/>
              <w:spacing w:before="40" w:after="60" w:line="247" w:lineRule="auto"/>
              <w:jc w:val="left"/>
            </w:pPr>
            <w:r>
              <w:rPr>
                <w:sz w:val="18"/>
              </w:rPr>
              <w:t xml:space="preserve">Texto, obrigatório.</w:t>
            </w:r>
          </w:p>
        </w:tc>
        <w:tc>
          <w:tcPr>
            <w:tcW w:type="dxa" w:w="4286"/>
            <w:vAlign w:val="top"/>
            <w:shd w:fill="FFFFFF"/>
          </w:tcPr>
          <w:p>
            <w:pPr>
              <w:pStyle w:val="Compact"/>
              <w:spacing w:before="40" w:after="60" w:line="247" w:lineRule="auto"/>
              <w:jc w:val="left"/>
            </w:pPr>
            <w:r>
              <w:rPr>
                <w:sz w:val="18"/>
              </w:rPr>
              <w:t xml:space="preserve">Autocompletar</w:t>
            </w:r>
            <w:r>
              <w:rPr>
                <w:sz w:val="18"/>
              </w:rPr>
              <w:t xml:space="preserve"> </w:t>
            </w:r>
            <w:r>
              <w:rPr>
                <w:rStyle w:val="VerbatimChar"/>
                <w:sz w:val="17"/>
              </w:rPr>
              <w:t xml:space="preserve">organization</w:t>
            </w:r>
            <w:r>
              <w:rPr>
                <w:sz w:val="18"/>
              </w:rPr>
              <w:t xml:space="preserve">; espaços externos removidos no payload.</w:t>
            </w:r>
          </w:p>
        </w:tc>
      </w:tr>
      <w:tr>
        <w:trPr>
          <w:cantSplit/>
        </w:trPr>
        <w:tc>
          <w:tcPr>
            <w:tcW w:type="dxa" w:w="2191"/>
            <w:vAlign w:val="top"/>
            <w:shd w:fill="F5F8FC"/>
          </w:tcPr>
          <w:p>
            <w:pPr>
              <w:pStyle w:val="Compact"/>
              <w:spacing w:before="40" w:after="60" w:line="247" w:lineRule="auto"/>
              <w:jc w:val="left"/>
            </w:pPr>
            <w:r>
              <w:rPr>
                <w:sz w:val="18"/>
              </w:rPr>
              <w:t xml:space="preserve">Campus / Unidade</w:t>
            </w:r>
          </w:p>
        </w:tc>
        <w:tc>
          <w:tcPr>
            <w:tcW w:type="dxa" w:w="3048"/>
            <w:vAlign w:val="top"/>
            <w:shd w:fill="F5F8FC"/>
          </w:tcPr>
          <w:p>
            <w:pPr>
              <w:pStyle w:val="Compact"/>
              <w:spacing w:before="40" w:after="60" w:line="247" w:lineRule="auto"/>
              <w:jc w:val="left"/>
            </w:pPr>
            <w:r>
              <w:rPr>
                <w:sz w:val="18"/>
              </w:rPr>
              <w:t xml:space="preserve">Texto, obrigatório.</w:t>
            </w:r>
          </w:p>
        </w:tc>
        <w:tc>
          <w:tcPr>
            <w:tcW w:type="dxa" w:w="4286"/>
            <w:vAlign w:val="top"/>
            <w:shd w:fill="F5F8FC"/>
          </w:tcPr>
          <w:p>
            <w:pPr>
              <w:pStyle w:val="Compact"/>
              <w:spacing w:before="40" w:after="60" w:line="247" w:lineRule="auto"/>
              <w:jc w:val="left"/>
            </w:pPr>
            <w:r>
              <w:rPr>
                <w:sz w:val="18"/>
              </w:rPr>
              <w:t xml:space="preserve">Valor normalizado por</w:t>
            </w:r>
            <w:r>
              <w:rPr>
                <w:sz w:val="18"/>
              </w:rPr>
              <w:t xml:space="preserve"> </w:t>
            </w:r>
            <w:r>
              <w:rPr>
                <w:rStyle w:val="VerbatimChar"/>
                <w:sz w:val="17"/>
              </w:rPr>
              <w:t xml:space="preserve">trim</w:t>
            </w:r>
            <w:r>
              <w:rPr>
                <w:sz w:val="18"/>
              </w:rPr>
              <w:t xml:space="preserve"> </w:t>
            </w:r>
            <w:r>
              <w:rPr>
                <w:sz w:val="18"/>
              </w:rPr>
              <w:t xml:space="preserve">no envio.</w:t>
            </w:r>
          </w:p>
        </w:tc>
      </w:tr>
      <w:tr>
        <w:trPr>
          <w:cantSplit/>
        </w:trPr>
        <w:tc>
          <w:tcPr>
            <w:tcW w:type="dxa" w:w="2191"/>
            <w:vAlign w:val="top"/>
            <w:shd w:fill="FFFFFF"/>
          </w:tcPr>
          <w:p>
            <w:pPr>
              <w:pStyle w:val="Compact"/>
              <w:spacing w:before="40" w:after="60" w:line="247" w:lineRule="auto"/>
              <w:jc w:val="left"/>
            </w:pPr>
            <w:r>
              <w:rPr>
                <w:sz w:val="18"/>
              </w:rPr>
              <w:t xml:space="preserve">Nome Completo</w:t>
            </w:r>
          </w:p>
        </w:tc>
        <w:tc>
          <w:tcPr>
            <w:tcW w:type="dxa" w:w="3048"/>
            <w:vAlign w:val="top"/>
            <w:shd w:fill="FFFFFF"/>
          </w:tcPr>
          <w:p>
            <w:pPr>
              <w:pStyle w:val="Compact"/>
              <w:spacing w:before="40" w:after="60" w:line="247" w:lineRule="auto"/>
              <w:jc w:val="left"/>
            </w:pPr>
            <w:r>
              <w:rPr>
                <w:sz w:val="18"/>
              </w:rPr>
              <w:t xml:space="preserve">Texto, obrigatório.</w:t>
            </w:r>
          </w:p>
        </w:tc>
        <w:tc>
          <w:tcPr>
            <w:tcW w:type="dxa" w:w="4286"/>
            <w:vAlign w:val="top"/>
            <w:shd w:fill="FFFFFF"/>
          </w:tcPr>
          <w:p>
            <w:pPr>
              <w:pStyle w:val="Compact"/>
              <w:spacing w:before="40" w:after="60" w:line="247" w:lineRule="auto"/>
              <w:jc w:val="left"/>
            </w:pPr>
            <w:r>
              <w:rPr>
                <w:sz w:val="18"/>
              </w:rPr>
              <w:t xml:space="preserve">Autocompletar</w:t>
            </w:r>
            <w:r>
              <w:rPr>
                <w:sz w:val="18"/>
              </w:rPr>
              <w:t xml:space="preserve"> </w:t>
            </w:r>
            <w:r>
              <w:rPr>
                <w:rStyle w:val="VerbatimChar"/>
                <w:sz w:val="17"/>
              </w:rPr>
              <w:t xml:space="preserve">name</w:t>
            </w:r>
            <w:r>
              <w:rPr>
                <w:sz w:val="18"/>
              </w:rPr>
              <w:t xml:space="preserve">; o servidor exige de 2 a 150 caracteres.</w:t>
            </w:r>
          </w:p>
        </w:tc>
      </w:tr>
      <w:tr>
        <w:trPr>
          <w:cantSplit/>
        </w:trPr>
        <w:tc>
          <w:tcPr>
            <w:tcW w:type="dxa" w:w="2191"/>
            <w:vAlign w:val="top"/>
            <w:shd w:fill="F5F8FC"/>
          </w:tcPr>
          <w:p>
            <w:pPr>
              <w:pStyle w:val="Compact"/>
              <w:spacing w:before="40" w:after="60" w:line="247" w:lineRule="auto"/>
              <w:jc w:val="left"/>
            </w:pPr>
            <w:r>
              <w:rPr>
                <w:sz w:val="18"/>
              </w:rPr>
              <w:t xml:space="preserve">Cargo / Função</w:t>
            </w:r>
          </w:p>
        </w:tc>
        <w:tc>
          <w:tcPr>
            <w:tcW w:type="dxa" w:w="3048"/>
            <w:vAlign w:val="top"/>
            <w:shd w:fill="F5F8FC"/>
          </w:tcPr>
          <w:p>
            <w:pPr>
              <w:pStyle w:val="Compact"/>
              <w:spacing w:before="40" w:after="60" w:line="247" w:lineRule="auto"/>
              <w:jc w:val="left"/>
            </w:pPr>
            <w:r>
              <w:rPr>
                <w:sz w:val="18"/>
              </w:rPr>
              <w:t xml:space="preserve">Seleção, opcional.</w:t>
            </w:r>
          </w:p>
        </w:tc>
        <w:tc>
          <w:tcPr>
            <w:tcW w:type="dxa" w:w="4286"/>
            <w:vAlign w:val="top"/>
            <w:shd w:fill="F5F8FC"/>
          </w:tcPr>
          <w:p>
            <w:pPr>
              <w:pStyle w:val="Compact"/>
              <w:spacing w:before="40" w:after="60" w:line="247" w:lineRule="auto"/>
              <w:jc w:val="left"/>
            </w:pPr>
            <w:r>
              <w:rPr>
                <w:sz w:val="18"/>
              </w:rPr>
              <w:t xml:space="preserve">Seis opções; sem valor inicial selecionado.</w:t>
            </w:r>
          </w:p>
        </w:tc>
      </w:tr>
      <w:tr>
        <w:trPr>
          <w:cantSplit/>
        </w:trPr>
        <w:tc>
          <w:tcPr>
            <w:tcW w:type="dxa" w:w="2191"/>
            <w:vAlign w:val="top"/>
            <w:shd w:fill="FFFFFF"/>
          </w:tcPr>
          <w:p>
            <w:pPr>
              <w:pStyle w:val="Compact"/>
              <w:spacing w:before="40" w:after="60" w:line="247" w:lineRule="auto"/>
              <w:jc w:val="left"/>
            </w:pPr>
            <w:r>
              <w:rPr>
                <w:sz w:val="18"/>
              </w:rPr>
              <w:t xml:space="preserve">E-mail Institucional</w:t>
            </w:r>
          </w:p>
        </w:tc>
        <w:tc>
          <w:tcPr>
            <w:tcW w:type="dxa" w:w="3048"/>
            <w:vAlign w:val="top"/>
            <w:shd w:fill="FFFFFF"/>
          </w:tcPr>
          <w:p>
            <w:pPr>
              <w:pStyle w:val="Compact"/>
              <w:spacing w:before="40" w:after="60" w:line="247" w:lineRule="auto"/>
              <w:jc w:val="left"/>
            </w:pPr>
            <w:r>
              <w:rPr>
                <w:rStyle w:val="VerbatimChar"/>
                <w:sz w:val="17"/>
              </w:rPr>
              <w:t xml:space="preserve">email</w:t>
            </w:r>
            <w:r>
              <w:rPr>
                <w:sz w:val="18"/>
              </w:rPr>
              <w:t xml:space="preserve">, obrigatório.</w:t>
            </w:r>
          </w:p>
        </w:tc>
        <w:tc>
          <w:tcPr>
            <w:tcW w:type="dxa" w:w="4286"/>
            <w:vAlign w:val="top"/>
            <w:shd w:fill="FFFFFF"/>
          </w:tcPr>
          <w:p>
            <w:pPr>
              <w:pStyle w:val="Compact"/>
              <w:spacing w:before="40" w:after="60" w:line="247" w:lineRule="auto"/>
              <w:jc w:val="left"/>
            </w:pPr>
            <w:r>
              <w:rPr>
                <w:sz w:val="18"/>
              </w:rPr>
              <w:t xml:space="preserve">Validação nativa de formato; autocompletar</w:t>
            </w:r>
            <w:r>
              <w:rPr>
                <w:sz w:val="18"/>
              </w:rPr>
              <w:t xml:space="preserve"> </w:t>
            </w:r>
            <w:r>
              <w:rPr>
                <w:rStyle w:val="VerbatimChar"/>
                <w:sz w:val="17"/>
              </w:rPr>
              <w:t xml:space="preserve">email</w:t>
            </w:r>
            <w:r>
              <w:rPr>
                <w:sz w:val="18"/>
              </w:rPr>
              <w:t xml:space="preserve">; servidor converte para minúsculas.</w:t>
            </w:r>
          </w:p>
        </w:tc>
      </w:tr>
      <w:tr>
        <w:trPr>
          <w:cantSplit/>
        </w:trPr>
        <w:tc>
          <w:tcPr>
            <w:tcW w:type="dxa" w:w="2191"/>
            <w:vAlign w:val="top"/>
            <w:shd w:fill="F5F8FC"/>
          </w:tcPr>
          <w:p>
            <w:pPr>
              <w:pStyle w:val="Compact"/>
              <w:spacing w:before="40" w:after="60" w:line="247" w:lineRule="auto"/>
              <w:jc w:val="left"/>
            </w:pPr>
            <w:r>
              <w:rPr>
                <w:sz w:val="18"/>
              </w:rPr>
              <w:t xml:space="preserve">Telefone / Celular</w:t>
            </w:r>
          </w:p>
        </w:tc>
        <w:tc>
          <w:tcPr>
            <w:tcW w:type="dxa" w:w="3048"/>
            <w:vAlign w:val="top"/>
            <w:shd w:fill="F5F8FC"/>
          </w:tcPr>
          <w:p>
            <w:pPr>
              <w:pStyle w:val="Compact"/>
              <w:spacing w:before="40" w:after="60" w:line="247" w:lineRule="auto"/>
              <w:jc w:val="left"/>
            </w:pPr>
            <w:r>
              <w:rPr>
                <w:rStyle w:val="VerbatimChar"/>
                <w:sz w:val="17"/>
              </w:rPr>
              <w:t xml:space="preserve">tel</w:t>
            </w:r>
            <w:r>
              <w:rPr>
                <w:sz w:val="18"/>
              </w:rPr>
              <w:t xml:space="preserve">, obrigatório.</w:t>
            </w:r>
          </w:p>
        </w:tc>
        <w:tc>
          <w:tcPr>
            <w:tcW w:type="dxa" w:w="4286"/>
            <w:vAlign w:val="top"/>
            <w:shd w:fill="F5F8FC"/>
          </w:tcPr>
          <w:p>
            <w:pPr>
              <w:pStyle w:val="Compact"/>
              <w:spacing w:before="40" w:after="60" w:line="247" w:lineRule="auto"/>
              <w:jc w:val="left"/>
            </w:pPr>
            <w:r>
              <w:rPr>
                <w:sz w:val="18"/>
              </w:rPr>
              <w:t xml:space="preserve">Máscara brasileira, máximo visual de 20 caracteres e validação de 10 ou 11 dígitos.</w:t>
            </w:r>
          </w:p>
        </w:tc>
      </w:tr>
      <w:tr>
        <w:trPr>
          <w:cantSplit/>
        </w:trPr>
        <w:tc>
          <w:tcPr>
            <w:tcW w:type="dxa" w:w="2191"/>
            <w:vAlign w:val="top"/>
            <w:shd w:fill="FFFFFF"/>
          </w:tcPr>
          <w:p>
            <w:pPr>
              <w:pStyle w:val="Compact"/>
              <w:spacing w:before="40" w:after="60" w:line="247" w:lineRule="auto"/>
              <w:jc w:val="left"/>
            </w:pPr>
            <w:r>
              <w:rPr>
                <w:sz w:val="18"/>
              </w:rPr>
              <w:t xml:space="preserve">Curso Principal</w:t>
            </w:r>
          </w:p>
        </w:tc>
        <w:tc>
          <w:tcPr>
            <w:tcW w:type="dxa" w:w="3048"/>
            <w:vAlign w:val="top"/>
            <w:shd w:fill="FFFFFF"/>
          </w:tcPr>
          <w:p>
            <w:pPr>
              <w:pStyle w:val="Compact"/>
              <w:spacing w:before="40" w:after="60" w:line="247" w:lineRule="auto"/>
              <w:jc w:val="left"/>
            </w:pPr>
            <w:r>
              <w:rPr>
                <w:sz w:val="18"/>
              </w:rPr>
              <w:t xml:space="preserve">Seleção, opcional.</w:t>
            </w:r>
          </w:p>
        </w:tc>
        <w:tc>
          <w:tcPr>
            <w:tcW w:type="dxa" w:w="4286"/>
            <w:vAlign w:val="top"/>
            <w:shd w:fill="FFFFFF"/>
          </w:tcPr>
          <w:p>
            <w:pPr>
              <w:pStyle w:val="Compact"/>
              <w:spacing w:before="40" w:after="60" w:line="247" w:lineRule="auto"/>
              <w:jc w:val="left"/>
            </w:pPr>
            <w:r>
              <w:rPr>
                <w:sz w:val="18"/>
              </w:rPr>
              <w:t xml:space="preserve">Dezoito opções, incluindo</w:t>
            </w:r>
            <w:r>
              <w:rPr>
                <w:sz w:val="18"/>
              </w:rPr>
              <w:t xml:space="preserve"> </w:t>
            </w:r>
            <w:r>
              <w:rPr>
                <w:sz w:val="18"/>
              </w:rPr>
              <w:t xml:space="preserve">“</w:t>
            </w:r>
            <w:r>
              <w:rPr>
                <w:sz w:val="18"/>
              </w:rPr>
              <w:t xml:space="preserve">Outro</w:t>
            </w:r>
            <w:r>
              <w:rPr>
                <w:sz w:val="18"/>
              </w:rPr>
              <w:t xml:space="preserve">”</w:t>
            </w:r>
            <w:r>
              <w:rPr>
                <w:sz w:val="18"/>
              </w:rPr>
              <w:t xml:space="preserve">.</w:t>
            </w:r>
          </w:p>
        </w:tc>
      </w:tr>
      <w:tr>
        <w:trPr>
          <w:cantSplit/>
        </w:trPr>
        <w:tc>
          <w:tcPr>
            <w:tcW w:type="dxa" w:w="2191"/>
            <w:vAlign w:val="top"/>
            <w:shd w:fill="F5F8FC"/>
          </w:tcPr>
          <w:p>
            <w:pPr>
              <w:pStyle w:val="Compact"/>
              <w:spacing w:before="40" w:after="60" w:line="247" w:lineRule="auto"/>
              <w:jc w:val="left"/>
            </w:pPr>
            <w:r>
              <w:rPr>
                <w:sz w:val="18"/>
              </w:rPr>
              <w:t xml:space="preserve">Pretende implementar em</w:t>
            </w:r>
          </w:p>
        </w:tc>
        <w:tc>
          <w:tcPr>
            <w:tcW w:type="dxa" w:w="3048"/>
            <w:vAlign w:val="top"/>
            <w:shd w:fill="F5F8FC"/>
          </w:tcPr>
          <w:p>
            <w:pPr>
              <w:pStyle w:val="Compact"/>
              <w:spacing w:before="40" w:after="60" w:line="247" w:lineRule="auto"/>
              <w:jc w:val="left"/>
            </w:pPr>
            <w:r>
              <w:rPr>
                <w:sz w:val="18"/>
              </w:rPr>
              <w:t xml:space="preserve">Seleção, obrigatório.</w:t>
            </w:r>
          </w:p>
        </w:tc>
        <w:tc>
          <w:tcPr>
            <w:tcW w:type="dxa" w:w="4286"/>
            <w:vAlign w:val="top"/>
            <w:shd w:fill="F5F8FC"/>
          </w:tcPr>
          <w:p>
            <w:pPr>
              <w:pStyle w:val="Compact"/>
              <w:spacing w:before="40" w:after="60" w:line="247" w:lineRule="auto"/>
              <w:jc w:val="left"/>
            </w:pPr>
            <w:r>
              <w:rPr>
                <w:sz w:val="18"/>
              </w:rPr>
              <w:t xml:space="preserve">Primeiro ou segundo semestre de 2027.</w:t>
            </w:r>
          </w:p>
        </w:tc>
      </w:tr>
      <w:tr>
        <w:trPr>
          <w:cantSplit/>
        </w:trPr>
        <w:tc>
          <w:tcPr>
            <w:tcW w:type="dxa" w:w="2191"/>
            <w:vAlign w:val="top"/>
            <w:shd w:fill="FFFFFF"/>
          </w:tcPr>
          <w:p>
            <w:pPr>
              <w:pStyle w:val="Compact"/>
              <w:spacing w:before="40" w:after="60" w:line="247" w:lineRule="auto"/>
              <w:jc w:val="left"/>
            </w:pPr>
            <w:r>
              <w:rPr>
                <w:sz w:val="18"/>
              </w:rPr>
              <w:t xml:space="preserve">Observações adicionais</w:t>
            </w:r>
          </w:p>
        </w:tc>
        <w:tc>
          <w:tcPr>
            <w:tcW w:type="dxa" w:w="3048"/>
            <w:vAlign w:val="top"/>
            <w:shd w:fill="FFFFFF"/>
          </w:tcPr>
          <w:p>
            <w:pPr>
              <w:pStyle w:val="Compact"/>
              <w:spacing w:before="40" w:after="60" w:line="247" w:lineRule="auto"/>
              <w:jc w:val="left"/>
            </w:pPr>
            <w:r>
              <w:rPr>
                <w:sz w:val="18"/>
              </w:rPr>
              <w:t xml:space="preserve">Área de texto, opcional.</w:t>
            </w:r>
          </w:p>
        </w:tc>
        <w:tc>
          <w:tcPr>
            <w:tcW w:type="dxa" w:w="4286"/>
            <w:vAlign w:val="top"/>
            <w:shd w:fill="FFFFFF"/>
          </w:tcPr>
          <w:p>
            <w:pPr>
              <w:pStyle w:val="Compact"/>
              <w:spacing w:before="40" w:after="60" w:line="247" w:lineRule="auto"/>
              <w:jc w:val="left"/>
            </w:pPr>
            <w:r>
              <w:rPr>
                <w:sz w:val="18"/>
              </w:rPr>
              <w:t xml:space="preserve">Duas linhas visuais; servidor limita a 1.000 caracteres.</w:t>
            </w:r>
          </w:p>
        </w:tc>
      </w:tr>
    </w:tbl>
    <w:p>
      <w:pPr>
        <w:pStyle w:val="BodyText"/>
      </w:pPr>
      <w:r>
        <w:t xml:space="preserve">As opções de cargo são Professor(a), Coordenador(a), Diretor(a), Pró-Reitor(a), Reitor(a) e Outro. Os cursos disponíveis são Administração, Administração Pública, Comércio Exterior, Empreendedorismo, Gestão da Produção, Gestão da Qualidade, Gestão da Saúde, Gestão de Cooperativas, Gestão de Negócios, Gestão de Negócios Internacionais, Gestão de Pessoas, Gestão de Serviços, Gestão do Agronegócio, Gestão Estratégica, Gestão Hospitalar, Gestão Pública, Logística e Outro.</w:t>
      </w:r>
      <w:r>
        <w:t xml:space="preserve"> </w:t>
      </w:r>
      <w:r>
        <w:t xml:space="preserve">“</w:t>
      </w:r>
      <w:r>
        <w:t xml:space="preserve">Outro</w:t>
      </w:r>
      <w:r>
        <w:t xml:space="preserve">”</w:t>
      </w:r>
      <w:r>
        <w:t xml:space="preserve"> </w:t>
      </w:r>
      <w:r>
        <w:t xml:space="preserve">é uma opção textual; não abre campo adicional.</w:t>
      </w:r>
    </w:p>
    <w:p>
      <w:pPr>
        <w:pStyle w:val="BodyText"/>
      </w:pPr>
      <w:r>
        <w:t xml:space="preserve">A máscara remove caracteres não numéricos e, quando há mais de onze dígitos e prefixo</w:t>
      </w:r>
      <w:r>
        <w:t xml:space="preserve"> </w:t>
      </w:r>
      <w:r>
        <w:rPr>
          <w:rStyle w:val="VerbatimChar"/>
        </w:rPr>
        <w:t xml:space="preserve">55</w:t>
      </w:r>
      <w:r>
        <w:t xml:space="preserve">, retira esse DDI antes de limitar a onze dígitos locais. O número é formatado com DDD e separação para telefone de oito ou nove dígitos. Por exemplo,</w:t>
      </w:r>
      <w:r>
        <w:t xml:space="preserve"> </w:t>
      </w:r>
      <w:r>
        <w:rPr>
          <w:rStyle w:val="VerbatimChar"/>
        </w:rPr>
        <w:t xml:space="preserve">+55 11 99999-9999</w:t>
      </w:r>
      <w:r>
        <w:t xml:space="preserve"> </w:t>
      </w:r>
      <w:r>
        <w:t xml:space="preserve">torna-se</w:t>
      </w:r>
      <w:r>
        <w:t xml:space="preserve"> </w:t>
      </w:r>
      <w:r>
        <w:rPr>
          <w:rStyle w:val="VerbatimChar"/>
        </w:rPr>
        <w:t xml:space="preserve">(11) 99999-9999</w:t>
      </w:r>
      <w:r>
        <w:t xml:space="preserve">. A validação confere a quantidade de dígitos, sem consultar operadora, existência da linha ou titularidade.</w:t>
      </w:r>
    </w:p>
    <w:p>
      <w:pPr>
        <w:pStyle w:val="BodyText"/>
      </w:pPr>
      <w:r>
        <w:t xml:space="preserve">O navegador, o hook e o servidor possuem verificações complementares. A interface não replica todos os limites máximos do schema como atributos</w:t>
      </w:r>
      <w:r>
        <w:t xml:space="preserve"> </w:t>
      </w:r>
      <w:r>
        <w:rPr>
          <w:rStyle w:val="VerbatimChar"/>
        </w:rPr>
        <w:t xml:space="preserve">maxLength</w:t>
      </w:r>
      <w:r>
        <w:t xml:space="preserve">; a validação definitiva está no servidor. Os seletores apresentam opções delimitadas, mas o schema recebe strings com limite de tamanho, sem transformar os catálogos de cargo, curso e semestre em enumerações obrigatórias da API.</w:t>
      </w:r>
      <w:r>
        <w:t xml:space="preserve"> </w:t>
      </w:r>
      <w:r>
        <w:t xml:space="preserve">“</w:t>
      </w:r>
      <w:r>
        <w:t xml:space="preserve">E-mail institucional</w:t>
      </w:r>
      <w:r>
        <w:t xml:space="preserve">”</w:t>
      </w:r>
      <w:r>
        <w:t xml:space="preserve"> </w:t>
      </w:r>
      <w:r>
        <w:t xml:space="preserve">é o rótulo funcional: a revisão não restringe o domínio do e-mail a uma lista de IES.</w:t>
      </w:r>
    </w:p>
    <w:p>
      <w:pPr>
        <w:pStyle w:val="BodyText"/>
      </w:pPr>
      <w:r>
        <w:t xml:space="preserve">Fonte:</w:t>
      </w:r>
      <w:r>
        <w:t xml:space="preserve"> </w:t>
      </w:r>
      <w:r>
        <w:rPr>
          <w:rStyle w:val="VerbatimChar"/>
        </w:rPr>
        <w:t xml:space="preserve">src/components/interest/ContactFields.tsx</w:t>
      </w:r>
      <w:r>
        <w:t xml:space="preserve">,</w:t>
      </w:r>
      <w:r>
        <w:t xml:space="preserve"> </w:t>
      </w:r>
      <w:r>
        <w:rPr>
          <w:rStyle w:val="VerbatimChar"/>
        </w:rPr>
        <w:t xml:space="preserve">InstitutionFields.tsx</w:t>
      </w:r>
      <w:r>
        <w:t xml:space="preserve">,</w:t>
      </w:r>
      <w:r>
        <w:t xml:space="preserve"> </w:t>
      </w:r>
      <w:r>
        <w:rPr>
          <w:rStyle w:val="VerbatimChar"/>
        </w:rPr>
        <w:t xml:space="preserve">CourseFields.tsx</w:t>
      </w:r>
      <w:r>
        <w:t xml:space="preserve">,</w:t>
      </w:r>
      <w:r>
        <w:t xml:space="preserve"> </w:t>
      </w:r>
      <w:r>
        <w:rPr>
          <w:rStyle w:val="VerbatimChar"/>
        </w:rPr>
        <w:t xml:space="preserve">interestFormUtils.ts</w:t>
      </w:r>
      <w:r>
        <w:t xml:space="preserve">,</w:t>
      </w:r>
      <w:r>
        <w:t xml:space="preserve"> </w:t>
      </w:r>
      <w:r>
        <w:rPr>
          <w:rStyle w:val="VerbatimChar"/>
        </w:rPr>
        <w:t xml:space="preserve">useInterestForm.ts</w:t>
      </w:r>
      <w:r>
        <w:t xml:space="preserve">,</w:t>
      </w:r>
      <w:r>
        <w:t xml:space="preserve"> </w:t>
      </w:r>
      <w:r>
        <w:rPr>
          <w:rStyle w:val="VerbatimChar"/>
        </w:rPr>
        <w:t xml:space="preserve">src/constants/courses.ts</w:t>
      </w:r>
      <w:r>
        <w:t xml:space="preserve"> </w:t>
      </w:r>
      <w:r>
        <w:t xml:space="preserve">e</w:t>
      </w:r>
      <w:r>
        <w:t xml:space="preserve"> </w:t>
      </w:r>
      <w:r>
        <w:rPr>
          <w:rStyle w:val="VerbatimChar"/>
        </w:rPr>
        <w:t xml:space="preserve">src/types/leads.ts</w:t>
      </w:r>
      <w:r>
        <w:t xml:space="preserve">.</w:t>
      </w:r>
    </w:p>
    <w:bookmarkEnd w:id="47"/>
    <w:bookmarkStart w:id="48" w:name="envio-mensagens-e-confirmação"/>
    <w:p>
      <w:pPr>
        <w:pStyle w:val="Heading2"/>
      </w:pPr>
      <w:bookmarkStart w:id="20019" w:name="docsec_020"/>
      <w:r>
        <w:t xml:space="preserve">Envio, mensagens e confirmação</w:t>
      </w:r>
      <w:bookmarkEnd w:id="20019"/>
    </w:p>
    <w:p>
      <w:pPr>
        <w:pStyle w:val="FirstParagraph"/>
      </w:pPr>
      <w:r>
        <w:rPr>
          <w:rStyle w:val="VerbatimChar"/>
        </w:rPr>
        <w:t xml:space="preserve">handleSubmit</w:t>
      </w:r>
      <w:r>
        <w:t xml:space="preserve"> </w:t>
      </w:r>
      <w:r>
        <w:t xml:space="preserve">impede a submissão HTML convencional, verifica os dados locais e inicia o fluxo assíncrono. Campos obrigatórios em branco produzem</w:t>
      </w:r>
      <w:r>
        <w:t xml:space="preserve"> </w:t>
      </w:r>
      <w:r>
        <w:t xml:space="preserve">“</w:t>
      </w:r>
      <w:r>
        <w:t xml:space="preserve">Por favor, preencha todos os campos obrigatórios.</w:t>
      </w:r>
      <w:r>
        <w:t xml:space="preserve">”</w:t>
      </w:r>
      <w:r>
        <w:t xml:space="preserve">; um telefone preenchido com quantidade incorreta de dígitos produz</w:t>
      </w:r>
      <w:r>
        <w:t xml:space="preserve"> </w:t>
      </w:r>
      <w:r>
        <w:t xml:space="preserve">“</w:t>
      </w:r>
      <w:r>
        <w:t xml:space="preserve">Telefone deve conter DDD e 8 ou 9 dígitos.</w:t>
      </w:r>
      <w:r>
        <w:t xml:space="preserve">”</w:t>
      </w:r>
      <w:r>
        <w:t xml:space="preserve">. A validação nativa do navegador também pode impedir o disparo do evento para campos</w:t>
      </w:r>
      <w:r>
        <w:t xml:space="preserve"> </w:t>
      </w:r>
      <w:r>
        <w:rPr>
          <w:rStyle w:val="VerbatimChar"/>
        </w:rPr>
        <w:t xml:space="preserve">required</w:t>
      </w:r>
      <w:r>
        <w:t xml:space="preserve"> </w:t>
      </w:r>
      <w:r>
        <w:t xml:space="preserve">ou e-mail inválido.</w:t>
      </w:r>
    </w:p>
    <w:p>
      <w:pPr>
        <w:pStyle w:val="BodyText"/>
      </w:pPr>
      <w:r>
        <w:t xml:space="preserve">No envio válido, o hook ativa</w:t>
      </w:r>
      <w:r>
        <w:t xml:space="preserve"> </w:t>
      </w:r>
      <w:r>
        <w:rPr>
          <w:rStyle w:val="VerbatimChar"/>
        </w:rPr>
        <w:t xml:space="preserve">isLoading</w:t>
      </w:r>
      <w:r>
        <w:t xml:space="preserve">, remove o erro anterior e aguarda o serviço HTTP. O botão fica desabilitado e troca o texto para</w:t>
      </w:r>
      <w:r>
        <w:t xml:space="preserve"> </w:t>
      </w:r>
      <w:r>
        <w:t xml:space="preserve">“</w:t>
      </w:r>
      <w:r>
        <w:t xml:space="preserve">Registrando…</w:t>
      </w:r>
      <w:r>
        <w:t xml:space="preserve">”</w:t>
      </w:r>
      <w:r>
        <w:t xml:space="preserve">; os campos permanecem renderizados. O payload contém</w:t>
      </w:r>
      <w:r>
        <w:t xml:space="preserve"> </w:t>
      </w:r>
      <w:r>
        <w:rPr>
          <w:rStyle w:val="VerbatimChar"/>
        </w:rPr>
        <w:t xml:space="preserve">nome</w:t>
      </w:r>
      <w:r>
        <w:t xml:space="preserve">,</w:t>
      </w:r>
      <w:r>
        <w:t xml:space="preserve"> </w:t>
      </w:r>
      <w:r>
        <w:rPr>
          <w:rStyle w:val="VerbatimChar"/>
        </w:rPr>
        <w:t xml:space="preserve">email</w:t>
      </w:r>
      <w:r>
        <w:t xml:space="preserve">,</w:t>
      </w:r>
      <w:r>
        <w:t xml:space="preserve"> </w:t>
      </w:r>
      <w:r>
        <w:rPr>
          <w:rStyle w:val="VerbatimChar"/>
        </w:rPr>
        <w:t xml:space="preserve">telefone</w:t>
      </w:r>
      <w:r>
        <w:t xml:space="preserve">,</w:t>
      </w:r>
      <w:r>
        <w:t xml:space="preserve"> </w:t>
      </w:r>
      <w:r>
        <w:rPr>
          <w:rStyle w:val="VerbatimChar"/>
        </w:rPr>
        <w:t xml:space="preserve">instituicao</w:t>
      </w:r>
      <w:r>
        <w:t xml:space="preserve">,</w:t>
      </w:r>
      <w:r>
        <w:t xml:space="preserve"> </w:t>
      </w:r>
      <w:r>
        <w:rPr>
          <w:rStyle w:val="VerbatimChar"/>
        </w:rPr>
        <w:t xml:space="preserve">campus</w:t>
      </w:r>
      <w:r>
        <w:t xml:space="preserve">,</w:t>
      </w:r>
      <w:r>
        <w:t xml:space="preserve"> </w:t>
      </w:r>
      <w:r>
        <w:rPr>
          <w:rStyle w:val="VerbatimChar"/>
        </w:rPr>
        <w:t xml:space="preserve">cargo</w:t>
      </w:r>
      <w:r>
        <w:t xml:space="preserve">,</w:t>
      </w:r>
      <w:r>
        <w:t xml:space="preserve"> </w:t>
      </w:r>
      <w:r>
        <w:rPr>
          <w:rStyle w:val="VerbatimChar"/>
        </w:rPr>
        <w:t xml:space="preserve">curso</w:t>
      </w:r>
      <w:r>
        <w:t xml:space="preserve">,</w:t>
      </w:r>
      <w:r>
        <w:t xml:space="preserve"> </w:t>
      </w:r>
      <w:r>
        <w:rPr>
          <w:rStyle w:val="VerbatimChar"/>
        </w:rPr>
        <w:t xml:space="preserve">previsaoSemestre</w:t>
      </w:r>
      <w:r>
        <w:t xml:space="preserve"> </w:t>
      </w:r>
      <w:r>
        <w:t xml:space="preserve">e</w:t>
      </w:r>
      <w:r>
        <w:t xml:space="preserve"> </w:t>
      </w:r>
      <w:r>
        <w:rPr>
          <w:rStyle w:val="VerbatimChar"/>
        </w:rPr>
        <w:t xml:space="preserve">observacoes</w:t>
      </w:r>
      <w:r>
        <w:t xml:space="preserve">. Não contém identidade autenticada, status administrativo ou destino de coleção escolhido pelo navegador.</w:t>
      </w:r>
    </w:p>
    <w:p>
      <w:pPr>
        <w:pStyle w:val="TableCaption"/>
        <w:keepNext/>
      </w:pPr>
      <w:r>
        <w:t xml:space="preserve">Tabela </w:t>
      </w:r>
      <w:r>
        <w:rPr>
          <w:rFonts w:ascii="Open Sans" w:hAnsi="Open Sans"/>
          <w:sz w:val="18"/>
        </w:rPr>
        <w:fldChar w:fldCharType="begin"/>
        <w:instrText xml:space="preserve"> SEQ Tabela </w:instrText>
        <w:fldChar w:fldCharType="separate"/>
        <w:t>9</w:t>
        <w:fldChar w:fldCharType="end"/>
      </w:r>
      <w:r>
        <w:t xml:space="preserve"> — Envio, mensagens e confirmação.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Situação</w:t>
            </w:r>
          </w:p>
        </w:tc>
        <w:tc>
          <w:tcPr>
            <w:tcW w:type="dxa" w:w="3048"/>
            <w:vAlign w:val="top"/>
            <w:shd w:fill="233B82"/>
          </w:tcPr>
          <w:p>
            <w:pPr>
              <w:pStyle w:val="Compact"/>
              <w:spacing w:before="40" w:after="60" w:line="247" w:lineRule="auto"/>
              <w:jc w:val="left"/>
            </w:pPr>
            <w:r>
              <w:rPr>
                <w:b/>
                <w:color w:val="FFFFFF"/>
                <w:sz w:val="18"/>
              </w:rPr>
              <w:t xml:space="preserve">Tratamento no cliente</w:t>
            </w:r>
          </w:p>
        </w:tc>
        <w:tc>
          <w:tcPr>
            <w:tcW w:type="dxa" w:w="4286"/>
            <w:vAlign w:val="top"/>
            <w:shd w:fill="233B82"/>
          </w:tcPr>
          <w:p>
            <w:pPr>
              <w:pStyle w:val="Compact"/>
              <w:spacing w:before="40" w:after="60" w:line="247" w:lineRule="auto"/>
              <w:jc w:val="left"/>
            </w:pPr>
            <w:r>
              <w:rPr>
                <w:b/>
                <w:color w:val="FFFFFF"/>
                <w:sz w:val="18"/>
              </w:rPr>
              <w:t xml:space="preserve">Resultado na tela</w:t>
            </w:r>
          </w:p>
        </w:tc>
      </w:tr>
      <w:tr>
        <w:trPr>
          <w:cantSplit/>
        </w:trPr>
        <w:tc>
          <w:tcPr>
            <w:tcW w:type="dxa" w:w="2191"/>
            <w:vAlign w:val="top"/>
            <w:shd w:fill="FFFFFF"/>
          </w:tcPr>
          <w:p>
            <w:pPr>
              <w:pStyle w:val="Compact"/>
              <w:spacing w:before="40" w:after="60" w:line="247" w:lineRule="auto"/>
              <w:jc w:val="left"/>
            </w:pPr>
            <w:r>
              <w:rPr>
                <w:sz w:val="18"/>
              </w:rPr>
              <w:t xml:space="preserve">Resposta positiva com</w:t>
            </w:r>
            <w:r>
              <w:rPr>
                <w:sz w:val="18"/>
              </w:rPr>
              <w:t xml:space="preserve"> </w:t>
            </w:r>
            <w:r>
              <w:rPr>
                <w:rStyle w:val="VerbatimChar"/>
                <w:sz w:val="17"/>
              </w:rPr>
              <w:t xml:space="preserve">success: true</w:t>
            </w:r>
          </w:p>
        </w:tc>
        <w:tc>
          <w:tcPr>
            <w:tcW w:type="dxa" w:w="3048"/>
            <w:vAlign w:val="top"/>
            <w:shd w:fill="FFFFFF"/>
          </w:tcPr>
          <w:p>
            <w:pPr>
              <w:pStyle w:val="Compact"/>
              <w:spacing w:before="40" w:after="60" w:line="247" w:lineRule="auto"/>
              <w:jc w:val="left"/>
            </w:pPr>
            <w:r>
              <w:rPr>
                <w:sz w:val="18"/>
              </w:rPr>
              <w:t xml:space="preserve">O serviço retorna sucesso;</w:t>
            </w:r>
            <w:r>
              <w:rPr>
                <w:sz w:val="18"/>
              </w:rPr>
              <w:t xml:space="preserve"> </w:t>
            </w:r>
            <w:r>
              <w:rPr>
                <w:rStyle w:val="VerbatimChar"/>
                <w:sz w:val="17"/>
              </w:rPr>
              <w:t xml:space="preserve">onSuccess</w:t>
            </w:r>
            <w:r>
              <w:rPr>
                <w:sz w:val="18"/>
              </w:rPr>
              <w:t xml:space="preserve"> </w:t>
            </w:r>
            <w:r>
              <w:rPr>
                <w:sz w:val="18"/>
              </w:rPr>
              <w:t xml:space="preserve">recebe nome e instituição.</w:t>
            </w:r>
          </w:p>
        </w:tc>
        <w:tc>
          <w:tcPr>
            <w:tcW w:type="dxa" w:w="4286"/>
            <w:vAlign w:val="top"/>
            <w:shd w:fill="FFFFFF"/>
          </w:tcPr>
          <w:p>
            <w:pPr>
              <w:pStyle w:val="Compact"/>
              <w:spacing w:before="40" w:after="60" w:line="247" w:lineRule="auto"/>
              <w:jc w:val="left"/>
            </w:pPr>
            <w:r>
              <w:rPr>
                <w:sz w:val="18"/>
              </w:rPr>
              <w:t xml:space="preserve">Formulário substituído pela confirmação.</w:t>
            </w:r>
          </w:p>
        </w:tc>
      </w:tr>
      <w:tr>
        <w:trPr>
          <w:cantSplit/>
        </w:trPr>
        <w:tc>
          <w:tcPr>
            <w:tcW w:type="dxa" w:w="2191"/>
            <w:vAlign w:val="top"/>
            <w:shd w:fill="F5F8FC"/>
          </w:tcPr>
          <w:p>
            <w:pPr>
              <w:pStyle w:val="Compact"/>
              <w:spacing w:before="40" w:after="60" w:line="247" w:lineRule="auto"/>
              <w:jc w:val="left"/>
            </w:pPr>
            <w:r>
              <w:rPr>
                <w:sz w:val="18"/>
              </w:rPr>
              <w:t xml:space="preserve">HTTP 409</w:t>
            </w:r>
          </w:p>
        </w:tc>
        <w:tc>
          <w:tcPr>
            <w:tcW w:type="dxa" w:w="3048"/>
            <w:vAlign w:val="top"/>
            <w:shd w:fill="F5F8FC"/>
          </w:tcPr>
          <w:p>
            <w:pPr>
              <w:pStyle w:val="Compact"/>
              <w:spacing w:before="40" w:after="60" w:line="247" w:lineRule="auto"/>
              <w:jc w:val="left"/>
            </w:pPr>
            <w:r>
              <w:rPr>
                <w:sz w:val="18"/>
              </w:rPr>
              <w:t xml:space="preserve">O serviço lança</w:t>
            </w:r>
            <w:r>
              <w:rPr>
                <w:sz w:val="18"/>
              </w:rPr>
              <w:t xml:space="preserve"> </w:t>
            </w:r>
            <w:r>
              <w:rPr>
                <w:rStyle w:val="VerbatimChar"/>
                <w:sz w:val="17"/>
              </w:rPr>
              <w:t xml:space="preserve">DuplicateLeadError</w:t>
            </w:r>
            <w:r>
              <w:rPr>
                <w:sz w:val="18"/>
              </w:rPr>
              <w:t xml:space="preserve">.</w:t>
            </w:r>
          </w:p>
        </w:tc>
        <w:tc>
          <w:tcPr>
            <w:tcW w:type="dxa" w:w="4286"/>
            <w:vAlign w:val="top"/>
            <w:shd w:fill="F5F8FC"/>
          </w:tcPr>
          <w:p>
            <w:pPr>
              <w:pStyle w:val="Compact"/>
              <w:spacing w:before="40" w:after="60" w:line="247" w:lineRule="auto"/>
              <w:jc w:val="left"/>
            </w:pPr>
            <w:r>
              <w:rPr>
                <w:sz w:val="18"/>
              </w:rPr>
              <w:t xml:space="preserve">“</w:t>
            </w:r>
            <w:r>
              <w:rPr>
                <w:sz w:val="18"/>
              </w:rPr>
              <w:t xml:space="preserve">Esta manifestação já foi cadastrada anteriormente para este e-mail institucional.</w:t>
            </w:r>
            <w:r>
              <w:rPr>
                <w:sz w:val="18"/>
              </w:rPr>
              <w:t xml:space="preserve">”</w:t>
            </w:r>
          </w:p>
        </w:tc>
      </w:tr>
      <w:tr>
        <w:trPr>
          <w:cantSplit/>
        </w:trPr>
        <w:tc>
          <w:tcPr>
            <w:tcW w:type="dxa" w:w="2191"/>
            <w:vAlign w:val="top"/>
            <w:shd w:fill="FFFFFF"/>
          </w:tcPr>
          <w:p>
            <w:pPr>
              <w:pStyle w:val="Compact"/>
              <w:spacing w:before="40" w:after="60" w:line="247" w:lineRule="auto"/>
              <w:jc w:val="left"/>
            </w:pPr>
            <w:r>
              <w:rPr>
                <w:sz w:val="18"/>
              </w:rPr>
              <w:t xml:space="preserve">Falha de conexão reconhecida</w:t>
            </w:r>
          </w:p>
        </w:tc>
        <w:tc>
          <w:tcPr>
            <w:tcW w:type="dxa" w:w="3048"/>
            <w:vAlign w:val="top"/>
            <w:shd w:fill="FFFFFF"/>
          </w:tcPr>
          <w:p>
            <w:pPr>
              <w:pStyle w:val="Compact"/>
              <w:spacing w:before="40" w:after="60" w:line="247" w:lineRule="auto"/>
              <w:jc w:val="left"/>
            </w:pPr>
            <w:r>
              <w:rPr>
                <w:sz w:val="18"/>
              </w:rPr>
              <w:t xml:space="preserve">O tratador identifica mensagens de falha de</w:t>
            </w:r>
            <w:r>
              <w:rPr>
                <w:sz w:val="18"/>
              </w:rPr>
              <w:t xml:space="preserve"> </w:t>
            </w:r>
            <w:r>
              <w:rPr>
                <w:rStyle w:val="VerbatimChar"/>
                <w:sz w:val="17"/>
              </w:rPr>
              <w:t xml:space="preserve">fetch</w:t>
            </w:r>
            <w:r>
              <w:rPr>
                <w:sz w:val="18"/>
              </w:rPr>
              <w:t xml:space="preserve">.</w:t>
            </w:r>
          </w:p>
        </w:tc>
        <w:tc>
          <w:tcPr>
            <w:tcW w:type="dxa" w:w="4286"/>
            <w:vAlign w:val="top"/>
            <w:shd w:fill="FFFFFF"/>
          </w:tcPr>
          <w:p>
            <w:pPr>
              <w:pStyle w:val="Compact"/>
              <w:spacing w:before="40" w:after="60" w:line="247" w:lineRule="auto"/>
              <w:jc w:val="left"/>
            </w:pPr>
            <w:r>
              <w:rPr>
                <w:sz w:val="18"/>
              </w:rPr>
              <w:t xml:space="preserve">Orientação para verificar a conexão e tentar novamente.</w:t>
            </w:r>
          </w:p>
        </w:tc>
      </w:tr>
      <w:tr>
        <w:trPr>
          <w:cantSplit/>
        </w:trPr>
        <w:tc>
          <w:tcPr>
            <w:tcW w:type="dxa" w:w="2191"/>
            <w:vAlign w:val="top"/>
            <w:shd w:fill="F5F8FC"/>
          </w:tcPr>
          <w:p>
            <w:pPr>
              <w:pStyle w:val="Compact"/>
              <w:spacing w:before="40" w:after="60" w:line="247" w:lineRule="auto"/>
              <w:jc w:val="left"/>
            </w:pPr>
            <w:r>
              <w:rPr>
                <w:sz w:val="18"/>
              </w:rPr>
              <w:t xml:space="preserve">Outro erro ou resposta inválida</w:t>
            </w:r>
          </w:p>
        </w:tc>
        <w:tc>
          <w:tcPr>
            <w:tcW w:type="dxa" w:w="3048"/>
            <w:vAlign w:val="top"/>
            <w:shd w:fill="F5F8FC"/>
          </w:tcPr>
          <w:p>
            <w:pPr>
              <w:pStyle w:val="Compact"/>
              <w:spacing w:before="40" w:after="60" w:line="247" w:lineRule="auto"/>
              <w:jc w:val="left"/>
            </w:pPr>
            <w:r>
              <w:rPr>
                <w:sz w:val="18"/>
              </w:rPr>
              <w:t xml:space="preserve">Usa a mensagem da API ou uma mensagem padrão.</w:t>
            </w:r>
          </w:p>
        </w:tc>
        <w:tc>
          <w:tcPr>
            <w:tcW w:type="dxa" w:w="4286"/>
            <w:vAlign w:val="top"/>
            <w:shd w:fill="F5F8FC"/>
          </w:tcPr>
          <w:p>
            <w:pPr>
              <w:pStyle w:val="Compact"/>
              <w:spacing w:before="40" w:after="60" w:line="247" w:lineRule="auto"/>
              <w:jc w:val="left"/>
            </w:pPr>
            <w:r>
              <w:rPr>
                <w:sz w:val="18"/>
              </w:rPr>
              <w:t xml:space="preserve">Alerta acima do formulário; valores mantidos.</w:t>
            </w:r>
          </w:p>
        </w:tc>
      </w:tr>
    </w:tbl>
    <w:p>
      <w:pPr>
        <w:pStyle w:val="BodyText"/>
      </w:pPr>
      <w:r>
        <w:t xml:space="preserve">O alerta usa</w:t>
      </w:r>
      <w:r>
        <w:t xml:space="preserve"> </w:t>
      </w:r>
      <w:r>
        <w:rPr>
          <w:rStyle w:val="VerbatimChar"/>
        </w:rPr>
        <w:t xml:space="preserve">role="alert"</w:t>
      </w:r>
      <w:r>
        <w:t xml:space="preserve"> </w:t>
      </w:r>
      <w:r>
        <w:t xml:space="preserve">e</w:t>
      </w:r>
      <w:r>
        <w:t xml:space="preserve"> </w:t>
      </w:r>
      <w:r>
        <w:rPr>
          <w:rStyle w:val="VerbatimChar"/>
        </w:rPr>
        <w:t xml:space="preserve">aria-live="assertive"</w:t>
      </w:r>
      <w:r>
        <w:t xml:space="preserve">. Quando a API envia detalhes por campo em uma resposta 400, o serviço de interface utiliza a mensagem geral; não há, nesta revisão, distribuição desses detalhes para avisos individuais nos campos. Depois de uma tentativa,</w:t>
      </w:r>
      <w:r>
        <w:t xml:space="preserve"> </w:t>
      </w:r>
      <w:r>
        <w:rPr>
          <w:rStyle w:val="VerbatimChar"/>
        </w:rPr>
        <w:t xml:space="preserve">finally</w:t>
      </w:r>
      <w:r>
        <w:t xml:space="preserve"> </w:t>
      </w:r>
      <w:r>
        <w:t xml:space="preserve">restaura o estado de carregamento.</w:t>
      </w:r>
    </w:p>
    <w:p>
      <w:pPr>
        <w:pStyle w:val="BodyText"/>
      </w:pPr>
      <w:r>
        <w:t xml:space="preserve">A confirmação apresenta</w:t>
      </w:r>
      <w:r>
        <w:t xml:space="preserve"> </w:t>
      </w:r>
      <w:r>
        <w:t xml:space="preserve">“</w:t>
      </w:r>
      <w:r>
        <w:t xml:space="preserve">Interesse Registrado!</w:t>
      </w:r>
      <w:r>
        <w:t xml:space="preserve">”</w:t>
      </w:r>
      <w:r>
        <w:t xml:space="preserve"> </w:t>
      </w:r>
      <w:r>
        <w:t xml:space="preserve">e saúda o primeiro nome, extraído do nome preenchido. Informa que a equipe do CRA-SP fará contato para disponibilizar orientações de adesão. O retorno à Home é uma ação do visitante, sem temporizador de redirecionamento. O formulário não inclui botão de cancelamento, salvamento de rascunho, cancelamento explícito de requisição por</w:t>
      </w:r>
      <w:r>
        <w:t xml:space="preserve"> </w:t>
      </w:r>
      <w:r>
        <w:rPr>
          <w:rStyle w:val="VerbatimChar"/>
        </w:rPr>
        <w:t xml:space="preserve">AbortController</w:t>
      </w:r>
      <w:r>
        <w:t xml:space="preserve">, reenvio automático ou persistência de dados preenchidos em armazenamento local.</w:t>
      </w:r>
    </w:p>
    <w:p>
      <w:pPr>
        <w:pStyle w:val="BodyText"/>
      </w:pPr>
      <w:r>
        <w:t xml:space="preserve">Fonte:</w:t>
      </w:r>
      <w:r>
        <w:t xml:space="preserve"> </w:t>
      </w:r>
      <w:r>
        <w:rPr>
          <w:rStyle w:val="VerbatimChar"/>
        </w:rPr>
        <w:t xml:space="preserve">src/api/leadsService.ts</w:t>
      </w:r>
      <w:r>
        <w:t xml:space="preserve">,</w:t>
      </w:r>
      <w:r>
        <w:t xml:space="preserve"> </w:t>
      </w:r>
      <w:r>
        <w:rPr>
          <w:rStyle w:val="VerbatimChar"/>
        </w:rPr>
        <w:t xml:space="preserve">src/components/interest/InterestForm.tsx</w:t>
      </w:r>
      <w:r>
        <w:t xml:space="preserve">,</w:t>
      </w:r>
      <w:r>
        <w:t xml:space="preserve"> </w:t>
      </w:r>
      <w:r>
        <w:rPr>
          <w:rStyle w:val="VerbatimChar"/>
        </w:rPr>
        <w:t xml:space="preserve">useInterestForm.ts</w:t>
      </w:r>
      <w:r>
        <w:t xml:space="preserve">,</w:t>
      </w:r>
      <w:r>
        <w:t xml:space="preserve"> </w:t>
      </w:r>
      <w:r>
        <w:rPr>
          <w:rStyle w:val="VerbatimChar"/>
        </w:rPr>
        <w:t xml:space="preserve">interestFormUtils.ts</w:t>
      </w:r>
      <w:r>
        <w:t xml:space="preserve"> </w:t>
      </w:r>
      <w:r>
        <w:t xml:space="preserve">e</w:t>
      </w:r>
      <w:r>
        <w:t xml:space="preserve"> </w:t>
      </w:r>
      <w:r>
        <w:rPr>
          <w:rStyle w:val="VerbatimChar"/>
        </w:rPr>
        <w:t xml:space="preserve">src/pages/InterestRegistrationPage.tsx</w:t>
      </w:r>
      <w:r>
        <w:t xml:space="preserve">.</w:t>
      </w:r>
    </w:p>
    <w:bookmarkEnd w:id="48"/>
    <w:bookmarkStart w:id="49" w:name="X4167cdb8ebdb8900d4a5384b1cb4413222cfa9e"/>
    <w:p>
      <w:pPr>
        <w:pStyle w:val="Heading2"/>
      </w:pPr>
      <w:bookmarkStart w:id="20020" w:name="docsec_021"/>
      <w:r>
        <w:t xml:space="preserve">Preferências e recursos de acessibilidade</w:t>
      </w:r>
      <w:bookmarkEnd w:id="20020"/>
    </w:p>
    <w:p>
      <w:pPr>
        <w:pStyle w:val="FirstParagraph"/>
      </w:pPr>
      <w:r>
        <w:t xml:space="preserve">O estado de acessibilidade contém</w:t>
      </w:r>
      <w:r>
        <w:t xml:space="preserve"> </w:t>
      </w:r>
      <w:r>
        <w:rPr>
          <w:rStyle w:val="VerbatimChar"/>
        </w:rPr>
        <w:t xml:space="preserve">fontSizeScale</w:t>
      </w:r>
      <w:r>
        <w:t xml:space="preserve"> </w:t>
      </w:r>
      <w:r>
        <w:t xml:space="preserve">e</w:t>
      </w:r>
      <w:r>
        <w:t xml:space="preserve"> </w:t>
      </w:r>
      <w:r>
        <w:rPr>
          <w:rStyle w:val="VerbatimChar"/>
        </w:rPr>
        <w:t xml:space="preserve">isHighContrast</w:t>
      </w:r>
      <w:r>
        <w:t xml:space="preserve">, com valores padrão</w:t>
      </w:r>
      <w:r>
        <w:t xml:space="preserve"> </w:t>
      </w:r>
      <w:r>
        <w:rPr>
          <w:rStyle w:val="VerbatimChar"/>
        </w:rPr>
        <w:t xml:space="preserve">1.0</w:t>
      </w:r>
      <w:r>
        <w:t xml:space="preserve"> </w:t>
      </w:r>
      <w:r>
        <w:t xml:space="preserve">e</w:t>
      </w:r>
      <w:r>
        <w:t xml:space="preserve"> </w:t>
      </w:r>
      <w:r>
        <w:rPr>
          <w:rStyle w:val="VerbatimChar"/>
        </w:rPr>
        <w:t xml:space="preserve">false</w:t>
      </w:r>
      <w:r>
        <w:t xml:space="preserve">. O store utiliza</w:t>
      </w:r>
      <w:r>
        <w:t xml:space="preserve"> </w:t>
      </w:r>
      <w:r>
        <w:rPr>
          <w:rStyle w:val="VerbatimChar"/>
        </w:rPr>
        <w:t xml:space="preserve">useSyncExternalStore</w:t>
      </w:r>
      <w:r>
        <w:t xml:space="preserve">, um conjunto de assinantes e persistência em</w:t>
      </w:r>
      <w:r>
        <w:t xml:space="preserve"> </w:t>
      </w:r>
      <w:r>
        <w:rPr>
          <w:rStyle w:val="VerbatimChar"/>
        </w:rPr>
        <w:t xml:space="preserve">localStorage</w:t>
      </w:r>
      <w:r>
        <w:t xml:space="preserve">, na chave</w:t>
      </w:r>
      <w:r>
        <w:t xml:space="preserve"> </w:t>
      </w:r>
      <w:r>
        <w:rPr>
          <w:rStyle w:val="VerbatimChar"/>
        </w:rPr>
        <w:t xml:space="preserve">crasp_a11y_state</w:t>
      </w:r>
      <w:r>
        <w:t xml:space="preserve">. Aumentar ou diminuir a fonte modifica a escala em passos de 0,1, dentro do intervalo de 1,0 a 1,2; o botão</w:t>
      </w:r>
      <w:r>
        <w:t xml:space="preserve"> </w:t>
      </w:r>
      <w:r>
        <w:t xml:space="preserve">“</w:t>
      </w:r>
      <w:r>
        <w:t xml:space="preserve">A</w:t>
      </w:r>
      <w:r>
        <w:t xml:space="preserve">”</w:t>
      </w:r>
      <w:r>
        <w:t xml:space="preserve"> </w:t>
      </w:r>
      <w:r>
        <w:t xml:space="preserve">retorna a 1,0.</w:t>
      </w:r>
    </w:p>
    <w:p>
      <w:pPr>
        <w:pStyle w:val="BodyText"/>
      </w:pPr>
      <w:r>
        <w:t xml:space="preserve">Na leitura inicial, o store valida se a escala é numérica, finita e está no intervalo permitido. JSON inválido ou falha de acesso ao armazenamento resulta no estado padrão, com aviso no console. Falhas ao persistir não impedem a atualização em memória da preferência. A revisão não implementa sincronização específica entre abas por eventos</w:t>
      </w:r>
      <w:r>
        <w:t xml:space="preserve"> </w:t>
      </w:r>
      <w:r>
        <w:rPr>
          <w:rStyle w:val="VerbatimChar"/>
        </w:rPr>
        <w:t xml:space="preserve">storage</w:t>
      </w:r>
      <w:r>
        <w:t xml:space="preserve">.</w:t>
      </w:r>
    </w:p>
    <w:p>
      <w:pPr>
        <w:pStyle w:val="BodyText"/>
      </w:pPr>
      <w:r>
        <w:rPr>
          <w:rStyle w:val="VerbatimChar"/>
        </w:rPr>
        <w:t xml:space="preserve">useAccessibilitySync</w:t>
      </w:r>
      <w:r>
        <w:t xml:space="preserve"> </w:t>
      </w:r>
      <w:r>
        <w:t xml:space="preserve">define</w:t>
      </w:r>
      <w:r>
        <w:t xml:space="preserve"> </w:t>
      </w:r>
      <w:r>
        <w:rPr>
          <w:rStyle w:val="VerbatimChar"/>
        </w:rPr>
        <w:t xml:space="preserve">data-font-scale</w:t>
      </w:r>
      <w:r>
        <w:t xml:space="preserve"> </w:t>
      </w:r>
      <w:r>
        <w:t xml:space="preserve">no elemento HTML e alterna a classe</w:t>
      </w:r>
      <w:r>
        <w:t xml:space="preserve"> </w:t>
      </w:r>
      <w:r>
        <w:rPr>
          <w:rStyle w:val="VerbatimChar"/>
        </w:rPr>
        <w:t xml:space="preserve">alto-contraste</w:t>
      </w:r>
      <w:r>
        <w:t xml:space="preserve">. O CSS aplica a escala à fonte raiz e, no alto contraste, reorganiza fundos, textos, bordas, foco e controles. Regras específicas preservam a apresentação das imagens e a área do VLibras. Essas implementações descrevem recursos presentes; sua existência não substitui a avaliação de acessibilidade das telas e interações.</w:t>
      </w:r>
    </w:p>
    <w:p>
      <w:pPr>
        <w:pStyle w:val="BodyText"/>
      </w:pPr>
      <w:r>
        <w:t xml:space="preserve">O componente global VLibras identifica a integração homologada como versão 7.12.2 e carrega o script oficial com</w:t>
      </w:r>
      <w:r>
        <w:t xml:space="preserve"> </w:t>
      </w:r>
      <w:r>
        <w:rPr>
          <w:rStyle w:val="VerbatimChar"/>
        </w:rPr>
        <w:t xml:space="preserve">integrity</w:t>
      </w:r>
      <w:r>
        <w:t xml:space="preserve"> </w:t>
      </w:r>
      <w:r>
        <w:t xml:space="preserve">SHA-384,</w:t>
      </w:r>
      <w:r>
        <w:t xml:space="preserve"> </w:t>
      </w:r>
      <w:r>
        <w:rPr>
          <w:rStyle w:val="VerbatimChar"/>
        </w:rPr>
        <w:t xml:space="preserve">crossOrigin="anonymous"</w:t>
      </w:r>
      <w:r>
        <w:t xml:space="preserve"> </w:t>
      </w:r>
      <w:r>
        <w:t xml:space="preserve">e execução assíncrona. Ele evita uma segunda instanciação quando o wrapper do widget já existe. Antes do carregamento, instala uma ponte para redirecionar URLs de iframe que contenham</w:t>
      </w:r>
      <w:r>
        <w:t xml:space="preserve"> </w:t>
      </w:r>
      <w:r>
        <w:rPr>
          <w:rStyle w:val="VerbatimChar"/>
        </w:rPr>
        <w:t xml:space="preserve">/unity/index.html</w:t>
      </w:r>
      <w:r>
        <w:t xml:space="preserve"> </w:t>
      </w:r>
      <w:r>
        <w:t xml:space="preserve">ao caminho de mesma origem</w:t>
      </w:r>
      <w:r>
        <w:t xml:space="preserve"> </w:t>
      </w:r>
      <w:r>
        <w:rPr>
          <w:rStyle w:val="VerbatimChar"/>
        </w:rPr>
        <w:t xml:space="preserve">/api/vlibras-unity</w:t>
      </w:r>
      <w:r>
        <w:t xml:space="preserve">.</w:t>
      </w:r>
    </w:p>
    <w:p>
      <w:pPr>
        <w:pStyle w:val="BodyText"/>
      </w:pPr>
      <w:r>
        <w:t xml:space="preserve">A tentativa inicial tem temporizador de oito segundos, e até três novas tentativas usam espera de dois, quatro e oito segundos. Após falha definitiva, é inserida a mensagem</w:t>
      </w:r>
      <w:r>
        <w:t xml:space="preserve"> </w:t>
      </w:r>
      <w:r>
        <w:t xml:space="preserve">“</w:t>
      </w:r>
      <w:r>
        <w:t xml:space="preserve">Widget VLibras temporariamente indisponível.</w:t>
      </w:r>
      <w:r>
        <w:t xml:space="preserve">”</w:t>
      </w:r>
      <w:r>
        <w:t xml:space="preserve">, destinada a tecnologias assistivas por</w:t>
      </w:r>
      <w:r>
        <w:t xml:space="preserve"> </w:t>
      </w:r>
      <w:r>
        <w:rPr>
          <w:rStyle w:val="VerbatimChar"/>
        </w:rPr>
        <w:t xml:space="preserve">sr-only</w:t>
      </w:r>
      <w:r>
        <w:t xml:space="preserve">,</w:t>
      </w:r>
      <w:r>
        <w:t xml:space="preserve"> </w:t>
      </w:r>
      <w:r>
        <w:rPr>
          <w:rStyle w:val="VerbatimChar"/>
        </w:rPr>
        <w:t xml:space="preserve">role="status"</w:t>
      </w:r>
      <w:r>
        <w:t xml:space="preserve"> </w:t>
      </w:r>
      <w:r>
        <w:t xml:space="preserve">e</w:t>
      </w:r>
      <w:r>
        <w:t xml:space="preserve"> </w:t>
      </w:r>
      <w:r>
        <w:rPr>
          <w:rStyle w:val="VerbatimChar"/>
        </w:rPr>
        <w:t xml:space="preserve">aria-live="polite"</w:t>
      </w:r>
      <w:r>
        <w:t xml:space="preserve">. Os temporizadores são cancelados na desmontagem. A tradução continua dependendo dos recursos externos do serviço; não há pacote de tradução offline implementado pelo portal.</w:t>
      </w:r>
    </w:p>
    <w:p>
      <w:pPr>
        <w:pStyle w:val="BodyText"/>
      </w:pPr>
      <w:r>
        <w:t xml:space="preserve">Fonte:</w:t>
      </w:r>
      <w:r>
        <w:t xml:space="preserve"> </w:t>
      </w:r>
      <w:r>
        <w:rPr>
          <w:rStyle w:val="VerbatimChar"/>
        </w:rPr>
        <w:t xml:space="preserve">src/store/useAccessibilityStore.ts</w:t>
      </w:r>
      <w:r>
        <w:t xml:space="preserve">,</w:t>
      </w:r>
      <w:r>
        <w:t xml:space="preserve"> </w:t>
      </w:r>
      <w:r>
        <w:rPr>
          <w:rStyle w:val="VerbatimChar"/>
        </w:rPr>
        <w:t xml:space="preserve">src/hooks/useAccessibilitySync.ts</w:t>
      </w:r>
      <w:r>
        <w:t xml:space="preserve">,</w:t>
      </w:r>
      <w:r>
        <w:t xml:space="preserve"> </w:t>
      </w:r>
      <w:r>
        <w:rPr>
          <w:rStyle w:val="VerbatimChar"/>
        </w:rPr>
        <w:t xml:space="preserve">src/components/layout/TopBarFontSizeButtons.tsx</w:t>
      </w:r>
      <w:r>
        <w:t xml:space="preserve">,</w:t>
      </w:r>
      <w:r>
        <w:t xml:space="preserve"> </w:t>
      </w:r>
      <w:r>
        <w:rPr>
          <w:rStyle w:val="VerbatimChar"/>
        </w:rPr>
        <w:t xml:space="preserve">src/components/accessibility/VLibrasWidget.tsx</w:t>
      </w:r>
      <w:r>
        <w:t xml:space="preserve">,</w:t>
      </w:r>
      <w:r>
        <w:t xml:space="preserve"> </w:t>
      </w:r>
      <w:r>
        <w:rPr>
          <w:rStyle w:val="VerbatimChar"/>
        </w:rPr>
        <w:t xml:space="preserve">src/index.css</w:t>
      </w:r>
      <w:r>
        <w:t xml:space="preserve"> </w:t>
      </w:r>
      <w:r>
        <w:t xml:space="preserve">e</w:t>
      </w:r>
      <w:r>
        <w:t xml:space="preserve"> </w:t>
      </w:r>
      <w:r>
        <w:rPr>
          <w:rStyle w:val="VerbatimChar"/>
        </w:rPr>
        <w:t xml:space="preserve">src/server/securityHeaders.ts</w:t>
      </w:r>
      <w:r>
        <w:t xml:space="preserve">.</w:t>
      </w:r>
    </w:p>
    <w:bookmarkEnd w:id="49"/>
    <w:bookmarkStart w:id="50" w:name="governança-e-privacidade"/>
    <w:p>
      <w:pPr>
        <w:pStyle w:val="Heading2"/>
      </w:pPr>
      <w:bookmarkStart w:id="20021" w:name="docsec_022"/>
      <w:r>
        <w:t xml:space="preserve">Governança e privacidade</w:t>
      </w:r>
      <w:bookmarkEnd w:id="20021"/>
    </w:p>
    <w:p>
      <w:pPr>
        <w:pStyle w:val="FirstParagraph"/>
      </w:pPr>
      <w:r>
        <w:t xml:space="preserve">O botão de privacidade da barra superior abre o diálogo</w:t>
      </w:r>
      <w:r>
        <w:t xml:space="preserve"> </w:t>
      </w:r>
      <w:r>
        <w:t xml:space="preserve">“</w:t>
      </w:r>
      <w:r>
        <w:t xml:space="preserve">Diretrizes de Governança e Privacidade</w:t>
      </w:r>
      <w:r>
        <w:t xml:space="preserve">”</w:t>
      </w:r>
      <w:r>
        <w:t xml:space="preserve">. O conteúdo explica que tamanho de fonte e alto contraste são preservados localmente para conforto visual e personalização; informa que essa persistência tem finalidade de usabilidade e orienta o visitante a consultar os canais institucionais do rodapé para informações ou requisições de titulares.</w:t>
      </w:r>
    </w:p>
    <w:p>
      <w:pPr>
        <w:pStyle w:val="BodyText"/>
      </w:pPr>
      <w:r>
        <w:t xml:space="preserve">O diálogo utiliza o elemento nativo</w:t>
      </w:r>
      <w:r>
        <w:t xml:space="preserve"> </w:t>
      </w:r>
      <w:r>
        <w:rPr>
          <w:rStyle w:val="VerbatimChar"/>
        </w:rPr>
        <w:t xml:space="preserve">dialog</w:t>
      </w:r>
      <w:r>
        <w:t xml:space="preserve">, aberto por</w:t>
      </w:r>
      <w:r>
        <w:t xml:space="preserve"> </w:t>
      </w:r>
      <w:r>
        <w:rPr>
          <w:rStyle w:val="VerbatimChar"/>
        </w:rPr>
        <w:t xml:space="preserve">showModal</w:t>
      </w:r>
      <w:r>
        <w:t xml:space="preserve">, com título e descrição associados por ARIA. Pode ser fechado pelo botão de fechamento, por</w:t>
      </w:r>
      <w:r>
        <w:t xml:space="preserve"> </w:t>
      </w:r>
      <w:r>
        <w:t xml:space="preserve">“</w:t>
      </w:r>
      <w:r>
        <w:t xml:space="preserve">Entendido</w:t>
      </w:r>
      <w:r>
        <w:t xml:space="preserve">”</w:t>
      </w:r>
      <w:r>
        <w:t xml:space="preserve"> </w:t>
      </w:r>
      <w:r>
        <w:t xml:space="preserve">ou pela tecla Escape. O tratamento de cancelamento fecha o diálogo, atualiza o estado React e devolve o foco ao botão que o abriu.</w:t>
      </w:r>
    </w:p>
    <w:p>
      <w:pPr>
        <w:pStyle w:val="BodyText"/>
      </w:pPr>
      <w:r>
        <w:t xml:space="preserve">Esse conteúdo é um aviso sobre preferências de acessibilidade. Ele não opera uma plataforma de consentimento por categorias, não limpa cookies de terceiros e não inclui uma aprovação obrigatória para envio do formulário. A tela de registro não apresenta o botão de abertura desse diálogo porque utiliza composição própria, fora de</w:t>
      </w:r>
      <w:r>
        <w:t xml:space="preserve"> </w:t>
      </w:r>
      <w:r>
        <w:rPr>
          <w:rStyle w:val="VerbatimChar"/>
        </w:rPr>
        <w:t xml:space="preserve">PublicLayout</w:t>
      </w:r>
      <w:r>
        <w:t xml:space="preserve">.</w:t>
      </w:r>
    </w:p>
    <w:p>
      <w:pPr>
        <w:pStyle w:val="BodyText"/>
      </w:pPr>
      <w:r>
        <w:t xml:space="preserve">Os canais exibidos incluem telefone</w:t>
      </w:r>
      <w:r>
        <w:t xml:space="preserve"> </w:t>
      </w:r>
      <w:r>
        <w:rPr>
          <w:rStyle w:val="VerbatimChar"/>
        </w:rPr>
        <w:t xml:space="preserve">(11) 3087-3200</w:t>
      </w:r>
      <w:r>
        <w:t xml:space="preserve">, e-mail</w:t>
      </w:r>
      <w:r>
        <w:t xml:space="preserve"> </w:t>
      </w:r>
      <w:r>
        <w:rPr>
          <w:rStyle w:val="VerbatimChar"/>
        </w:rPr>
        <w:t xml:space="preserve">desenvolvimentoprofissional@crasp.gov.br</w:t>
      </w:r>
      <w:r>
        <w:t xml:space="preserve">, Ouvidoria e acesso à informação. Esses destinos facilitam contato institucional; os procedimentos internos de atendimento, retenção e resposta aos titulares não são executados por componentes deste frontend.</w:t>
      </w:r>
    </w:p>
    <w:p>
      <w:pPr>
        <w:pStyle w:val="BodyText"/>
      </w:pPr>
      <w:r>
        <w:t xml:space="preserve">Fonte:</w:t>
      </w:r>
      <w:r>
        <w:t xml:space="preserve"> </w:t>
      </w:r>
      <w:r>
        <w:rPr>
          <w:rStyle w:val="VerbatimChar"/>
        </w:rPr>
        <w:t xml:space="preserve">src/components/layout/PrivacyDialog.tsx</w:t>
      </w:r>
      <w:r>
        <w:t xml:space="preserve">,</w:t>
      </w:r>
      <w:r>
        <w:t xml:space="preserve"> </w:t>
      </w:r>
      <w:r>
        <w:rPr>
          <w:rStyle w:val="VerbatimChar"/>
        </w:rPr>
        <w:t xml:space="preserve">TopBarAccessibility.tsx</w:t>
      </w:r>
      <w:r>
        <w:t xml:space="preserve">,</w:t>
      </w:r>
      <w:r>
        <w:t xml:space="preserve"> </w:t>
      </w:r>
      <w:r>
        <w:rPr>
          <w:rStyle w:val="VerbatimChar"/>
        </w:rPr>
        <w:t xml:space="preserve">FooterContactBar.tsx</w:t>
      </w:r>
      <w:r>
        <w:t xml:space="preserve">,</w:t>
      </w:r>
      <w:r>
        <w:t xml:space="preserve"> </w:t>
      </w:r>
      <w:r>
        <w:rPr>
          <w:rStyle w:val="VerbatimChar"/>
        </w:rPr>
        <w:t xml:space="preserve">Footer.tsx</w:t>
      </w:r>
      <w:r>
        <w:t xml:space="preserve"> </w:t>
      </w:r>
      <w:r>
        <w:t xml:space="preserve">e</w:t>
      </w:r>
      <w:r>
        <w:t xml:space="preserve"> </w:t>
      </w:r>
      <w:r>
        <w:rPr>
          <w:rStyle w:val="VerbatimChar"/>
        </w:rPr>
        <w:t xml:space="preserve">src/pages/InterestRegistrationPage.tsx</w:t>
      </w:r>
      <w:r>
        <w:t xml:space="preserve">.</w:t>
      </w:r>
    </w:p>
    <w:bookmarkEnd w:id="50"/>
    <w:bookmarkStart w:id="51" w:name="navegação-por-teclado-e-apresentação"/>
    <w:p>
      <w:pPr>
        <w:pStyle w:val="Heading2"/>
      </w:pPr>
      <w:bookmarkStart w:id="20022" w:name="docsec_023"/>
      <w:r>
        <w:t xml:space="preserve">Navegação por teclado e apresentação</w:t>
      </w:r>
      <w:bookmarkEnd w:id="20022"/>
    </w:p>
    <w:p>
      <w:pPr>
        <w:pStyle w:val="FirstParagraph"/>
      </w:pPr>
      <w:r>
        <w:rPr>
          <w:rStyle w:val="VerbatimChar"/>
        </w:rPr>
        <w:t xml:space="preserve">PresentationMode</w:t>
      </w:r>
      <w:r>
        <w:t xml:space="preserve"> </w:t>
      </w:r>
      <w:r>
        <w:t xml:space="preserve">adiciona um listener global de</w:t>
      </w:r>
      <w:r>
        <w:t xml:space="preserve"> </w:t>
      </w:r>
      <w:r>
        <w:rPr>
          <w:rStyle w:val="VerbatimChar"/>
        </w:rPr>
        <w:t xml:space="preserve">keydown</w:t>
      </w:r>
      <w:r>
        <w:t xml:space="preserve"> </w:t>
      </w:r>
      <w:r>
        <w:t xml:space="preserve">e estabelece um percurso circular: Início, Chancela Institucional, Metodologia Dinâmica e Objetivos de Aprendizagem. Seta para a direita ou Page Down avança; seta para a esquerda ou Page Up retorna. Depois da última página, o avanço retorna ao início. A navegação atua por</w:t>
      </w:r>
      <w:r>
        <w:t xml:space="preserve"> </w:t>
      </w:r>
      <w:r>
        <w:rPr>
          <w:rStyle w:val="VerbatimChar"/>
        </w:rPr>
        <w:t xml:space="preserve">navigate</w:t>
      </w:r>
      <w:r>
        <w:t xml:space="preserve">, sem alterar os conteúdos das páginas.</w:t>
      </w:r>
    </w:p>
    <w:p>
      <w:pPr>
        <w:pStyle w:val="BodyText"/>
      </w:pPr>
      <w:r>
        <w:t xml:space="preserve">As letras</w:t>
      </w:r>
      <w:r>
        <w:t xml:space="preserve"> </w:t>
      </w:r>
      <w:r>
        <w:t xml:space="preserve">“</w:t>
      </w:r>
      <w:r>
        <w:t xml:space="preserve">f</w:t>
      </w:r>
      <w:r>
        <w:t xml:space="preserve">”</w:t>
      </w:r>
      <w:r>
        <w:t xml:space="preserve"> </w:t>
      </w:r>
      <w:r>
        <w:t xml:space="preserve">e</w:t>
      </w:r>
      <w:r>
        <w:t xml:space="preserve"> </w:t>
      </w:r>
      <w:r>
        <w:t xml:space="preserve">“</w:t>
      </w:r>
      <w:r>
        <w:t xml:space="preserve">p</w:t>
      </w:r>
      <w:r>
        <w:t xml:space="preserve">”</w:t>
      </w:r>
      <w:r>
        <w:t xml:space="preserve"> </w:t>
      </w:r>
      <w:r>
        <w:t xml:space="preserve">alternam tela cheia no elemento raiz do documento. A rotina captura falhas da Fullscreen API e registra aviso no console. As teclas de tela cheia não são tratadas quando Ctrl ou Meta estão pressionados. Fora dessa condição, o listener permanece ativo nas quatro páginas institucionais, sem exigir ativação por um botão de modo de apresentação.</w:t>
      </w:r>
    </w:p>
    <w:p>
      <w:pPr>
        <w:pStyle w:val="BodyText"/>
      </w:pPr>
      <w:r>
        <w:t xml:space="preserve">Os atalhos são ignorados em</w:t>
      </w:r>
      <w:r>
        <w:t xml:space="preserve"> </w:t>
      </w:r>
      <w:r>
        <w:rPr>
          <w:rStyle w:val="VerbatimChar"/>
        </w:rPr>
        <w:t xml:space="preserve">/registro-interesse</w:t>
      </w:r>
      <w:r>
        <w:t xml:space="preserve">, em campos</w:t>
      </w:r>
      <w:r>
        <w:t xml:space="preserve"> </w:t>
      </w:r>
      <w:r>
        <w:rPr>
          <w:rStyle w:val="VerbatimChar"/>
        </w:rPr>
        <w:t xml:space="preserve">input</w:t>
      </w:r>
      <w:r>
        <w:t xml:space="preserve">,</w:t>
      </w:r>
      <w:r>
        <w:t xml:space="preserve"> </w:t>
      </w:r>
      <w:r>
        <w:rPr>
          <w:rStyle w:val="VerbatimChar"/>
        </w:rPr>
        <w:t xml:space="preserve">textarea</w:t>
      </w:r>
      <w:r>
        <w:t xml:space="preserve">,</w:t>
      </w:r>
      <w:r>
        <w:t xml:space="preserve"> </w:t>
      </w:r>
      <w:r>
        <w:rPr>
          <w:rStyle w:val="VerbatimChar"/>
        </w:rPr>
        <w:t xml:space="preserve">select</w:t>
      </w:r>
      <w:r>
        <w:t xml:space="preserve">, em botões, em elementos editáveis e dentro de formulários. Quando o listener trata uma tecla, impede sua ação padrão; assim, Page Down e Page Up funcionam como troca de página nesse contexto. Na desmontagem ou alteração das dependências do efeito, o listener anterior é removido.</w:t>
      </w:r>
    </w:p>
    <w:p>
      <w:pPr>
        <w:pStyle w:val="BodyText"/>
      </w:pPr>
      <w:r>
        <w:t xml:space="preserve">FAQ, menu, botões e links utilizam os controles HTML correspondentes. No carrossel, o tratamento de foco garante que o cartão alcançado continue visível e interrompe o avanço automático enquanto houver foco dentro da área rolável. O conjunto de fontes documenta esses mecanismos sem atribuir uma certificação global de conformidade WCAG à implementação.</w:t>
      </w:r>
    </w:p>
    <w:p>
      <w:pPr>
        <w:pStyle w:val="BodyText"/>
      </w:pPr>
      <w:r>
        <w:t xml:space="preserve">Fonte:</w:t>
      </w:r>
      <w:r>
        <w:t xml:space="preserve"> </w:t>
      </w:r>
      <w:r>
        <w:rPr>
          <w:rStyle w:val="VerbatimChar"/>
        </w:rPr>
        <w:t xml:space="preserve">src/components/presentation/PresentationMode.tsx</w:t>
      </w:r>
      <w:r>
        <w:t xml:space="preserve">,</w:t>
      </w:r>
      <w:r>
        <w:t xml:space="preserve"> </w:t>
      </w:r>
      <w:r>
        <w:rPr>
          <w:rStyle w:val="VerbatimChar"/>
        </w:rPr>
        <w:t xml:space="preserve">useSignatoriesCarousel.ts</w:t>
      </w:r>
      <w:r>
        <w:t xml:space="preserve">,</w:t>
      </w:r>
      <w:r>
        <w:t xml:space="preserve"> </w:t>
      </w:r>
      <w:r>
        <w:rPr>
          <w:rStyle w:val="VerbatimChar"/>
        </w:rPr>
        <w:t xml:space="preserve">src/components/home/FaqItem.tsx</w:t>
      </w:r>
      <w:r>
        <w:t xml:space="preserve"> </w:t>
      </w:r>
      <w:r>
        <w:t xml:space="preserve">e componentes de navegação.</w:t>
      </w:r>
    </w:p>
    <w:bookmarkEnd w:id="51"/>
    <w:bookmarkStart w:id="52" w:name="inventário-funcional-dos-componentes"/>
    <w:p>
      <w:pPr>
        <w:pStyle w:val="Heading2"/>
      </w:pPr>
      <w:bookmarkStart w:id="20023" w:name="docsec_024"/>
      <w:r>
        <w:t xml:space="preserve">Inventário funcional dos componentes</w:t>
      </w:r>
      <w:bookmarkEnd w:id="20023"/>
    </w:p>
    <w:p>
      <w:pPr>
        <w:pStyle w:val="FirstParagraph"/>
      </w:pPr>
      <w:r>
        <w:t xml:space="preserve">A divisão por diretórios acompanha as áreas apresentadas ao visitante. Os componentes de página compõem blocos especializados, enquanto constantes concentram catálogos e textos reutilizados. Essa organização permite localizar uma alteração de conteúdo ou comportamento sem confundir o shell de navegação, o formulário e os serviços de persistência.</w:t>
      </w:r>
    </w:p>
    <w:p>
      <w:pPr>
        <w:pStyle w:val="TableCaption"/>
        <w:keepNext/>
      </w:pPr>
      <w:r>
        <w:t xml:space="preserve">Tabela </w:t>
      </w:r>
      <w:r>
        <w:rPr>
          <w:rFonts w:ascii="Open Sans" w:hAnsi="Open Sans"/>
          <w:sz w:val="18"/>
        </w:rPr>
        <w:fldChar w:fldCharType="begin"/>
        <w:instrText xml:space="preserve"> SEQ Tabela </w:instrText>
        <w:fldChar w:fldCharType="separate"/>
        <w:t>10</w:t>
        <w:fldChar w:fldCharType="end"/>
      </w:r>
      <w:r>
        <w:t xml:space="preserve"> — Inventário funcional dos componentes.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Grupo</w:t>
            </w:r>
          </w:p>
        </w:tc>
        <w:tc>
          <w:tcPr>
            <w:tcW w:type="dxa" w:w="3048"/>
            <w:vAlign w:val="top"/>
            <w:shd w:fill="233B82"/>
          </w:tcPr>
          <w:p>
            <w:pPr>
              <w:pStyle w:val="Compact"/>
              <w:spacing w:before="40" w:after="60" w:line="247" w:lineRule="auto"/>
              <w:jc w:val="left"/>
            </w:pPr>
            <w:r>
              <w:rPr>
                <w:b/>
                <w:color w:val="FFFFFF"/>
                <w:sz w:val="18"/>
              </w:rPr>
              <w:t xml:space="preserve">Caminho principal</w:t>
            </w:r>
          </w:p>
        </w:tc>
        <w:tc>
          <w:tcPr>
            <w:tcW w:type="dxa" w:w="4286"/>
            <w:vAlign w:val="top"/>
            <w:shd w:fill="233B82"/>
          </w:tcPr>
          <w:p>
            <w:pPr>
              <w:pStyle w:val="Compact"/>
              <w:spacing w:before="40" w:after="60" w:line="247" w:lineRule="auto"/>
              <w:jc w:val="left"/>
            </w:pPr>
            <w:r>
              <w:rPr>
                <w:b/>
                <w:color w:val="FFFFFF"/>
                <w:sz w:val="18"/>
              </w:rPr>
              <w:t xml:space="preserve">Responsabilidade e páginas</w:t>
            </w:r>
          </w:p>
        </w:tc>
      </w:tr>
      <w:tr>
        <w:trPr>
          <w:cantSplit/>
        </w:trPr>
        <w:tc>
          <w:tcPr>
            <w:tcW w:type="dxa" w:w="2191"/>
            <w:vAlign w:val="top"/>
            <w:shd w:fill="FFFFFF"/>
          </w:tcPr>
          <w:p>
            <w:pPr>
              <w:pStyle w:val="Compact"/>
              <w:spacing w:before="40" w:after="60" w:line="247" w:lineRule="auto"/>
              <w:jc w:val="left"/>
            </w:pPr>
            <w:r>
              <w:rPr>
                <w:sz w:val="18"/>
              </w:rPr>
              <w:t xml:space="preserve">Inicialização e rotas</w:t>
            </w:r>
          </w:p>
        </w:tc>
        <w:tc>
          <w:tcPr>
            <w:tcW w:type="dxa" w:w="3048"/>
            <w:vAlign w:val="top"/>
            <w:shd w:fill="FFFFFF"/>
          </w:tcPr>
          <w:p>
            <w:pPr>
              <w:pStyle w:val="Compact"/>
              <w:spacing w:before="40" w:after="60" w:line="247" w:lineRule="auto"/>
              <w:jc w:val="left"/>
            </w:pPr>
            <w:r>
              <w:rPr>
                <w:rStyle w:val="VerbatimChar"/>
                <w:sz w:val="17"/>
              </w:rPr>
              <w:t xml:space="preserve">src/App.tsx</w:t>
            </w:r>
            <w:r>
              <w:rPr>
                <w:sz w:val="18"/>
              </w:rPr>
              <w:t xml:space="preserve">;</w:t>
            </w:r>
            <w:r>
              <w:rPr>
                <w:sz w:val="18"/>
              </w:rPr>
              <w:t xml:space="preserve"> </w:t>
            </w:r>
            <w:r>
              <w:rPr>
                <w:rStyle w:val="VerbatimChar"/>
                <w:sz w:val="17"/>
              </w:rPr>
              <w:t xml:space="preserve">src/routes/index.tsx</w:t>
            </w:r>
          </w:p>
        </w:tc>
        <w:tc>
          <w:tcPr>
            <w:tcW w:type="dxa" w:w="4286"/>
            <w:vAlign w:val="top"/>
            <w:shd w:fill="FFFFFF"/>
          </w:tcPr>
          <w:p>
            <w:pPr>
              <w:pStyle w:val="Compact"/>
              <w:spacing w:before="40" w:after="60" w:line="247" w:lineRule="auto"/>
              <w:jc w:val="left"/>
            </w:pPr>
            <w:r>
              <w:rPr>
                <w:sz w:val="18"/>
              </w:rPr>
              <w:t xml:space="preserve">Contexto do roteador, recursos globais e seleção das cinco páginas.</w:t>
            </w:r>
          </w:p>
        </w:tc>
      </w:tr>
      <w:tr>
        <w:trPr>
          <w:cantSplit/>
        </w:trPr>
        <w:tc>
          <w:tcPr>
            <w:tcW w:type="dxa" w:w="2191"/>
            <w:vAlign w:val="top"/>
            <w:shd w:fill="F5F8FC"/>
          </w:tcPr>
          <w:p>
            <w:pPr>
              <w:pStyle w:val="Compact"/>
              <w:spacing w:before="40" w:after="60" w:line="247" w:lineRule="auto"/>
              <w:jc w:val="left"/>
            </w:pPr>
            <w:r>
              <w:rPr>
                <w:sz w:val="18"/>
              </w:rPr>
              <w:t xml:space="preserve">Estrutura institucional</w:t>
            </w:r>
          </w:p>
        </w:tc>
        <w:tc>
          <w:tcPr>
            <w:tcW w:type="dxa" w:w="3048"/>
            <w:vAlign w:val="top"/>
            <w:shd w:fill="F5F8FC"/>
          </w:tcPr>
          <w:p>
            <w:pPr>
              <w:pStyle w:val="Compact"/>
              <w:spacing w:before="40" w:after="60" w:line="247" w:lineRule="auto"/>
              <w:jc w:val="left"/>
            </w:pPr>
            <w:r>
              <w:rPr>
                <w:rStyle w:val="VerbatimChar"/>
                <w:sz w:val="17"/>
              </w:rPr>
              <w:t xml:space="preserve">src/components/layout/</w:t>
            </w:r>
          </w:p>
        </w:tc>
        <w:tc>
          <w:tcPr>
            <w:tcW w:type="dxa" w:w="4286"/>
            <w:vAlign w:val="top"/>
            <w:shd w:fill="F5F8FC"/>
          </w:tcPr>
          <w:p>
            <w:pPr>
              <w:pStyle w:val="Compact"/>
              <w:spacing w:before="40" w:after="60" w:line="247" w:lineRule="auto"/>
              <w:jc w:val="left"/>
            </w:pPr>
            <w:r>
              <w:rPr>
                <w:sz w:val="18"/>
              </w:rPr>
              <w:t xml:space="preserve">Barra superior, marca, menu, diálogo e rodapé nas quatro páginas públicas institucionais.</w:t>
            </w:r>
          </w:p>
        </w:tc>
      </w:tr>
      <w:tr>
        <w:trPr>
          <w:cantSplit/>
        </w:trPr>
        <w:tc>
          <w:tcPr>
            <w:tcW w:type="dxa" w:w="2191"/>
            <w:vAlign w:val="top"/>
            <w:shd w:fill="FFFFFF"/>
          </w:tcPr>
          <w:p>
            <w:pPr>
              <w:pStyle w:val="Compact"/>
              <w:spacing w:before="40" w:after="60" w:line="247" w:lineRule="auto"/>
              <w:jc w:val="left"/>
            </w:pPr>
            <w:r>
              <w:rPr>
                <w:sz w:val="18"/>
              </w:rPr>
              <w:t xml:space="preserve">Página inicial</w:t>
            </w:r>
          </w:p>
        </w:tc>
        <w:tc>
          <w:tcPr>
            <w:tcW w:type="dxa" w:w="3048"/>
            <w:vAlign w:val="top"/>
            <w:shd w:fill="FFFFFF"/>
          </w:tcPr>
          <w:p>
            <w:pPr>
              <w:pStyle w:val="Compact"/>
              <w:spacing w:before="40" w:after="60" w:line="247" w:lineRule="auto"/>
              <w:jc w:val="left"/>
            </w:pPr>
            <w:r>
              <w:rPr>
                <w:rStyle w:val="VerbatimChar"/>
                <w:sz w:val="17"/>
              </w:rPr>
              <w:t xml:space="preserve">src/components/home/</w:t>
            </w:r>
          </w:p>
        </w:tc>
        <w:tc>
          <w:tcPr>
            <w:tcW w:type="dxa" w:w="4286"/>
            <w:vAlign w:val="top"/>
            <w:shd w:fill="FFFFFF"/>
          </w:tcPr>
          <w:p>
            <w:pPr>
              <w:pStyle w:val="Compact"/>
              <w:spacing w:before="40" w:after="60" w:line="247" w:lineRule="auto"/>
              <w:jc w:val="left"/>
            </w:pPr>
            <w:r>
              <w:rPr>
                <w:sz w:val="18"/>
              </w:rPr>
              <w:t xml:space="preserve">Banner, cartões, módulos resumidos, adesão e FAQ da Home.</w:t>
            </w:r>
          </w:p>
        </w:tc>
      </w:tr>
      <w:tr>
        <w:trPr>
          <w:cantSplit/>
        </w:trPr>
        <w:tc>
          <w:tcPr>
            <w:tcW w:type="dxa" w:w="2191"/>
            <w:vAlign w:val="top"/>
            <w:shd w:fill="F5F8FC"/>
          </w:tcPr>
          <w:p>
            <w:pPr>
              <w:pStyle w:val="Compact"/>
              <w:spacing w:before="40" w:after="60" w:line="247" w:lineRule="auto"/>
              <w:jc w:val="left"/>
            </w:pPr>
            <w:r>
              <w:rPr>
                <w:sz w:val="18"/>
              </w:rPr>
              <w:t xml:space="preserve">Chancela</w:t>
            </w:r>
          </w:p>
        </w:tc>
        <w:tc>
          <w:tcPr>
            <w:tcW w:type="dxa" w:w="3048"/>
            <w:vAlign w:val="top"/>
            <w:shd w:fill="F5F8FC"/>
          </w:tcPr>
          <w:p>
            <w:pPr>
              <w:pStyle w:val="Compact"/>
              <w:spacing w:before="40" w:after="60" w:line="247" w:lineRule="auto"/>
              <w:jc w:val="left"/>
            </w:pPr>
            <w:r>
              <w:rPr>
                <w:rStyle w:val="VerbatimChar"/>
                <w:sz w:val="17"/>
              </w:rPr>
              <w:t xml:space="preserve">src/components/chancela/</w:t>
            </w:r>
          </w:p>
        </w:tc>
        <w:tc>
          <w:tcPr>
            <w:tcW w:type="dxa" w:w="4286"/>
            <w:vAlign w:val="top"/>
            <w:shd w:fill="F5F8FC"/>
          </w:tcPr>
          <w:p>
            <w:pPr>
              <w:pStyle w:val="Compact"/>
              <w:spacing w:before="40" w:after="60" w:line="247" w:lineRule="auto"/>
              <w:jc w:val="left"/>
            </w:pPr>
            <w:r>
              <w:rPr>
                <w:sz w:val="18"/>
              </w:rPr>
              <w:t xml:space="preserve">Banner, manifesto, declaração e recursos visuais de Chancela.</w:t>
            </w:r>
          </w:p>
        </w:tc>
      </w:tr>
      <w:tr>
        <w:trPr>
          <w:cantSplit/>
        </w:trPr>
        <w:tc>
          <w:tcPr>
            <w:tcW w:type="dxa" w:w="2191"/>
            <w:vAlign w:val="top"/>
            <w:shd w:fill="FFFFFF"/>
          </w:tcPr>
          <w:p>
            <w:pPr>
              <w:pStyle w:val="Compact"/>
              <w:spacing w:before="40" w:after="60" w:line="247" w:lineRule="auto"/>
              <w:jc w:val="left"/>
            </w:pPr>
            <w:r>
              <w:rPr>
                <w:sz w:val="18"/>
              </w:rPr>
              <w:t xml:space="preserve">Instituições</w:t>
            </w:r>
          </w:p>
        </w:tc>
        <w:tc>
          <w:tcPr>
            <w:tcW w:type="dxa" w:w="3048"/>
            <w:vAlign w:val="top"/>
            <w:shd w:fill="FFFFFF"/>
          </w:tcPr>
          <w:p>
            <w:pPr>
              <w:pStyle w:val="Compact"/>
              <w:spacing w:before="40" w:after="60" w:line="247" w:lineRule="auto"/>
              <w:jc w:val="left"/>
            </w:pPr>
            <w:r>
              <w:rPr>
                <w:rStyle w:val="VerbatimChar"/>
                <w:sz w:val="17"/>
              </w:rPr>
              <w:t xml:space="preserve">src/components/presentation/SignatoriesCarousel.tsx</w:t>
            </w:r>
            <w:r>
              <w:rPr>
                <w:sz w:val="18"/>
              </w:rPr>
              <w:t xml:space="preserve">;</w:t>
            </w:r>
            <w:r>
              <w:rPr>
                <w:sz w:val="18"/>
              </w:rPr>
              <w:t xml:space="preserve"> </w:t>
            </w:r>
            <w:r>
              <w:rPr>
                <w:rStyle w:val="VerbatimChar"/>
                <w:sz w:val="17"/>
              </w:rPr>
              <w:t xml:space="preserve">src/components/partners/</w:t>
            </w:r>
          </w:p>
        </w:tc>
        <w:tc>
          <w:tcPr>
            <w:tcW w:type="dxa" w:w="4286"/>
            <w:vAlign w:val="top"/>
            <w:shd w:fill="FFFFFF"/>
          </w:tcPr>
          <w:p>
            <w:pPr>
              <w:pStyle w:val="Compact"/>
              <w:spacing w:before="40" w:after="60" w:line="247" w:lineRule="auto"/>
              <w:jc w:val="left"/>
            </w:pPr>
            <w:r>
              <w:rPr>
                <w:sz w:val="18"/>
              </w:rPr>
              <w:t xml:space="preserve">Carrossel de signatárias e apresentação de marcas.</w:t>
            </w:r>
          </w:p>
        </w:tc>
      </w:tr>
      <w:tr>
        <w:trPr>
          <w:cantSplit/>
        </w:trPr>
        <w:tc>
          <w:tcPr>
            <w:tcW w:type="dxa" w:w="2191"/>
            <w:vAlign w:val="top"/>
            <w:shd w:fill="F5F8FC"/>
          </w:tcPr>
          <w:p>
            <w:pPr>
              <w:pStyle w:val="Compact"/>
              <w:spacing w:before="40" w:after="60" w:line="247" w:lineRule="auto"/>
              <w:jc w:val="left"/>
            </w:pPr>
            <w:r>
              <w:rPr>
                <w:sz w:val="18"/>
              </w:rPr>
              <w:t xml:space="preserve">Metodologia</w:t>
            </w:r>
          </w:p>
        </w:tc>
        <w:tc>
          <w:tcPr>
            <w:tcW w:type="dxa" w:w="3048"/>
            <w:vAlign w:val="top"/>
            <w:shd w:fill="F5F8FC"/>
          </w:tcPr>
          <w:p>
            <w:pPr>
              <w:pStyle w:val="Compact"/>
              <w:spacing w:before="40" w:after="60" w:line="247" w:lineRule="auto"/>
              <w:jc w:val="left"/>
            </w:pPr>
            <w:r>
              <w:rPr>
                <w:rStyle w:val="VerbatimChar"/>
                <w:sz w:val="17"/>
              </w:rPr>
              <w:t xml:space="preserve">src/components/metodologia/</w:t>
            </w:r>
          </w:p>
        </w:tc>
        <w:tc>
          <w:tcPr>
            <w:tcW w:type="dxa" w:w="4286"/>
            <w:vAlign w:val="top"/>
            <w:shd w:fill="F5F8FC"/>
          </w:tcPr>
          <w:p>
            <w:pPr>
              <w:pStyle w:val="Compact"/>
              <w:spacing w:before="40" w:after="60" w:line="247" w:lineRule="auto"/>
              <w:jc w:val="left"/>
            </w:pPr>
            <w:r>
              <w:rPr>
                <w:sz w:val="18"/>
              </w:rPr>
              <w:t xml:space="preserve">Pilares, formatos e implementação na página pedagógica.</w:t>
            </w:r>
          </w:p>
        </w:tc>
      </w:tr>
      <w:tr>
        <w:trPr>
          <w:cantSplit/>
        </w:trPr>
        <w:tc>
          <w:tcPr>
            <w:tcW w:type="dxa" w:w="2191"/>
            <w:vAlign w:val="top"/>
            <w:shd w:fill="FFFFFF"/>
          </w:tcPr>
          <w:p>
            <w:pPr>
              <w:pStyle w:val="Compact"/>
              <w:spacing w:before="40" w:after="60" w:line="247" w:lineRule="auto"/>
              <w:jc w:val="left"/>
            </w:pPr>
            <w:r>
              <w:rPr>
                <w:sz w:val="18"/>
              </w:rPr>
              <w:t xml:space="preserve">Trilha</w:t>
            </w:r>
          </w:p>
        </w:tc>
        <w:tc>
          <w:tcPr>
            <w:tcW w:type="dxa" w:w="3048"/>
            <w:vAlign w:val="top"/>
            <w:shd w:fill="FFFFFF"/>
          </w:tcPr>
          <w:p>
            <w:pPr>
              <w:pStyle w:val="Compact"/>
              <w:spacing w:before="40" w:after="60" w:line="247" w:lineRule="auto"/>
              <w:jc w:val="left"/>
            </w:pPr>
            <w:r>
              <w:rPr>
                <w:rStyle w:val="VerbatimChar"/>
                <w:sz w:val="17"/>
              </w:rPr>
              <w:t xml:space="preserve">src/components/trilha/</w:t>
            </w:r>
          </w:p>
        </w:tc>
        <w:tc>
          <w:tcPr>
            <w:tcW w:type="dxa" w:w="4286"/>
            <w:vAlign w:val="top"/>
            <w:shd w:fill="FFFFFF"/>
          </w:tcPr>
          <w:p>
            <w:pPr>
              <w:pStyle w:val="Compact"/>
              <w:spacing w:before="40" w:after="60" w:line="247" w:lineRule="auto"/>
              <w:jc w:val="left"/>
            </w:pPr>
            <w:r>
              <w:rPr>
                <w:sz w:val="18"/>
              </w:rPr>
              <w:t xml:space="preserve">Banner, linha de módulos e tabelas de objetivos.</w:t>
            </w:r>
          </w:p>
        </w:tc>
      </w:tr>
      <w:tr>
        <w:trPr>
          <w:cantSplit/>
        </w:trPr>
        <w:tc>
          <w:tcPr>
            <w:tcW w:type="dxa" w:w="2191"/>
            <w:vAlign w:val="top"/>
            <w:shd w:fill="F5F8FC"/>
          </w:tcPr>
          <w:p>
            <w:pPr>
              <w:pStyle w:val="Compact"/>
              <w:spacing w:before="40" w:after="60" w:line="247" w:lineRule="auto"/>
              <w:jc w:val="left"/>
            </w:pPr>
            <w:r>
              <w:rPr>
                <w:sz w:val="18"/>
              </w:rPr>
              <w:t xml:space="preserve">Manifestação</w:t>
            </w:r>
          </w:p>
        </w:tc>
        <w:tc>
          <w:tcPr>
            <w:tcW w:type="dxa" w:w="3048"/>
            <w:vAlign w:val="top"/>
            <w:shd w:fill="F5F8FC"/>
          </w:tcPr>
          <w:p>
            <w:pPr>
              <w:pStyle w:val="Compact"/>
              <w:spacing w:before="40" w:after="60" w:line="247" w:lineRule="auto"/>
              <w:jc w:val="left"/>
            </w:pPr>
            <w:r>
              <w:rPr>
                <w:rStyle w:val="VerbatimChar"/>
                <w:sz w:val="17"/>
              </w:rPr>
              <w:t xml:space="preserve">src/components/interest/</w:t>
            </w:r>
            <w:r>
              <w:rPr>
                <w:sz w:val="18"/>
              </w:rPr>
              <w:t xml:space="preserve">;</w:t>
            </w:r>
            <w:r>
              <w:rPr>
                <w:sz w:val="18"/>
              </w:rPr>
              <w:t xml:space="preserve"> </w:t>
            </w:r>
            <w:r>
              <w:rPr>
                <w:rStyle w:val="VerbatimChar"/>
                <w:sz w:val="17"/>
              </w:rPr>
              <w:t xml:space="preserve">src/components/auth/LoginBrandingColumn.tsx</w:t>
            </w:r>
          </w:p>
        </w:tc>
        <w:tc>
          <w:tcPr>
            <w:tcW w:type="dxa" w:w="4286"/>
            <w:vAlign w:val="top"/>
            <w:shd w:fill="F5F8FC"/>
          </w:tcPr>
          <w:p>
            <w:pPr>
              <w:pStyle w:val="Compact"/>
              <w:spacing w:before="40" w:after="60" w:line="247" w:lineRule="auto"/>
              <w:jc w:val="left"/>
            </w:pPr>
            <w:r>
              <w:rPr>
                <w:sz w:val="18"/>
              </w:rPr>
              <w:t xml:space="preserve">Campos, máscara, validação local, envio e coluna institucional.</w:t>
            </w:r>
          </w:p>
        </w:tc>
      </w:tr>
      <w:tr>
        <w:trPr>
          <w:cantSplit/>
        </w:trPr>
        <w:tc>
          <w:tcPr>
            <w:tcW w:type="dxa" w:w="2191"/>
            <w:vAlign w:val="top"/>
            <w:shd w:fill="FFFFFF"/>
          </w:tcPr>
          <w:p>
            <w:pPr>
              <w:pStyle w:val="Compact"/>
              <w:spacing w:before="40" w:after="60" w:line="247" w:lineRule="auto"/>
              <w:jc w:val="left"/>
            </w:pPr>
            <w:r>
              <w:rPr>
                <w:sz w:val="18"/>
              </w:rPr>
              <w:t xml:space="preserve">Acessibilidade</w:t>
            </w:r>
          </w:p>
        </w:tc>
        <w:tc>
          <w:tcPr>
            <w:tcW w:type="dxa" w:w="3048"/>
            <w:vAlign w:val="top"/>
            <w:shd w:fill="FFFFFF"/>
          </w:tcPr>
          <w:p>
            <w:pPr>
              <w:pStyle w:val="Compact"/>
              <w:spacing w:before="40" w:after="60" w:line="247" w:lineRule="auto"/>
              <w:jc w:val="left"/>
            </w:pPr>
            <w:r>
              <w:rPr>
                <w:rStyle w:val="VerbatimChar"/>
                <w:sz w:val="17"/>
              </w:rPr>
              <w:t xml:space="preserve">src/store/</w:t>
            </w:r>
            <w:r>
              <w:rPr>
                <w:sz w:val="18"/>
              </w:rPr>
              <w:t xml:space="preserve">;</w:t>
            </w:r>
            <w:r>
              <w:rPr>
                <w:sz w:val="18"/>
              </w:rPr>
              <w:t xml:space="preserve"> </w:t>
            </w:r>
            <w:r>
              <w:rPr>
                <w:rStyle w:val="VerbatimChar"/>
                <w:sz w:val="17"/>
              </w:rPr>
              <w:t xml:space="preserve">src/hooks/useAccessibilitySync.ts</w:t>
            </w:r>
            <w:r>
              <w:rPr>
                <w:sz w:val="18"/>
              </w:rPr>
              <w:t xml:space="preserve">;</w:t>
            </w:r>
            <w:r>
              <w:rPr>
                <w:sz w:val="18"/>
              </w:rPr>
              <w:t xml:space="preserve"> </w:t>
            </w:r>
            <w:r>
              <w:rPr>
                <w:rStyle w:val="VerbatimChar"/>
                <w:sz w:val="17"/>
              </w:rPr>
              <w:t xml:space="preserve">src/components/accessibility/</w:t>
            </w:r>
          </w:p>
        </w:tc>
        <w:tc>
          <w:tcPr>
            <w:tcW w:type="dxa" w:w="4286"/>
            <w:vAlign w:val="top"/>
            <w:shd w:fill="FFFFFF"/>
          </w:tcPr>
          <w:p>
            <w:pPr>
              <w:pStyle w:val="Compact"/>
              <w:spacing w:before="40" w:after="60" w:line="247" w:lineRule="auto"/>
              <w:jc w:val="left"/>
            </w:pPr>
            <w:r>
              <w:rPr>
                <w:sz w:val="18"/>
              </w:rPr>
              <w:t xml:space="preserve">Preferências, sincronização visual e widget VLibras.</w:t>
            </w:r>
          </w:p>
        </w:tc>
      </w:tr>
      <w:tr>
        <w:trPr>
          <w:cantSplit/>
        </w:trPr>
        <w:tc>
          <w:tcPr>
            <w:tcW w:type="dxa" w:w="2191"/>
            <w:vAlign w:val="top"/>
            <w:shd w:fill="F5F8FC"/>
          </w:tcPr>
          <w:p>
            <w:pPr>
              <w:pStyle w:val="Compact"/>
              <w:spacing w:before="40" w:after="60" w:line="247" w:lineRule="auto"/>
              <w:jc w:val="left"/>
            </w:pPr>
            <w:r>
              <w:rPr>
                <w:sz w:val="18"/>
              </w:rPr>
              <w:t xml:space="preserve">Elementos reutilizáveis</w:t>
            </w:r>
          </w:p>
        </w:tc>
        <w:tc>
          <w:tcPr>
            <w:tcW w:type="dxa" w:w="3048"/>
            <w:vAlign w:val="top"/>
            <w:shd w:fill="F5F8FC"/>
          </w:tcPr>
          <w:p>
            <w:pPr>
              <w:pStyle w:val="Compact"/>
              <w:spacing w:before="40" w:after="60" w:line="247" w:lineRule="auto"/>
              <w:jc w:val="left"/>
            </w:pPr>
            <w:r>
              <w:rPr>
                <w:rStyle w:val="VerbatimChar"/>
                <w:sz w:val="17"/>
              </w:rPr>
              <w:t xml:space="preserve">src/components/ui/</w:t>
            </w:r>
          </w:p>
        </w:tc>
        <w:tc>
          <w:tcPr>
            <w:tcW w:type="dxa" w:w="4286"/>
            <w:vAlign w:val="top"/>
            <w:shd w:fill="F5F8FC"/>
          </w:tcPr>
          <w:p>
            <w:pPr>
              <w:pStyle w:val="Compact"/>
              <w:spacing w:before="40" w:after="60" w:line="247" w:lineRule="auto"/>
              <w:jc w:val="left"/>
            </w:pPr>
            <w:r>
              <w:rPr>
                <w:sz w:val="18"/>
              </w:rPr>
              <w:t xml:space="preserve">Botões, cartões, etiquetas e cabeçalhos de seção.</w:t>
            </w:r>
          </w:p>
        </w:tc>
      </w:tr>
    </w:tbl>
    <w:p>
      <w:pPr>
        <w:pStyle w:val="BodyText"/>
      </w:pPr>
      <w:r>
        <w:t xml:space="preserve">Os caminhos desta tabela identificam responsabilidades, não uma API pública de componentes. Os tipos e propriedades descritos nos arquivos determinam sua integração. Para mudar contratos de dados ou mensagens de envio, a revisão deve considerar conjuntamente</w:t>
      </w:r>
      <w:r>
        <w:t xml:space="preserve"> </w:t>
      </w:r>
      <w:r>
        <w:rPr>
          <w:rStyle w:val="VerbatimChar"/>
        </w:rPr>
        <w:t xml:space="preserve">useInterestForm</w:t>
      </w:r>
      <w:r>
        <w:t xml:space="preserve">,</w:t>
      </w:r>
      <w:r>
        <w:t xml:space="preserve"> </w:t>
      </w:r>
      <w:r>
        <w:rPr>
          <w:rStyle w:val="VerbatimChar"/>
        </w:rPr>
        <w:t xml:space="preserve">leadsService</w:t>
      </w:r>
      <w:r>
        <w:t xml:space="preserve"> </w:t>
      </w:r>
      <w:r>
        <w:t xml:space="preserve">e o schema compartilhado, evitando que a interface apresente condições diferentes daquelas aceitas pelo servidor.</w:t>
      </w:r>
    </w:p>
    <w:p>
      <w:pPr>
        <w:pStyle w:val="BodyText"/>
      </w:pPr>
      <w:r>
        <w:t xml:space="preserve">Fonte: árvore de</w:t>
      </w:r>
      <w:r>
        <w:t xml:space="preserve"> </w:t>
      </w:r>
      <w:r>
        <w:rPr>
          <w:rStyle w:val="VerbatimChar"/>
        </w:rPr>
        <w:t xml:space="preserve">src/components</w:t>
      </w:r>
      <w:r>
        <w:t xml:space="preserve">,</w:t>
      </w:r>
      <w:r>
        <w:t xml:space="preserve"> </w:t>
      </w:r>
      <w:r>
        <w:rPr>
          <w:rStyle w:val="VerbatimChar"/>
        </w:rPr>
        <w:t xml:space="preserve">src/pages</w:t>
      </w:r>
      <w:r>
        <w:t xml:space="preserve">,</w:t>
      </w:r>
      <w:r>
        <w:t xml:space="preserve"> </w:t>
      </w:r>
      <w:r>
        <w:rPr>
          <w:rStyle w:val="VerbatimChar"/>
        </w:rPr>
        <w:t xml:space="preserve">src/constants</w:t>
      </w:r>
      <w:r>
        <w:t xml:space="preserve">,</w:t>
      </w:r>
      <w:r>
        <w:t xml:space="preserve"> </w:t>
      </w:r>
      <w:r>
        <w:rPr>
          <w:rStyle w:val="VerbatimChar"/>
        </w:rPr>
        <w:t xml:space="preserve">src/api</w:t>
      </w:r>
      <w:r>
        <w:t xml:space="preserve">,</w:t>
      </w:r>
      <w:r>
        <w:t xml:space="preserve"> </w:t>
      </w:r>
      <w:r>
        <w:rPr>
          <w:rStyle w:val="VerbatimChar"/>
        </w:rPr>
        <w:t xml:space="preserve">src/store</w:t>
      </w:r>
      <w:r>
        <w:t xml:space="preserve"> </w:t>
      </w:r>
      <w:r>
        <w:t xml:space="preserve">e</w:t>
      </w:r>
      <w:r>
        <w:t xml:space="preserve"> </w:t>
      </w:r>
      <w:r>
        <w:rPr>
          <w:rStyle w:val="VerbatimChar"/>
        </w:rPr>
        <w:t xml:space="preserve">src/hooks</w:t>
      </w:r>
      <w:r>
        <w:t xml:space="preserve">; revisão documentada</w:t>
      </w:r>
      <w:r>
        <w:t xml:space="preserve"> </w:t>
      </w:r>
      <w:r>
        <w:rPr>
          <w:rStyle w:val="VerbatimChar"/>
        </w:rPr>
        <w:t xml:space="preserve">1d05eb64bfdb9f7f579221a144165a66f1ba25e4</w:t>
      </w:r>
      <w:r>
        <w:t xml:space="preserve">.</w:t>
      </w:r>
    </w:p>
    <w:bookmarkEnd w:id="52"/>
    <w:bookmarkEnd w:id="53"/>
    <w:bookmarkStart w:id="60" w:name="Xd4bbb5f9cffc7204c60955904dd2fa32f544479"/>
    <w:p>
      <w:pPr>
        <w:pStyle w:val="Heading1"/>
      </w:pPr>
      <w:bookmarkStart w:id="20024" w:name="docsec_025"/>
      <w:r>
        <w:t xml:space="preserve">Backend, API e processamento das requisições</w:t>
      </w:r>
      <w:bookmarkEnd w:id="20024"/>
    </w:p>
    <w:bookmarkStart w:id="54" w:name="organização-do-servidor"/>
    <w:p>
      <w:pPr>
        <w:pStyle w:val="Heading2"/>
      </w:pPr>
      <w:bookmarkStart w:id="20025" w:name="docsec_026"/>
      <w:r>
        <w:t xml:space="preserve">Organização do servidor</w:t>
      </w:r>
      <w:bookmarkEnd w:id="20025"/>
    </w:p>
    <w:p>
      <w:pPr>
        <w:pStyle w:val="FirstParagraph"/>
      </w:pPr>
      <w:r>
        <w:t xml:space="preserve">O backend é uma aplicação Express 5 iniciada por</w:t>
      </w:r>
      <w:r>
        <w:t xml:space="preserve"> </w:t>
      </w:r>
      <w:r>
        <w:rPr>
          <w:rStyle w:val="VerbatimChar"/>
        </w:rPr>
        <w:t xml:space="preserve">server.ts</w:t>
      </w:r>
      <w:r>
        <w:t xml:space="preserve">. O mesmo processo entrega a API pública de manifestação de interesse, a ponte HTML do VLibras e os recursos necessários à aplicação React. A interface utiliza o navegador como cliente da API; a validação definitiva, a geração de identificadores e o acesso privilegiado ao Firestore permanecem no servidor.</w:t>
      </w:r>
    </w:p>
    <w:p>
      <w:pPr>
        <w:pStyle w:val="BodyText"/>
      </w:pPr>
      <w:r>
        <w:t xml:space="preserve">A implementação é dividida em quatro módulos:</w:t>
      </w:r>
      <w:r>
        <w:t xml:space="preserve"> </w:t>
      </w:r>
      <w:r>
        <w:rPr>
          <w:rStyle w:val="VerbatimChar"/>
        </w:rPr>
        <w:t xml:space="preserve">firestoreClient.ts</w:t>
      </w:r>
      <w:r>
        <w:t xml:space="preserve"> </w:t>
      </w:r>
      <w:r>
        <w:t xml:space="preserve">seleciona projeto e banco e inicializa o Admin SDK;</w:t>
      </w:r>
      <w:r>
        <w:t xml:space="preserve"> </w:t>
      </w:r>
      <w:r>
        <w:rPr>
          <w:rStyle w:val="VerbatimChar"/>
        </w:rPr>
        <w:t xml:space="preserve">leadBucketService.ts</w:t>
      </w:r>
      <w:r>
        <w:t xml:space="preserve"> </w:t>
      </w:r>
      <w:r>
        <w:t xml:space="preserve">organiza unicidade e gravação transacional;</w:t>
      </w:r>
      <w:r>
        <w:t xml:space="preserve"> </w:t>
      </w:r>
      <w:r>
        <w:rPr>
          <w:rStyle w:val="VerbatimChar"/>
        </w:rPr>
        <w:t xml:space="preserve">vaultService.ts</w:t>
      </w:r>
      <w:r>
        <w:t xml:space="preserve"> </w:t>
      </w:r>
      <w:r>
        <w:t xml:space="preserve">constrói os registros operacionais e cifra os contatos;</w:t>
      </w:r>
      <w:r>
        <w:t xml:space="preserve"> </w:t>
      </w:r>
      <w:r>
        <w:rPr>
          <w:rStyle w:val="VerbatimChar"/>
        </w:rPr>
        <w:t xml:space="preserve">securityHeaders.ts</w:t>
      </w:r>
      <w:r>
        <w:t xml:space="preserve"> </w:t>
      </w:r>
      <w:r>
        <w:t xml:space="preserve">aplica os cabeçalhos HTTP e fornece a ponte Unity. O contrato Zod compartilhado fica em</w:t>
      </w:r>
      <w:r>
        <w:t xml:space="preserve"> </w:t>
      </w:r>
      <w:r>
        <w:rPr>
          <w:rStyle w:val="VerbatimChar"/>
        </w:rPr>
        <w:t xml:space="preserve">src/types/leads.ts</w:t>
      </w:r>
      <w:r>
        <w:t xml:space="preserve">. O cliente HTTP do formulário reside em</w:t>
      </w:r>
      <w:r>
        <w:t xml:space="preserve"> </w:t>
      </w:r>
      <w:r>
        <w:rPr>
          <w:rStyle w:val="VerbatimChar"/>
        </w:rPr>
        <w:t xml:space="preserve">src/api/leadsService.ts</w:t>
      </w:r>
      <w:r>
        <w:t xml:space="preserve">.</w:t>
      </w:r>
    </w:p>
    <w:p>
      <w:pPr>
        <w:pStyle w:val="BodyText"/>
      </w:pPr>
      <w:r>
        <w:t xml:space="preserve">O runtime mínimo declarado é Node.js 22.18.0. O comando de produção é</w:t>
      </w:r>
      <w:r>
        <w:t xml:space="preserve"> </w:t>
      </w:r>
      <w:r>
        <w:rPr>
          <w:rStyle w:val="VerbatimChar"/>
        </w:rPr>
        <w:t xml:space="preserve">node server.ts</w:t>
      </w:r>
      <w:r>
        <w:t xml:space="preserve">; a execução de desenvolvimento utiliza</w:t>
      </w:r>
      <w:r>
        <w:t xml:space="preserve"> </w:t>
      </w:r>
      <w:r>
        <w:rPr>
          <w:rStyle w:val="VerbatimChar"/>
        </w:rPr>
        <w:t xml:space="preserve">tsx server.ts</w:t>
      </w:r>
      <w:r>
        <w:t xml:space="preserve">. Quando</w:t>
      </w:r>
      <w:r>
        <w:t xml:space="preserve"> </w:t>
      </w:r>
      <w:r>
        <w:rPr>
          <w:rStyle w:val="VerbatimChar"/>
        </w:rPr>
        <w:t xml:space="preserve">NODE_ENV</w:t>
      </w:r>
      <w:r>
        <w:t xml:space="preserve"> </w:t>
      </w:r>
      <w:r>
        <w:t xml:space="preserve">é</w:t>
      </w:r>
      <w:r>
        <w:t xml:space="preserve"> </w:t>
      </w:r>
      <w:r>
        <w:rPr>
          <w:rStyle w:val="VerbatimChar"/>
        </w:rPr>
        <w:t xml:space="preserve">production</w:t>
      </w:r>
      <w:r>
        <w:t xml:space="preserve">, o processo entrega o diretório</w:t>
      </w:r>
      <w:r>
        <w:t xml:space="preserve"> </w:t>
      </w:r>
      <w:r>
        <w:rPr>
          <w:rStyle w:val="VerbatimChar"/>
        </w:rPr>
        <w:t xml:space="preserve">dist</w:t>
      </w:r>
      <w:r>
        <w:t xml:space="preserve">. Nos demais modos, exceto o tratamento específico de testes, incorpora os middlewares do Vite. A porta é o valor numérico de</w:t>
      </w:r>
      <w:r>
        <w:t xml:space="preserve"> </w:t>
      </w:r>
      <w:r>
        <w:rPr>
          <w:rStyle w:val="VerbatimChar"/>
        </w:rPr>
        <w:t xml:space="preserve">PORT</w:t>
      </w:r>
      <w:r>
        <w:t xml:space="preserve">, com padrão 3000, e o listener utiliza</w:t>
      </w:r>
      <w:r>
        <w:t xml:space="preserve"> </w:t>
      </w:r>
      <w:r>
        <w:rPr>
          <w:rStyle w:val="VerbatimChar"/>
        </w:rPr>
        <w:t xml:space="preserve">0.0.0.0</w:t>
      </w:r>
      <w:r>
        <w:t xml:space="preserve">.</w:t>
      </w:r>
    </w:p>
    <w:p>
      <w:pPr>
        <w:pStyle w:val="BodyText"/>
      </w:pPr>
      <w:r>
        <w:t xml:space="preserve">O arquivo exporta</w:t>
      </w:r>
      <w:r>
        <w:t xml:space="preserve"> </w:t>
      </w:r>
      <w:r>
        <w:rPr>
          <w:rStyle w:val="VerbatimChar"/>
        </w:rPr>
        <w:t xml:space="preserve">app</w:t>
      </w:r>
      <w:r>
        <w:t xml:space="preserve">, a referência</w:t>
      </w:r>
      <w:r>
        <w:t xml:space="preserve"> </w:t>
      </w:r>
      <w:r>
        <w:rPr>
          <w:rStyle w:val="VerbatimChar"/>
        </w:rPr>
        <w:t xml:space="preserve">db</w:t>
      </w:r>
      <w:r>
        <w:t xml:space="preserve"> </w:t>
      </w:r>
      <w:r>
        <w:t xml:space="preserve">e funções utilizadas pelos testes.</w:t>
      </w:r>
      <w:r>
        <w:t xml:space="preserve"> </w:t>
      </w:r>
      <w:r>
        <w:rPr>
          <w:rStyle w:val="VerbatimChar"/>
        </w:rPr>
        <w:t xml:space="preserve">setFirestoreInstance</w:t>
      </w:r>
      <w:r>
        <w:t xml:space="preserve"> </w:t>
      </w:r>
      <w:r>
        <w:t xml:space="preserve">permite substituir a referência durante os testes existentes. Com</w:t>
      </w:r>
      <w:r>
        <w:t xml:space="preserve"> </w:t>
      </w:r>
      <w:r>
        <w:rPr>
          <w:rStyle w:val="VerbatimChar"/>
        </w:rPr>
        <w:t xml:space="preserve">NODE_ENV=test</w:t>
      </w:r>
      <w:r>
        <w:t xml:space="preserve">, a chamada de abertura do listener é suprimida; a composição da aplicação e a inicialização declarada do cliente Firestore continuam pertencendo ao módulo. Essas exportações não criam rotas administrativas na aplicação publicada.</w:t>
      </w:r>
    </w:p>
    <w:bookmarkEnd w:id="54"/>
    <w:bookmarkStart w:id="55" w:name="ordem-dos-middlewares-e-limites"/>
    <w:p>
      <w:pPr>
        <w:pStyle w:val="Heading2"/>
      </w:pPr>
      <w:bookmarkStart w:id="20026" w:name="docsec_027"/>
      <w:r>
        <w:t xml:space="preserve">Ordem dos middlewares e limites</w:t>
      </w:r>
      <w:bookmarkEnd w:id="20026"/>
    </w:p>
    <w:p>
      <w:pPr>
        <w:pStyle w:val="FirstParagraph"/>
      </w:pPr>
      <w:r>
        <w:t xml:space="preserve">A ordem de registro determina quais tratamentos uma requisição alcança. A aplicação desativa</w:t>
      </w:r>
      <w:r>
        <w:t xml:space="preserve"> </w:t>
      </w:r>
      <w:r>
        <w:rPr>
          <w:rStyle w:val="VerbatimChar"/>
        </w:rPr>
        <w:t xml:space="preserve">X-Powered-By</w:t>
      </w:r>
      <w:r>
        <w:t xml:space="preserve">, configura</w:t>
      </w:r>
      <w:r>
        <w:t xml:space="preserve"> </w:t>
      </w:r>
      <w:r>
        <w:rPr>
          <w:rStyle w:val="VerbatimChar"/>
        </w:rPr>
        <w:t xml:space="preserve">trust proxy</w:t>
      </w:r>
      <w:r>
        <w:t xml:space="preserve"> </w:t>
      </w:r>
      <w:r>
        <w:t xml:space="preserve">com o valor 1 e aplica os cabeçalhos antes de interpretar JSON. O corpo é processado por</w:t>
      </w:r>
      <w:r>
        <w:t xml:space="preserve"> </w:t>
      </w:r>
      <w:r>
        <w:rPr>
          <w:rStyle w:val="VerbatimChar"/>
        </w:rPr>
        <w:t xml:space="preserve">express.json({ limit: '15kb' })</w:t>
      </w:r>
      <w:r>
        <w:t xml:space="preserve">, equivalente a 15.360 bytes no limite do parser. O tratamento seguinte converte JSON malformado em 400 e excesso de tamanho em 413.</w:t>
      </w:r>
    </w:p>
    <w:p>
      <w:pPr>
        <w:pStyle w:val="TableCaption"/>
        <w:keepNext/>
      </w:pPr>
      <w:r>
        <w:t xml:space="preserve">Tabela </w:t>
      </w:r>
      <w:r>
        <w:rPr>
          <w:rFonts w:ascii="Open Sans" w:hAnsi="Open Sans"/>
          <w:sz w:val="18"/>
        </w:rPr>
        <w:fldChar w:fldCharType="begin"/>
        <w:instrText xml:space="preserve"> SEQ Tabela </w:instrText>
        <w:fldChar w:fldCharType="separate"/>
        <w:t>11</w:t>
        <w:fldChar w:fldCharType="end"/>
      </w:r>
      <w:r>
        <w:t xml:space="preserve"> — Sequência de processamento no Express.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Ordem</w:t>
            </w:r>
          </w:p>
        </w:tc>
        <w:tc>
          <w:tcPr>
            <w:tcW w:type="dxa" w:w="2476"/>
            <w:vAlign w:val="top"/>
            <w:shd w:fill="233B82"/>
          </w:tcPr>
          <w:p>
            <w:pPr>
              <w:pStyle w:val="Compact"/>
              <w:spacing w:before="40" w:after="60" w:line="247" w:lineRule="auto"/>
              <w:jc w:val="left"/>
            </w:pPr>
            <w:r>
              <w:rPr>
                <w:b/>
                <w:color w:val="FFFFFF"/>
                <w:sz w:val="18"/>
              </w:rPr>
              <w:t xml:space="preserve">Componente</w:t>
            </w:r>
          </w:p>
        </w:tc>
        <w:tc>
          <w:tcPr>
            <w:tcW w:type="dxa" w:w="2762"/>
            <w:vAlign w:val="top"/>
            <w:shd w:fill="233B82"/>
          </w:tcPr>
          <w:p>
            <w:pPr>
              <w:pStyle w:val="Compact"/>
              <w:spacing w:before="40" w:after="60" w:line="247" w:lineRule="auto"/>
              <w:jc w:val="left"/>
            </w:pPr>
            <w:r>
              <w:rPr>
                <w:b/>
                <w:color w:val="FFFFFF"/>
                <w:sz w:val="18"/>
              </w:rPr>
              <w:t xml:space="preserve">Responsabilidade</w:t>
            </w:r>
          </w:p>
        </w:tc>
        <w:tc>
          <w:tcPr>
            <w:tcW w:type="dxa" w:w="2572"/>
            <w:vAlign w:val="top"/>
            <w:shd w:fill="233B82"/>
          </w:tcPr>
          <w:p>
            <w:pPr>
              <w:pStyle w:val="Compact"/>
              <w:spacing w:before="40" w:after="60" w:line="247" w:lineRule="auto"/>
              <w:jc w:val="left"/>
            </w:pPr>
            <w:r>
              <w:rPr>
                <w:b/>
                <w:color w:val="FFFFFF"/>
                <w:sz w:val="18"/>
              </w:rPr>
              <w:t xml:space="preserve">Alcance</w:t>
            </w:r>
          </w:p>
        </w:tc>
      </w:tr>
      <w:tr>
        <w:trPr>
          <w:cantSplit/>
        </w:trPr>
        <w:tc>
          <w:tcPr>
            <w:tcW w:type="dxa" w:w="1714"/>
            <w:vAlign w:val="top"/>
            <w:shd w:fill="FFFFFF"/>
          </w:tcPr>
          <w:p>
            <w:pPr>
              <w:pStyle w:val="Compact"/>
              <w:spacing w:before="40" w:after="60" w:line="247" w:lineRule="auto"/>
              <w:jc w:val="left"/>
            </w:pPr>
            <w:r>
              <w:rPr>
                <w:sz w:val="18"/>
              </w:rPr>
              <w:t xml:space="preserve">1</w:t>
            </w:r>
          </w:p>
        </w:tc>
        <w:tc>
          <w:tcPr>
            <w:tcW w:type="dxa" w:w="2476"/>
            <w:vAlign w:val="top"/>
            <w:shd w:fill="FFFFFF"/>
          </w:tcPr>
          <w:p>
            <w:pPr>
              <w:pStyle w:val="Compact"/>
              <w:spacing w:before="40" w:after="60" w:line="247" w:lineRule="auto"/>
              <w:jc w:val="left"/>
            </w:pPr>
            <w:r>
              <w:rPr>
                <w:sz w:val="18"/>
              </w:rPr>
              <w:t xml:space="preserve">Configuração inicial</w:t>
            </w:r>
          </w:p>
        </w:tc>
        <w:tc>
          <w:tcPr>
            <w:tcW w:type="dxa" w:w="2762"/>
            <w:vAlign w:val="top"/>
            <w:shd w:fill="FFFFFF"/>
          </w:tcPr>
          <w:p>
            <w:pPr>
              <w:pStyle w:val="Compact"/>
              <w:spacing w:before="40" w:after="60" w:line="247" w:lineRule="auto"/>
              <w:jc w:val="left"/>
            </w:pPr>
            <w:r>
              <w:rPr>
                <w:sz w:val="18"/>
              </w:rPr>
              <w:t xml:space="preserve">Remove a identificação Express e confia em um salto de proxy.</w:t>
            </w:r>
          </w:p>
        </w:tc>
        <w:tc>
          <w:tcPr>
            <w:tcW w:type="dxa" w:w="2572"/>
            <w:vAlign w:val="top"/>
            <w:shd w:fill="FFFFFF"/>
          </w:tcPr>
          <w:p>
            <w:pPr>
              <w:pStyle w:val="Compact"/>
              <w:spacing w:before="40" w:after="60" w:line="247" w:lineRule="auto"/>
              <w:jc w:val="left"/>
            </w:pPr>
            <w:r>
              <w:rPr>
                <w:sz w:val="18"/>
              </w:rPr>
              <w:t xml:space="preserve">Aplicação inteira.</w:t>
            </w:r>
          </w:p>
        </w:tc>
      </w:tr>
      <w:tr>
        <w:trPr>
          <w:cantSplit/>
        </w:trPr>
        <w:tc>
          <w:tcPr>
            <w:tcW w:type="dxa" w:w="1714"/>
            <w:vAlign w:val="top"/>
            <w:shd w:fill="F5F8FC"/>
          </w:tcPr>
          <w:p>
            <w:pPr>
              <w:pStyle w:val="Compact"/>
              <w:spacing w:before="40" w:after="60" w:line="247" w:lineRule="auto"/>
              <w:jc w:val="left"/>
            </w:pPr>
            <w:r>
              <w:rPr>
                <w:sz w:val="18"/>
              </w:rPr>
              <w:t xml:space="preserve">2</w:t>
            </w:r>
          </w:p>
        </w:tc>
        <w:tc>
          <w:tcPr>
            <w:tcW w:type="dxa" w:w="2476"/>
            <w:vAlign w:val="top"/>
            <w:shd w:fill="F5F8FC"/>
          </w:tcPr>
          <w:p>
            <w:pPr>
              <w:pStyle w:val="Compact"/>
              <w:spacing w:before="40" w:after="60" w:line="247" w:lineRule="auto"/>
              <w:jc w:val="left"/>
            </w:pPr>
            <w:r>
              <w:rPr>
                <w:rStyle w:val="VerbatimChar"/>
                <w:sz w:val="17"/>
              </w:rPr>
              <w:t xml:space="preserve">applySecurityHeaders</w:t>
            </w:r>
          </w:p>
        </w:tc>
        <w:tc>
          <w:tcPr>
            <w:tcW w:type="dxa" w:w="2762"/>
            <w:vAlign w:val="top"/>
            <w:shd w:fill="F5F8FC"/>
          </w:tcPr>
          <w:p>
            <w:pPr>
              <w:pStyle w:val="Compact"/>
              <w:spacing w:before="40" w:after="60" w:line="247" w:lineRule="auto"/>
              <w:jc w:val="left"/>
            </w:pPr>
            <w:r>
              <w:rPr>
                <w:sz w:val="18"/>
              </w:rPr>
              <w:t xml:space="preserve">Define CSP e demais políticas HTTP; prepara o tratamento de cookies.</w:t>
            </w:r>
          </w:p>
        </w:tc>
        <w:tc>
          <w:tcPr>
            <w:tcW w:type="dxa" w:w="2572"/>
            <w:vAlign w:val="top"/>
            <w:shd w:fill="F5F8FC"/>
          </w:tcPr>
          <w:p>
            <w:pPr>
              <w:pStyle w:val="Compact"/>
              <w:spacing w:before="40" w:after="60" w:line="247" w:lineRule="auto"/>
              <w:jc w:val="left"/>
            </w:pPr>
            <w:r>
              <w:rPr>
                <w:sz w:val="18"/>
              </w:rPr>
              <w:t xml:space="preserve">Respostas que percorrem o Express.</w:t>
            </w:r>
          </w:p>
        </w:tc>
      </w:tr>
      <w:tr>
        <w:trPr>
          <w:cantSplit/>
        </w:trPr>
        <w:tc>
          <w:tcPr>
            <w:tcW w:type="dxa" w:w="1714"/>
            <w:vAlign w:val="top"/>
            <w:shd w:fill="FFFFFF"/>
          </w:tcPr>
          <w:p>
            <w:pPr>
              <w:pStyle w:val="Compact"/>
              <w:spacing w:before="40" w:after="60" w:line="247" w:lineRule="auto"/>
              <w:jc w:val="left"/>
            </w:pPr>
            <w:r>
              <w:rPr>
                <w:sz w:val="18"/>
              </w:rPr>
              <w:t xml:space="preserve">3</w:t>
            </w:r>
          </w:p>
        </w:tc>
        <w:tc>
          <w:tcPr>
            <w:tcW w:type="dxa" w:w="2476"/>
            <w:vAlign w:val="top"/>
            <w:shd w:fill="FFFFFF"/>
          </w:tcPr>
          <w:p>
            <w:pPr>
              <w:pStyle w:val="Compact"/>
              <w:spacing w:before="40" w:after="60" w:line="247" w:lineRule="auto"/>
              <w:jc w:val="left"/>
            </w:pPr>
            <w:r>
              <w:rPr>
                <w:sz w:val="18"/>
              </w:rPr>
              <w:t xml:space="preserve">Parser e erro de JSON</w:t>
            </w:r>
          </w:p>
        </w:tc>
        <w:tc>
          <w:tcPr>
            <w:tcW w:type="dxa" w:w="2762"/>
            <w:vAlign w:val="top"/>
            <w:shd w:fill="FFFFFF"/>
          </w:tcPr>
          <w:p>
            <w:pPr>
              <w:pStyle w:val="Compact"/>
              <w:spacing w:before="40" w:after="60" w:line="247" w:lineRule="auto"/>
              <w:jc w:val="left"/>
            </w:pPr>
            <w:r>
              <w:rPr>
                <w:sz w:val="18"/>
              </w:rPr>
              <w:t xml:space="preserve">Interpreta o corpo e limita seu tamanho.</w:t>
            </w:r>
          </w:p>
        </w:tc>
        <w:tc>
          <w:tcPr>
            <w:tcW w:type="dxa" w:w="2572"/>
            <w:vAlign w:val="top"/>
            <w:shd w:fill="FFFFFF"/>
          </w:tcPr>
          <w:p>
            <w:pPr>
              <w:pStyle w:val="Compact"/>
              <w:spacing w:before="40" w:after="60" w:line="247" w:lineRule="auto"/>
              <w:jc w:val="left"/>
            </w:pPr>
            <w:r>
              <w:rPr>
                <w:sz w:val="18"/>
              </w:rPr>
              <w:t xml:space="preserve">Requisições com corpo JSON reconhecido pelo parser.</w:t>
            </w:r>
          </w:p>
        </w:tc>
      </w:tr>
      <w:tr>
        <w:trPr>
          <w:cantSplit/>
        </w:trPr>
        <w:tc>
          <w:tcPr>
            <w:tcW w:type="dxa" w:w="1714"/>
            <w:vAlign w:val="top"/>
            <w:shd w:fill="F5F8FC"/>
          </w:tcPr>
          <w:p>
            <w:pPr>
              <w:pStyle w:val="Compact"/>
              <w:spacing w:before="40" w:after="60" w:line="247" w:lineRule="auto"/>
              <w:jc w:val="left"/>
            </w:pPr>
            <w:r>
              <w:rPr>
                <w:sz w:val="18"/>
              </w:rPr>
              <w:t xml:space="preserve">4</w:t>
            </w:r>
          </w:p>
        </w:tc>
        <w:tc>
          <w:tcPr>
            <w:tcW w:type="dxa" w:w="2476"/>
            <w:vAlign w:val="top"/>
            <w:shd w:fill="F5F8FC"/>
          </w:tcPr>
          <w:p>
            <w:pPr>
              <w:pStyle w:val="Compact"/>
              <w:spacing w:before="40" w:after="60" w:line="247" w:lineRule="auto"/>
              <w:jc w:val="left"/>
            </w:pPr>
            <w:r>
              <w:rPr>
                <w:sz w:val="18"/>
              </w:rPr>
              <w:t xml:space="preserve">Rotas explícitas</w:t>
            </w:r>
          </w:p>
        </w:tc>
        <w:tc>
          <w:tcPr>
            <w:tcW w:type="dxa" w:w="2762"/>
            <w:vAlign w:val="top"/>
            <w:shd w:fill="F5F8FC"/>
          </w:tcPr>
          <w:p>
            <w:pPr>
              <w:pStyle w:val="Compact"/>
              <w:spacing w:before="40" w:after="60" w:line="247" w:lineRule="auto"/>
              <w:jc w:val="left"/>
            </w:pPr>
            <w:r>
              <w:rPr>
                <w:sz w:val="18"/>
              </w:rPr>
              <w:t xml:space="preserve">Entrega manifestos, ponte VLibras e recebe o formulário.</w:t>
            </w:r>
          </w:p>
        </w:tc>
        <w:tc>
          <w:tcPr>
            <w:tcW w:type="dxa" w:w="2572"/>
            <w:vAlign w:val="top"/>
            <w:shd w:fill="F5F8FC"/>
          </w:tcPr>
          <w:p>
            <w:pPr>
              <w:pStyle w:val="Compact"/>
              <w:spacing w:before="40" w:after="60" w:line="247" w:lineRule="auto"/>
              <w:jc w:val="left"/>
            </w:pPr>
            <w:r>
              <w:rPr>
                <w:sz w:val="18"/>
              </w:rPr>
              <w:t xml:space="preserve">Caminhos declarados.</w:t>
            </w:r>
          </w:p>
        </w:tc>
      </w:tr>
      <w:tr>
        <w:trPr>
          <w:cantSplit/>
        </w:trPr>
        <w:tc>
          <w:tcPr>
            <w:tcW w:type="dxa" w:w="1714"/>
            <w:vAlign w:val="top"/>
            <w:shd w:fill="FFFFFF"/>
          </w:tcPr>
          <w:p>
            <w:pPr>
              <w:pStyle w:val="Compact"/>
              <w:spacing w:before="40" w:after="60" w:line="247" w:lineRule="auto"/>
              <w:jc w:val="left"/>
            </w:pPr>
            <w:r>
              <w:rPr>
                <w:sz w:val="18"/>
              </w:rPr>
              <w:t xml:space="preserve">5</w:t>
            </w:r>
          </w:p>
        </w:tc>
        <w:tc>
          <w:tcPr>
            <w:tcW w:type="dxa" w:w="2476"/>
            <w:vAlign w:val="top"/>
            <w:shd w:fill="FFFFFF"/>
          </w:tcPr>
          <w:p>
            <w:pPr>
              <w:pStyle w:val="Compact"/>
              <w:spacing w:before="40" w:after="60" w:line="247" w:lineRule="auto"/>
              <w:jc w:val="left"/>
            </w:pPr>
            <w:r>
              <w:rPr>
                <w:sz w:val="18"/>
              </w:rPr>
              <w:t xml:space="preserve">Distribuição por ambiente</w:t>
            </w:r>
          </w:p>
        </w:tc>
        <w:tc>
          <w:tcPr>
            <w:tcW w:type="dxa" w:w="2762"/>
            <w:vAlign w:val="top"/>
            <w:shd w:fill="FFFFFF"/>
          </w:tcPr>
          <w:p>
            <w:pPr>
              <w:pStyle w:val="Compact"/>
              <w:spacing w:before="40" w:after="60" w:line="247" w:lineRule="auto"/>
              <w:jc w:val="left"/>
            </w:pPr>
            <w:r>
              <w:rPr>
                <w:sz w:val="18"/>
              </w:rPr>
              <w:t xml:space="preserve">Entrega</w:t>
            </w:r>
            <w:r>
              <w:rPr>
                <w:sz w:val="18"/>
              </w:rPr>
              <w:t xml:space="preserve"> </w:t>
            </w:r>
            <w:r>
              <w:rPr>
                <w:rStyle w:val="VerbatimChar"/>
                <w:sz w:val="17"/>
              </w:rPr>
              <w:t xml:space="preserve">dist</w:t>
            </w:r>
            <w:r>
              <w:rPr>
                <w:sz w:val="18"/>
              </w:rPr>
              <w:t xml:space="preserve"> </w:t>
            </w:r>
            <w:r>
              <w:rPr>
                <w:sz w:val="18"/>
              </w:rPr>
              <w:t xml:space="preserve">em produção ou incorpora Vite no desenvolvimento.</w:t>
            </w:r>
          </w:p>
        </w:tc>
        <w:tc>
          <w:tcPr>
            <w:tcW w:type="dxa" w:w="2572"/>
            <w:vAlign w:val="top"/>
            <w:shd w:fill="FFFFFF"/>
          </w:tcPr>
          <w:p>
            <w:pPr>
              <w:pStyle w:val="Compact"/>
              <w:spacing w:before="40" w:after="60" w:line="247" w:lineRule="auto"/>
              <w:jc w:val="left"/>
            </w:pPr>
            <w:r>
              <w:rPr>
                <w:sz w:val="18"/>
              </w:rPr>
              <w:t xml:space="preserve">Recursos e navegação da SPA.</w:t>
            </w:r>
          </w:p>
        </w:tc>
      </w:tr>
      <w:tr>
        <w:trPr>
          <w:cantSplit/>
        </w:trPr>
        <w:tc>
          <w:tcPr>
            <w:tcW w:type="dxa" w:w="1714"/>
            <w:vAlign w:val="top"/>
            <w:shd w:fill="F5F8FC"/>
          </w:tcPr>
          <w:p>
            <w:pPr>
              <w:pStyle w:val="Compact"/>
              <w:spacing w:before="40" w:after="60" w:line="247" w:lineRule="auto"/>
              <w:jc w:val="left"/>
            </w:pPr>
            <w:r>
              <w:rPr>
                <w:sz w:val="18"/>
              </w:rPr>
              <w:t xml:space="preserve">6</w:t>
            </w:r>
          </w:p>
        </w:tc>
        <w:tc>
          <w:tcPr>
            <w:tcW w:type="dxa" w:w="2476"/>
            <w:vAlign w:val="top"/>
            <w:shd w:fill="F5F8FC"/>
          </w:tcPr>
          <w:p>
            <w:pPr>
              <w:pStyle w:val="Compact"/>
              <w:spacing w:before="40" w:after="60" w:line="247" w:lineRule="auto"/>
              <w:jc w:val="left"/>
            </w:pPr>
            <w:r>
              <w:rPr>
                <w:sz w:val="18"/>
              </w:rPr>
              <w:t xml:space="preserve">Tratamento final</w:t>
            </w:r>
          </w:p>
        </w:tc>
        <w:tc>
          <w:tcPr>
            <w:tcW w:type="dxa" w:w="2762"/>
            <w:vAlign w:val="top"/>
            <w:shd w:fill="F5F8FC"/>
          </w:tcPr>
          <w:p>
            <w:pPr>
              <w:pStyle w:val="Compact"/>
              <w:spacing w:before="40" w:after="60" w:line="247" w:lineRule="auto"/>
              <w:jc w:val="left"/>
            </w:pPr>
            <w:r>
              <w:rPr>
                <w:sz w:val="18"/>
              </w:rPr>
              <w:t xml:space="preserve">Sanitiza o diagnóstico interno e devolve erro genérico.</w:t>
            </w:r>
          </w:p>
        </w:tc>
        <w:tc>
          <w:tcPr>
            <w:tcW w:type="dxa" w:w="2572"/>
            <w:vAlign w:val="top"/>
            <w:shd w:fill="F5F8FC"/>
          </w:tcPr>
          <w:p>
            <w:pPr>
              <w:pStyle w:val="Compact"/>
              <w:spacing w:before="40" w:after="60" w:line="247" w:lineRule="auto"/>
              <w:jc w:val="left"/>
            </w:pPr>
            <w:r>
              <w:rPr>
                <w:sz w:val="18"/>
              </w:rPr>
              <w:t xml:space="preserve">Erros encaminhados após a configuração do servidor.</w:t>
            </w:r>
          </w:p>
        </w:tc>
      </w:tr>
    </w:tbl>
    <w:p>
      <w:pPr>
        <w:pStyle w:val="BodyText"/>
      </w:pPr>
      <w:r>
        <w:t xml:space="preserve">O limite de frequência é específico do</w:t>
      </w:r>
      <w:r>
        <w:t xml:space="preserve"> </w:t>
      </w:r>
      <w:r>
        <w:rPr>
          <w:rStyle w:val="VerbatimChar"/>
        </w:rPr>
        <w:t xml:space="preserve">POST /api/registrar-interesse</w:t>
      </w:r>
      <w:r>
        <w:t xml:space="preserve">.</w:t>
      </w:r>
      <w:r>
        <w:t xml:space="preserve"> </w:t>
      </w:r>
      <w:r>
        <w:rPr>
          <w:rStyle w:val="VerbatimChar"/>
        </w:rPr>
        <w:t xml:space="preserve">rateLimiter</w:t>
      </w:r>
      <w:r>
        <w:t xml:space="preserve"> </w:t>
      </w:r>
      <w:r>
        <w:t xml:space="preserve">utiliza</w:t>
      </w:r>
      <w:r>
        <w:t xml:space="preserve"> </w:t>
      </w:r>
      <w:r>
        <w:rPr>
          <w:rStyle w:val="VerbatimChar"/>
        </w:rPr>
        <w:t xml:space="preserve">req.ip</w:t>
      </w:r>
      <w:r>
        <w:t xml:space="preserve">, depois o endereço do socket e, em último caso, a identificação</w:t>
      </w:r>
      <w:r>
        <w:t xml:space="preserve"> </w:t>
      </w:r>
      <w:r>
        <w:rPr>
          <w:rStyle w:val="VerbatimChar"/>
        </w:rPr>
        <w:t xml:space="preserve">unknown</w:t>
      </w:r>
      <w:r>
        <w:t xml:space="preserve">. A janela começa com a primeira requisição aceita para aquele IP e dura 60.000 ms. São permitidas dez requisições; a tentativa seguinte, dentro da janela, recebe 429. Requisições que passam pelo parser, mas são rejeitadas pelo schema, também consomem essa contagem. JSON malformado e excesso de corpo são tratados antes dela.</w:t>
      </w:r>
    </w:p>
    <w:p>
      <w:pPr>
        <w:pStyle w:val="BodyText"/>
      </w:pPr>
      <w:r>
        <w:t xml:space="preserve">Os contadores ficam em um</w:t>
      </w:r>
      <w:r>
        <w:t xml:space="preserve"> </w:t>
      </w:r>
      <w:r>
        <w:rPr>
          <w:rStyle w:val="VerbatimChar"/>
        </w:rPr>
        <w:t xml:space="preserve">Map</w:t>
      </w:r>
      <w:r>
        <w:t xml:space="preserve"> </w:t>
      </w:r>
      <w:r>
        <w:t xml:space="preserve">no processo, sem persistência ou compartilhamento entre instâncias. Ao atingir 5.000 entradas, a implementação remove janelas expiradas. Se ainda estiver cheia, poda as entradas mais antigas na ordem do mapa, buscando conservar aproximadamente 1.000, com preservação do IP corrente. A identificação pelo proxy depende do encaminhamento realizado pela infraestrutura;</w:t>
      </w:r>
      <w:r>
        <w:t xml:space="preserve"> </w:t>
      </w:r>
      <w:r>
        <w:rPr>
          <w:rStyle w:val="VerbatimChar"/>
        </w:rPr>
        <w:t xml:space="preserve">trust proxy=1</w:t>
      </w:r>
      <w:r>
        <w:t xml:space="preserve"> </w:t>
      </w:r>
      <w:r>
        <w:t xml:space="preserve">é a configuração versionada, não uma descrição comprovada de todos os ingressos de produção.</w:t>
      </w:r>
    </w:p>
    <w:bookmarkEnd w:id="55"/>
    <w:bookmarkStart w:id="56" w:name="rotas-e-entrega-dos-recursos"/>
    <w:p>
      <w:pPr>
        <w:pStyle w:val="Heading2"/>
      </w:pPr>
      <w:bookmarkStart w:id="20027" w:name="docsec_028"/>
      <w:r>
        <w:t xml:space="preserve">Rotas e entrega dos recursos</w:t>
      </w:r>
      <w:bookmarkEnd w:id="20027"/>
    </w:p>
    <w:p>
      <w:pPr>
        <w:pStyle w:val="FirstParagraph"/>
      </w:pPr>
      <w:r>
        <w:t xml:space="preserve">O formulário é público e não exige uma conta do visitante. A API aceita exclusivamente uma manifestação validada e não expõe leitura de leads, consulta de contatos, edição de status, exclusão ou decifragem. O acesso ao banco é executado com a identidade do backend. Não existe fluxo de login ou autorização por perfil associado a esse endpoint.</w:t>
      </w:r>
    </w:p>
    <w:p>
      <w:pPr>
        <w:pStyle w:val="TableCaption"/>
        <w:keepNext/>
      </w:pPr>
      <w:r>
        <w:t xml:space="preserve">Tabela </w:t>
      </w:r>
      <w:r>
        <w:rPr>
          <w:rFonts w:ascii="Open Sans" w:hAnsi="Open Sans"/>
          <w:sz w:val="18"/>
        </w:rPr>
        <w:fldChar w:fldCharType="begin"/>
        <w:instrText xml:space="preserve"> SEQ Tabela </w:instrText>
        <w:fldChar w:fldCharType="separate"/>
        <w:t>12</w:t>
        <w:fldChar w:fldCharType="end"/>
      </w:r>
      <w:r>
        <w:t xml:space="preserve"> — Contratos de roteamento do servidor.</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Método e caminho</w:t>
            </w:r>
          </w:p>
        </w:tc>
        <w:tc>
          <w:tcPr>
            <w:tcW w:type="dxa" w:w="2476"/>
            <w:vAlign w:val="top"/>
            <w:shd w:fill="233B82"/>
          </w:tcPr>
          <w:p>
            <w:pPr>
              <w:pStyle w:val="Compact"/>
              <w:spacing w:before="40" w:after="60" w:line="247" w:lineRule="auto"/>
              <w:jc w:val="left"/>
            </w:pPr>
            <w:r>
              <w:rPr>
                <w:b/>
                <w:color w:val="FFFFFF"/>
                <w:sz w:val="18"/>
              </w:rPr>
              <w:t xml:space="preserve">Entrada</w:t>
            </w:r>
          </w:p>
        </w:tc>
        <w:tc>
          <w:tcPr>
            <w:tcW w:type="dxa" w:w="2762"/>
            <w:vAlign w:val="top"/>
            <w:shd w:fill="233B82"/>
          </w:tcPr>
          <w:p>
            <w:pPr>
              <w:pStyle w:val="Compact"/>
              <w:spacing w:before="40" w:after="60" w:line="247" w:lineRule="auto"/>
              <w:jc w:val="left"/>
            </w:pPr>
            <w:r>
              <w:rPr>
                <w:b/>
                <w:color w:val="FFFFFF"/>
                <w:sz w:val="18"/>
              </w:rPr>
              <w:t xml:space="preserve">Entrega</w:t>
            </w:r>
          </w:p>
        </w:tc>
        <w:tc>
          <w:tcPr>
            <w:tcW w:type="dxa" w:w="2572"/>
            <w:vAlign w:val="top"/>
            <w:shd w:fill="233B82"/>
          </w:tcPr>
          <w:p>
            <w:pPr>
              <w:pStyle w:val="Compact"/>
              <w:spacing w:before="40" w:after="60" w:line="247" w:lineRule="auto"/>
              <w:jc w:val="left"/>
            </w:pPr>
            <w:r>
              <w:rPr>
                <w:b/>
                <w:color w:val="FFFFFF"/>
                <w:sz w:val="18"/>
              </w:rPr>
              <w:t xml:space="preserve">Condição</w:t>
            </w:r>
          </w:p>
        </w:tc>
      </w:tr>
      <w:tr>
        <w:trPr>
          <w:cantSplit/>
        </w:trPr>
        <w:tc>
          <w:tcPr>
            <w:tcW w:type="dxa" w:w="1714"/>
            <w:vAlign w:val="top"/>
            <w:shd w:fill="FFFFFF"/>
          </w:tcPr>
          <w:p>
            <w:pPr>
              <w:pStyle w:val="Compact"/>
              <w:spacing w:before="40" w:after="60" w:line="247" w:lineRule="auto"/>
              <w:jc w:val="left"/>
            </w:pPr>
            <w:r>
              <w:rPr>
                <w:rStyle w:val="VerbatimChar"/>
                <w:sz w:val="17"/>
              </w:rPr>
              <w:t xml:space="preserve">POST /api/registrar-interesse</w:t>
            </w:r>
          </w:p>
        </w:tc>
        <w:tc>
          <w:tcPr>
            <w:tcW w:type="dxa" w:w="2476"/>
            <w:vAlign w:val="top"/>
            <w:shd w:fill="FFFFFF"/>
          </w:tcPr>
          <w:p>
            <w:pPr>
              <w:pStyle w:val="Compact"/>
              <w:spacing w:before="40" w:after="60" w:line="247" w:lineRule="auto"/>
              <w:jc w:val="left"/>
            </w:pPr>
            <w:r>
              <w:rPr>
                <w:sz w:val="18"/>
              </w:rPr>
              <w:t xml:space="preserve">JSON com os nove campos do contrato.</w:t>
            </w:r>
          </w:p>
        </w:tc>
        <w:tc>
          <w:tcPr>
            <w:tcW w:type="dxa" w:w="2762"/>
            <w:vAlign w:val="top"/>
            <w:shd w:fill="FFFFFF"/>
          </w:tcPr>
          <w:p>
            <w:pPr>
              <w:pStyle w:val="Compact"/>
              <w:spacing w:before="40" w:after="60" w:line="247" w:lineRule="auto"/>
              <w:jc w:val="left"/>
            </w:pPr>
            <w:r>
              <w:rPr>
                <w:sz w:val="18"/>
              </w:rPr>
              <w:t xml:space="preserve">JSON de sucesso ou erro.</w:t>
            </w:r>
          </w:p>
        </w:tc>
        <w:tc>
          <w:tcPr>
            <w:tcW w:type="dxa" w:w="2572"/>
            <w:vAlign w:val="top"/>
            <w:shd w:fill="FFFFFF"/>
          </w:tcPr>
          <w:p>
            <w:pPr>
              <w:pStyle w:val="Compact"/>
              <w:spacing w:before="40" w:after="60" w:line="247" w:lineRule="auto"/>
              <w:jc w:val="left"/>
            </w:pPr>
            <w:r>
              <w:rPr>
                <w:sz w:val="18"/>
              </w:rPr>
              <w:t xml:space="preserve">Limite de frequência e validação server-side.</w:t>
            </w:r>
          </w:p>
        </w:tc>
      </w:tr>
      <w:tr>
        <w:trPr>
          <w:cantSplit/>
        </w:trPr>
        <w:tc>
          <w:tcPr>
            <w:tcW w:type="dxa" w:w="1714"/>
            <w:vAlign w:val="top"/>
            <w:shd w:fill="F5F8FC"/>
          </w:tcPr>
          <w:p>
            <w:pPr>
              <w:pStyle w:val="Compact"/>
              <w:spacing w:before="40" w:after="60" w:line="247" w:lineRule="auto"/>
              <w:jc w:val="left"/>
            </w:pPr>
            <w:r>
              <w:rPr>
                <w:rStyle w:val="VerbatimChar"/>
                <w:sz w:val="17"/>
              </w:rPr>
              <w:t xml:space="preserve">GET /api/vlibras-unity</w:t>
            </w:r>
          </w:p>
        </w:tc>
        <w:tc>
          <w:tcPr>
            <w:tcW w:type="dxa" w:w="2476"/>
            <w:vAlign w:val="top"/>
            <w:shd w:fill="F5F8FC"/>
          </w:tcPr>
          <w:p>
            <w:pPr>
              <w:pStyle w:val="Compact"/>
              <w:spacing w:before="40" w:after="60" w:line="247" w:lineRule="auto"/>
              <w:jc w:val="left"/>
            </w:pPr>
            <w:r>
              <w:rPr>
                <w:sz w:val="18"/>
              </w:rPr>
              <w:t xml:space="preserve">Sem corpo contratual.</w:t>
            </w:r>
          </w:p>
        </w:tc>
        <w:tc>
          <w:tcPr>
            <w:tcW w:type="dxa" w:w="2762"/>
            <w:vAlign w:val="top"/>
            <w:shd w:fill="F5F8FC"/>
          </w:tcPr>
          <w:p>
            <w:pPr>
              <w:pStyle w:val="Compact"/>
              <w:spacing w:before="40" w:after="60" w:line="247" w:lineRule="auto"/>
              <w:jc w:val="left"/>
            </w:pPr>
            <w:r>
              <w:rPr>
                <w:sz w:val="18"/>
              </w:rPr>
              <w:t xml:space="preserve">HTML da ponte Unity, status 200.</w:t>
            </w:r>
          </w:p>
        </w:tc>
        <w:tc>
          <w:tcPr>
            <w:tcW w:type="dxa" w:w="2572"/>
            <w:vAlign w:val="top"/>
            <w:shd w:fill="F5F8FC"/>
          </w:tcPr>
          <w:p>
            <w:pPr>
              <w:pStyle w:val="Compact"/>
              <w:spacing w:before="40" w:after="60" w:line="247" w:lineRule="auto"/>
              <w:jc w:val="left"/>
            </w:pPr>
            <w:r>
              <w:rPr>
                <w:sz w:val="18"/>
              </w:rPr>
              <w:t xml:space="preserve">CSP específica para a integração.</w:t>
            </w:r>
          </w:p>
        </w:tc>
      </w:tr>
      <w:tr>
        <w:trPr>
          <w:cantSplit/>
        </w:trPr>
        <w:tc>
          <w:tcPr>
            <w:tcW w:type="dxa" w:w="1714"/>
            <w:vAlign w:val="top"/>
            <w:shd w:fill="FFFFFF"/>
          </w:tcPr>
          <w:p>
            <w:pPr>
              <w:pStyle w:val="Compact"/>
              <w:spacing w:before="40" w:after="60" w:line="247" w:lineRule="auto"/>
              <w:jc w:val="left"/>
            </w:pPr>
            <w:r>
              <w:rPr>
                <w:rStyle w:val="VerbatimChar"/>
                <w:sz w:val="17"/>
              </w:rPr>
              <w:t xml:space="preserve">GET /.well-known/:file</w:t>
            </w:r>
          </w:p>
        </w:tc>
        <w:tc>
          <w:tcPr>
            <w:tcW w:type="dxa" w:w="2476"/>
            <w:vAlign w:val="top"/>
            <w:shd w:fill="FFFFFF"/>
          </w:tcPr>
          <w:p>
            <w:pPr>
              <w:pStyle w:val="Compact"/>
              <w:spacing w:before="40" w:after="60" w:line="247" w:lineRule="auto"/>
              <w:jc w:val="left"/>
            </w:pPr>
            <w:r>
              <w:rPr>
                <w:sz w:val="18"/>
              </w:rPr>
              <w:t xml:space="preserve">Nome de arquivo no caminho.</w:t>
            </w:r>
          </w:p>
        </w:tc>
        <w:tc>
          <w:tcPr>
            <w:tcW w:type="dxa" w:w="2762"/>
            <w:vAlign w:val="top"/>
            <w:shd w:fill="FFFFFF"/>
          </w:tcPr>
          <w:p>
            <w:pPr>
              <w:pStyle w:val="Compact"/>
              <w:spacing w:before="40" w:after="60" w:line="247" w:lineRule="auto"/>
              <w:jc w:val="left"/>
            </w:pPr>
            <w:r>
              <w:rPr>
                <w:sz w:val="18"/>
              </w:rPr>
              <w:t xml:space="preserve">Arquivo existente como JSON; inexistente recebe 404.</w:t>
            </w:r>
          </w:p>
        </w:tc>
        <w:tc>
          <w:tcPr>
            <w:tcW w:type="dxa" w:w="2572"/>
            <w:vAlign w:val="top"/>
            <w:shd w:fill="FFFFFF"/>
          </w:tcPr>
          <w:p>
            <w:pPr>
              <w:pStyle w:val="Compact"/>
              <w:spacing w:before="40" w:after="60" w:line="247" w:lineRule="auto"/>
              <w:jc w:val="left"/>
            </w:pPr>
            <w:r>
              <w:rPr>
                <w:sz w:val="18"/>
              </w:rPr>
              <w:t xml:space="preserve">Busca em</w:t>
            </w:r>
            <w:r>
              <w:rPr>
                <w:sz w:val="18"/>
              </w:rPr>
              <w:t xml:space="preserve"> </w:t>
            </w:r>
            <w:r>
              <w:rPr>
                <w:rStyle w:val="VerbatimChar"/>
                <w:sz w:val="17"/>
              </w:rPr>
              <w:t xml:space="preserve">public/.well-known</w:t>
            </w:r>
            <w:r>
              <w:rPr>
                <w:sz w:val="18"/>
              </w:rPr>
              <w:t xml:space="preserve">.</w:t>
            </w:r>
          </w:p>
        </w:tc>
      </w:tr>
      <w:tr>
        <w:trPr>
          <w:cantSplit/>
        </w:trPr>
        <w:tc>
          <w:tcPr>
            <w:tcW w:type="dxa" w:w="1714"/>
            <w:vAlign w:val="top"/>
            <w:shd w:fill="F5F8FC"/>
          </w:tcPr>
          <w:p>
            <w:pPr>
              <w:pStyle w:val="Compact"/>
              <w:spacing w:before="40" w:after="60" w:line="247" w:lineRule="auto"/>
              <w:jc w:val="left"/>
            </w:pPr>
            <w:r>
              <w:rPr>
                <w:sz w:val="18"/>
              </w:rPr>
              <w:t xml:space="preserve">Recursos existentes em</w:t>
            </w:r>
            <w:r>
              <w:rPr>
                <w:sz w:val="18"/>
              </w:rPr>
              <w:t xml:space="preserve"> </w:t>
            </w:r>
            <w:r>
              <w:rPr>
                <w:rStyle w:val="VerbatimChar"/>
                <w:sz w:val="17"/>
              </w:rPr>
              <w:t xml:space="preserve">dist</w:t>
            </w:r>
          </w:p>
        </w:tc>
        <w:tc>
          <w:tcPr>
            <w:tcW w:type="dxa" w:w="2476"/>
            <w:vAlign w:val="top"/>
            <w:shd w:fill="F5F8FC"/>
          </w:tcPr>
          <w:p>
            <w:pPr>
              <w:pStyle w:val="Compact"/>
              <w:spacing w:before="40" w:after="60" w:line="247" w:lineRule="auto"/>
              <w:jc w:val="left"/>
            </w:pPr>
            <w:r>
              <w:rPr>
                <w:sz w:val="18"/>
              </w:rPr>
              <w:t xml:space="preserve">Caminho estático.</w:t>
            </w:r>
          </w:p>
        </w:tc>
        <w:tc>
          <w:tcPr>
            <w:tcW w:type="dxa" w:w="2762"/>
            <w:vAlign w:val="top"/>
            <w:shd w:fill="F5F8FC"/>
          </w:tcPr>
          <w:p>
            <w:pPr>
              <w:pStyle w:val="Compact"/>
              <w:spacing w:before="40" w:after="60" w:line="247" w:lineRule="auto"/>
              <w:jc w:val="left"/>
            </w:pPr>
            <w:r>
              <w:rPr>
                <w:sz w:val="18"/>
              </w:rPr>
              <w:t xml:space="preserve">Arquivo do build.</w:t>
            </w:r>
          </w:p>
        </w:tc>
        <w:tc>
          <w:tcPr>
            <w:tcW w:type="dxa" w:w="2572"/>
            <w:vAlign w:val="top"/>
            <w:shd w:fill="F5F8FC"/>
          </w:tcPr>
          <w:p>
            <w:pPr>
              <w:pStyle w:val="Compact"/>
              <w:spacing w:before="40" w:after="60" w:line="247" w:lineRule="auto"/>
              <w:jc w:val="left"/>
            </w:pPr>
            <w:r>
              <w:rPr>
                <w:sz w:val="18"/>
              </w:rPr>
              <w:t xml:space="preserve">Modo de produção.</w:t>
            </w:r>
          </w:p>
        </w:tc>
      </w:tr>
      <w:tr>
        <w:trPr>
          <w:cantSplit/>
        </w:trPr>
        <w:tc>
          <w:tcPr>
            <w:tcW w:type="dxa" w:w="1714"/>
            <w:vAlign w:val="top"/>
            <w:shd w:fill="FFFFFF"/>
          </w:tcPr>
          <w:p>
            <w:pPr>
              <w:pStyle w:val="Compact"/>
              <w:spacing w:before="40" w:after="60" w:line="247" w:lineRule="auto"/>
              <w:jc w:val="left"/>
            </w:pPr>
            <w:r>
              <w:rPr>
                <w:sz w:val="18"/>
              </w:rPr>
              <w:t xml:space="preserve">Caminho reservado inexistente</w:t>
            </w:r>
          </w:p>
        </w:tc>
        <w:tc>
          <w:tcPr>
            <w:tcW w:type="dxa" w:w="2476"/>
            <w:vAlign w:val="top"/>
            <w:shd w:fill="FFFFFF"/>
          </w:tcPr>
          <w:p>
            <w:pPr>
              <w:pStyle w:val="Compact"/>
              <w:spacing w:before="40" w:after="60" w:line="247" w:lineRule="auto"/>
              <w:jc w:val="left"/>
            </w:pPr>
            <w:r>
              <w:rPr>
                <w:sz w:val="18"/>
              </w:rPr>
              <w:t xml:space="preserve">Prefixo</w:t>
            </w:r>
            <w:r>
              <w:rPr>
                <w:sz w:val="18"/>
              </w:rPr>
              <w:t xml:space="preserve"> </w:t>
            </w:r>
            <w:r>
              <w:rPr>
                <w:rStyle w:val="VerbatimChar"/>
                <w:sz w:val="17"/>
              </w:rPr>
              <w:t xml:space="preserve">/api/</w:t>
            </w:r>
            <w:r>
              <w:rPr>
                <w:sz w:val="18"/>
              </w:rPr>
              <w:t xml:space="preserve">,</w:t>
            </w:r>
            <w:r>
              <w:rPr>
                <w:sz w:val="18"/>
              </w:rPr>
              <w:t xml:space="preserve"> </w:t>
            </w:r>
            <w:r>
              <w:rPr>
                <w:rStyle w:val="VerbatimChar"/>
                <w:sz w:val="17"/>
              </w:rPr>
              <w:t xml:space="preserve">/.well-known/</w:t>
            </w:r>
            <w:r>
              <w:rPr>
                <w:sz w:val="18"/>
              </w:rPr>
              <w:t xml:space="preserve"> </w:t>
            </w:r>
            <w:r>
              <w:rPr>
                <w:sz w:val="18"/>
              </w:rPr>
              <w:t xml:space="preserve">ou</w:t>
            </w:r>
            <w:r>
              <w:rPr>
                <w:sz w:val="18"/>
              </w:rPr>
              <w:t xml:space="preserve"> </w:t>
            </w:r>
            <w:r>
              <w:rPr>
                <w:rStyle w:val="VerbatimChar"/>
                <w:sz w:val="17"/>
              </w:rPr>
              <w:t xml:space="preserve">/assets/</w:t>
            </w:r>
            <w:r>
              <w:rPr>
                <w:sz w:val="18"/>
              </w:rPr>
              <w:t xml:space="preserve">.</w:t>
            </w:r>
          </w:p>
        </w:tc>
        <w:tc>
          <w:tcPr>
            <w:tcW w:type="dxa" w:w="2762"/>
            <w:vAlign w:val="top"/>
            <w:shd w:fill="FFFFFF"/>
          </w:tcPr>
          <w:p>
            <w:pPr>
              <w:pStyle w:val="Compact"/>
              <w:spacing w:before="40" w:after="60" w:line="247" w:lineRule="auto"/>
              <w:jc w:val="left"/>
            </w:pPr>
            <w:r>
              <w:rPr>
                <w:sz w:val="18"/>
              </w:rPr>
              <w:t xml:space="preserve">404 em JSON.</w:t>
            </w:r>
          </w:p>
        </w:tc>
        <w:tc>
          <w:tcPr>
            <w:tcW w:type="dxa" w:w="2572"/>
            <w:vAlign w:val="top"/>
            <w:shd w:fill="FFFFFF"/>
          </w:tcPr>
          <w:p>
            <w:pPr>
              <w:pStyle w:val="Compact"/>
              <w:spacing w:before="40" w:after="60" w:line="247" w:lineRule="auto"/>
              <w:jc w:val="left"/>
            </w:pPr>
            <w:r>
              <w:rPr>
                <w:sz w:val="18"/>
              </w:rPr>
              <w:t xml:space="preserve">Após as rotas e arquivos reconhecidos.</w:t>
            </w:r>
          </w:p>
        </w:tc>
      </w:tr>
      <w:tr>
        <w:trPr>
          <w:cantSplit/>
        </w:trPr>
        <w:tc>
          <w:tcPr>
            <w:tcW w:type="dxa" w:w="1714"/>
            <w:vAlign w:val="top"/>
            <w:shd w:fill="F5F8FC"/>
          </w:tcPr>
          <w:p>
            <w:pPr>
              <w:pStyle w:val="Compact"/>
              <w:spacing w:before="40" w:after="60" w:line="247" w:lineRule="auto"/>
              <w:jc w:val="left"/>
            </w:pPr>
            <w:r>
              <w:rPr>
                <w:sz w:val="18"/>
              </w:rPr>
              <w:t xml:space="preserve">Demais caminhos</w:t>
            </w:r>
          </w:p>
        </w:tc>
        <w:tc>
          <w:tcPr>
            <w:tcW w:type="dxa" w:w="2476"/>
            <w:vAlign w:val="top"/>
            <w:shd w:fill="F5F8FC"/>
          </w:tcPr>
          <w:p>
            <w:pPr>
              <w:pStyle w:val="Compact"/>
              <w:spacing w:before="40" w:after="60" w:line="247" w:lineRule="auto"/>
              <w:jc w:val="left"/>
            </w:pPr>
            <w:r>
              <w:rPr>
                <w:sz w:val="18"/>
              </w:rPr>
              <w:t xml:space="preserve">Caminho da navegação.</w:t>
            </w:r>
          </w:p>
        </w:tc>
        <w:tc>
          <w:tcPr>
            <w:tcW w:type="dxa" w:w="2762"/>
            <w:vAlign w:val="top"/>
            <w:shd w:fill="F5F8FC"/>
          </w:tcPr>
          <w:p>
            <w:pPr>
              <w:pStyle w:val="Compact"/>
              <w:spacing w:before="40" w:after="60" w:line="247" w:lineRule="auto"/>
              <w:jc w:val="left"/>
            </w:pPr>
            <w:r>
              <w:rPr>
                <w:rStyle w:val="VerbatimChar"/>
                <w:sz w:val="17"/>
              </w:rPr>
              <w:t xml:space="preserve">dist/index.html</w:t>
            </w:r>
            <w:r>
              <w:rPr>
                <w:sz w:val="18"/>
              </w:rPr>
              <w:t xml:space="preserve">.</w:t>
            </w:r>
          </w:p>
        </w:tc>
        <w:tc>
          <w:tcPr>
            <w:tcW w:type="dxa" w:w="2572"/>
            <w:vAlign w:val="top"/>
            <w:shd w:fill="F5F8FC"/>
          </w:tcPr>
          <w:p>
            <w:pPr>
              <w:pStyle w:val="Compact"/>
              <w:spacing w:before="40" w:after="60" w:line="247" w:lineRule="auto"/>
              <w:jc w:val="left"/>
            </w:pPr>
            <w:r>
              <w:rPr>
                <w:sz w:val="18"/>
              </w:rPr>
              <w:t xml:space="preserve">Fallback da SPA em produção.</w:t>
            </w:r>
          </w:p>
        </w:tc>
      </w:tr>
    </w:tbl>
    <w:p>
      <w:pPr>
        <w:pStyle w:val="BodyText"/>
      </w:pPr>
      <w:r>
        <w:t xml:space="preserve">O resolvedor de manifestos aplica</w:t>
      </w:r>
      <w:r>
        <w:t xml:space="preserve"> </w:t>
      </w:r>
      <w:r>
        <w:rPr>
          <w:rStyle w:val="VerbatimChar"/>
        </w:rPr>
        <w:t xml:space="preserve">path.basename</w:t>
      </w:r>
      <w:r>
        <w:t xml:space="preserve"> </w:t>
      </w:r>
      <w:r>
        <w:t xml:space="preserve">ao parâmetro e utiliza uma raiz fixa para</w:t>
      </w:r>
      <w:r>
        <w:t xml:space="preserve"> </w:t>
      </w:r>
      <w:r>
        <w:rPr>
          <w:rStyle w:val="VerbatimChar"/>
        </w:rPr>
        <w:t xml:space="preserve">sendFile</w:t>
      </w:r>
      <w:r>
        <w:t xml:space="preserve">. O servidor só entrega, nesse ponto, arquivos encontrados no diretório público correspondente. Em produção,</w:t>
      </w:r>
      <w:r>
        <w:t xml:space="preserve"> </w:t>
      </w:r>
      <w:r>
        <w:rPr>
          <w:rStyle w:val="VerbatimChar"/>
        </w:rPr>
        <w:t xml:space="preserve">express.static</w:t>
      </w:r>
      <w:r>
        <w:t xml:space="preserve"> </w:t>
      </w:r>
      <w:r>
        <w:t xml:space="preserve">ignora arquivos iniciados por ponto. Os manifestos</w:t>
      </w:r>
      <w:r>
        <w:t xml:space="preserve"> </w:t>
      </w:r>
      <w:r>
        <w:rPr>
          <w:rStyle w:val="VerbatimChar"/>
        </w:rPr>
        <w:t xml:space="preserve">.well-known</w:t>
      </w:r>
      <w:r>
        <w:t xml:space="preserve"> </w:t>
      </w:r>
      <w:r>
        <w:t xml:space="preserve">possuem, portanto, uma rota explícita anterior à entrega estática. O fallback preserva a navegação direta para as páginas React e não transforma caminhos reservados ausentes em HTML da aplicação.</w:t>
      </w:r>
    </w:p>
    <w:bookmarkEnd w:id="56"/>
    <w:bookmarkStart w:id="57" w:name="contrato-de-entrada-e-normalização"/>
    <w:p>
      <w:pPr>
        <w:pStyle w:val="Heading2"/>
      </w:pPr>
      <w:bookmarkStart w:id="20028" w:name="docsec_029"/>
      <w:r>
        <w:t xml:space="preserve">Contrato de entrada e normalização</w:t>
      </w:r>
      <w:bookmarkEnd w:id="20028"/>
    </w:p>
    <w:p>
      <w:pPr>
        <w:pStyle w:val="FirstParagraph"/>
      </w:pPr>
      <w:r>
        <w:rPr>
          <w:rStyle w:val="VerbatimChar"/>
        </w:rPr>
        <w:t xml:space="preserve">LeadRegistrationInputSchema</w:t>
      </w:r>
      <w:r>
        <w:t xml:space="preserve"> </w:t>
      </w:r>
      <w:r>
        <w:t xml:space="preserve">exige um objeto estrito. Propriedades adicionais são rejeitadas; o cliente não fornece</w:t>
      </w:r>
      <w:r>
        <w:t xml:space="preserve"> </w:t>
      </w:r>
      <w:r>
        <w:rPr>
          <w:rStyle w:val="VerbatimChar"/>
        </w:rPr>
        <w:t xml:space="preserve">leadId</w:t>
      </w:r>
      <w:r>
        <w:t xml:space="preserve">,</w:t>
      </w:r>
      <w:r>
        <w:t xml:space="preserve"> </w:t>
      </w:r>
      <w:r>
        <w:rPr>
          <w:rStyle w:val="VerbatimChar"/>
        </w:rPr>
        <w:t xml:space="preserve">emailHash</w:t>
      </w:r>
      <w:r>
        <w:t xml:space="preserve">,</w:t>
      </w:r>
      <w:r>
        <w:t xml:space="preserve"> </w:t>
      </w:r>
      <w:r>
        <w:rPr>
          <w:rStyle w:val="VerbatimChar"/>
        </w:rPr>
        <w:t xml:space="preserve">origem</w:t>
      </w:r>
      <w:r>
        <w:t xml:space="preserve">,</w:t>
      </w:r>
      <w:r>
        <w:t xml:space="preserve"> </w:t>
      </w:r>
      <w:r>
        <w:rPr>
          <w:rStyle w:val="VerbatimChar"/>
        </w:rPr>
        <w:t xml:space="preserve">status</w:t>
      </w:r>
      <w:r>
        <w:t xml:space="preserve">, datas ou referências internas. Os nove campos são strings e não sofrem coerção a partir de números ou outros tipos.</w:t>
      </w:r>
      <w:r>
        <w:t xml:space="preserve"> </w:t>
      </w:r>
      <w:r>
        <w:rPr>
          <w:rStyle w:val="VerbatimChar"/>
        </w:rPr>
        <w:t xml:space="preserve">trim</w:t>
      </w:r>
      <w:r>
        <w:t xml:space="preserve"> </w:t>
      </w:r>
      <w:r>
        <w:t xml:space="preserve">elimina espaços nas extremidades; nos campos opcionais, a ausência resulta em string vazia. Valores</w:t>
      </w:r>
      <w:r>
        <w:t xml:space="preserve"> </w:t>
      </w:r>
      <w:r>
        <w:rPr>
          <w:rStyle w:val="VerbatimChar"/>
        </w:rPr>
        <w:t xml:space="preserve">null</w:t>
      </w:r>
      <w:r>
        <w:t xml:space="preserve"> </w:t>
      </w:r>
      <w:r>
        <w:t xml:space="preserve">não equivalem a omissão.</w:t>
      </w:r>
    </w:p>
    <w:p>
      <w:pPr>
        <w:pStyle w:val="TableCaption"/>
        <w:keepNext/>
      </w:pPr>
      <w:r>
        <w:t xml:space="preserve">Tabela </w:t>
      </w:r>
      <w:r>
        <w:rPr>
          <w:rFonts w:ascii="Open Sans" w:hAnsi="Open Sans"/>
          <w:sz w:val="18"/>
        </w:rPr>
        <w:fldChar w:fldCharType="begin"/>
        <w:instrText xml:space="preserve"> SEQ Tabela </w:instrText>
        <w:fldChar w:fldCharType="separate"/>
        <w:t>13</w:t>
        <w:fldChar w:fldCharType="end"/>
      </w:r>
      <w:r>
        <w:t xml:space="preserve"> — Campos obrigatórios da manifestação.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Presença e tipo</w:t>
            </w:r>
          </w:p>
        </w:tc>
        <w:tc>
          <w:tcPr>
            <w:tcW w:type="dxa" w:w="3238"/>
            <w:vAlign w:val="top"/>
            <w:shd w:fill="233B82"/>
          </w:tcPr>
          <w:p>
            <w:pPr>
              <w:pStyle w:val="Compact"/>
              <w:spacing w:before="40" w:after="60" w:line="247" w:lineRule="auto"/>
              <w:jc w:val="left"/>
            </w:pPr>
            <w:r>
              <w:rPr>
                <w:b/>
                <w:color w:val="FFFFFF"/>
                <w:sz w:val="18"/>
              </w:rPr>
              <w:t xml:space="preserve">Transformação</w:t>
            </w:r>
          </w:p>
        </w:tc>
        <w:tc>
          <w:tcPr>
            <w:tcW w:type="dxa" w:w="2953"/>
            <w:vAlign w:val="top"/>
            <w:shd w:fill="233B82"/>
          </w:tcPr>
          <w:p>
            <w:pPr>
              <w:pStyle w:val="Compact"/>
              <w:spacing w:before="40" w:after="60" w:line="247" w:lineRule="auto"/>
              <w:jc w:val="left"/>
            </w:pPr>
            <w:r>
              <w:rPr>
                <w:b/>
                <w:color w:val="FFFFFF"/>
                <w:sz w:val="18"/>
              </w:rPr>
              <w:t xml:space="preserve">Validação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nome</w:t>
            </w:r>
          </w:p>
        </w:tc>
        <w:tc>
          <w:tcPr>
            <w:tcW w:type="dxa" w:w="1429"/>
            <w:vAlign w:val="top"/>
            <w:shd w:fill="FFFFFF"/>
          </w:tcPr>
          <w:p>
            <w:pPr>
              <w:pStyle w:val="Compact"/>
              <w:spacing w:before="40" w:after="60" w:line="247" w:lineRule="auto"/>
              <w:jc w:val="left"/>
            </w:pPr>
            <w:r>
              <w:rPr>
                <w:sz w:val="18"/>
              </w:rPr>
              <w:t xml:space="preserve">Obrigatório;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De 2 a 150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email</w:t>
            </w:r>
          </w:p>
        </w:tc>
        <w:tc>
          <w:tcPr>
            <w:tcW w:type="dxa" w:w="1429"/>
            <w:vAlign w:val="top"/>
            <w:shd w:fill="F5F8FC"/>
          </w:tcPr>
          <w:p>
            <w:pPr>
              <w:pStyle w:val="Compact"/>
              <w:spacing w:before="40" w:after="60" w:line="247" w:lineRule="auto"/>
              <w:jc w:val="left"/>
            </w:pPr>
            <w:r>
              <w:rPr>
                <w:sz w:val="18"/>
              </w:rPr>
              <w:t xml:space="preserve">Obrigatório;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 </w:t>
            </w:r>
            <w:r>
              <w:rPr>
                <w:sz w:val="18"/>
              </w:rPr>
              <w:t xml:space="preserve">e minúsculas.</w:t>
            </w:r>
          </w:p>
        </w:tc>
        <w:tc>
          <w:tcPr>
            <w:tcW w:type="dxa" w:w="2953"/>
            <w:vAlign w:val="top"/>
            <w:shd w:fill="F5F8FC"/>
          </w:tcPr>
          <w:p>
            <w:pPr>
              <w:pStyle w:val="Compact"/>
              <w:spacing w:before="40" w:after="60" w:line="247" w:lineRule="auto"/>
              <w:jc w:val="left"/>
            </w:pPr>
            <w:r>
              <w:rPr>
                <w:sz w:val="18"/>
              </w:rPr>
              <w:t xml:space="preserve">Formato de e-mail; máximo de 150 caracteres.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telefone</w:t>
            </w:r>
          </w:p>
        </w:tc>
        <w:tc>
          <w:tcPr>
            <w:tcW w:type="dxa" w:w="1429"/>
            <w:vAlign w:val="top"/>
            <w:shd w:fill="FFFFFF"/>
          </w:tcPr>
          <w:p>
            <w:pPr>
              <w:pStyle w:val="Compact"/>
              <w:spacing w:before="40" w:after="60" w:line="247" w:lineRule="auto"/>
              <w:jc w:val="left"/>
            </w:pPr>
            <w:r>
              <w:rPr>
                <w:sz w:val="18"/>
              </w:rPr>
              <w:t xml:space="preserve">Obrigatório;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De 10 a 11 dígitos, admitindo separadores não numéricos; máximo de 30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instituicao</w:t>
            </w:r>
          </w:p>
        </w:tc>
        <w:tc>
          <w:tcPr>
            <w:tcW w:type="dxa" w:w="1429"/>
            <w:vAlign w:val="top"/>
            <w:shd w:fill="F5F8FC"/>
          </w:tcPr>
          <w:p>
            <w:pPr>
              <w:pStyle w:val="Compact"/>
              <w:spacing w:before="40" w:after="60" w:line="247" w:lineRule="auto"/>
              <w:jc w:val="left"/>
            </w:pPr>
            <w:r>
              <w:rPr>
                <w:sz w:val="18"/>
              </w:rPr>
              <w:t xml:space="preserve">Obrigatório;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5F8FC"/>
          </w:tcPr>
          <w:p>
            <w:pPr>
              <w:pStyle w:val="Compact"/>
              <w:spacing w:before="40" w:after="60" w:line="247" w:lineRule="auto"/>
              <w:jc w:val="left"/>
            </w:pPr>
            <w:r>
              <w:rPr>
                <w:sz w:val="18"/>
              </w:rPr>
              <w:t xml:space="preserve">De 2 a 200 caracteres.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campus</w:t>
            </w:r>
          </w:p>
        </w:tc>
        <w:tc>
          <w:tcPr>
            <w:tcW w:type="dxa" w:w="1429"/>
            <w:vAlign w:val="top"/>
            <w:shd w:fill="FFFFFF"/>
          </w:tcPr>
          <w:p>
            <w:pPr>
              <w:pStyle w:val="Compact"/>
              <w:spacing w:before="40" w:after="60" w:line="247" w:lineRule="auto"/>
              <w:jc w:val="left"/>
            </w:pPr>
            <w:r>
              <w:rPr>
                <w:sz w:val="18"/>
              </w:rPr>
              <w:t xml:space="preserve">Obrigatório;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De 1 a 100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previsaoSemestre</w:t>
            </w:r>
          </w:p>
        </w:tc>
        <w:tc>
          <w:tcPr>
            <w:tcW w:type="dxa" w:w="1429"/>
            <w:vAlign w:val="top"/>
            <w:shd w:fill="F5F8FC"/>
          </w:tcPr>
          <w:p>
            <w:pPr>
              <w:pStyle w:val="Compact"/>
              <w:spacing w:before="40" w:after="60" w:line="247" w:lineRule="auto"/>
              <w:jc w:val="left"/>
            </w:pPr>
            <w:r>
              <w:rPr>
                <w:sz w:val="18"/>
              </w:rPr>
              <w:t xml:space="preserve">Obrigatório;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5F8FC"/>
          </w:tcPr>
          <w:p>
            <w:pPr>
              <w:pStyle w:val="Compact"/>
              <w:spacing w:before="40" w:after="60" w:line="247" w:lineRule="auto"/>
              <w:jc w:val="left"/>
            </w:pPr>
            <w:r>
              <w:rPr>
                <w:sz w:val="18"/>
              </w:rPr>
              <w:t xml:space="preserve">De 1 a 100 caracteres.</w:t>
            </w:r>
          </w:p>
        </w:tc>
      </w:tr>
    </w:tbl>
    <w:p>
      <w:pPr>
        <w:pStyle w:val="TableCaption"/>
        <w:keepNext/>
      </w:pPr>
      <w:r>
        <w:t xml:space="preserve">Tabela </w:t>
      </w:r>
      <w:r>
        <w:rPr>
          <w:rFonts w:ascii="Open Sans" w:hAnsi="Open Sans"/>
          <w:sz w:val="18"/>
        </w:rPr>
        <w:fldChar w:fldCharType="begin"/>
        <w:instrText xml:space="preserve"> SEQ Tabela </w:instrText>
        <w:fldChar w:fldCharType="separate"/>
        <w:t>14</w:t>
        <w:fldChar w:fldCharType="end"/>
      </w:r>
      <w:r>
        <w:t xml:space="preserve"> — Campos opcionais da manifestação.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Presença e tipo</w:t>
            </w:r>
          </w:p>
        </w:tc>
        <w:tc>
          <w:tcPr>
            <w:tcW w:type="dxa" w:w="3238"/>
            <w:vAlign w:val="top"/>
            <w:shd w:fill="233B82"/>
          </w:tcPr>
          <w:p>
            <w:pPr>
              <w:pStyle w:val="Compact"/>
              <w:spacing w:before="40" w:after="60" w:line="247" w:lineRule="auto"/>
              <w:jc w:val="left"/>
            </w:pPr>
            <w:r>
              <w:rPr>
                <w:b/>
                <w:color w:val="FFFFFF"/>
                <w:sz w:val="18"/>
              </w:rPr>
              <w:t xml:space="preserve">Transformação</w:t>
            </w:r>
          </w:p>
        </w:tc>
        <w:tc>
          <w:tcPr>
            <w:tcW w:type="dxa" w:w="2953"/>
            <w:vAlign w:val="top"/>
            <w:shd w:fill="233B82"/>
          </w:tcPr>
          <w:p>
            <w:pPr>
              <w:pStyle w:val="Compact"/>
              <w:spacing w:before="40" w:after="60" w:line="247" w:lineRule="auto"/>
              <w:jc w:val="left"/>
            </w:pPr>
            <w:r>
              <w:rPr>
                <w:b/>
                <w:color w:val="FFFFFF"/>
                <w:sz w:val="18"/>
              </w:rPr>
              <w:t xml:space="preserve">Validação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cargo</w:t>
            </w:r>
          </w:p>
        </w:tc>
        <w:tc>
          <w:tcPr>
            <w:tcW w:type="dxa" w:w="1429"/>
            <w:vAlign w:val="top"/>
            <w:shd w:fill="FFFFFF"/>
          </w:tcPr>
          <w:p>
            <w:pPr>
              <w:pStyle w:val="Compact"/>
              <w:spacing w:before="40" w:after="60" w:line="247" w:lineRule="auto"/>
              <w:jc w:val="left"/>
            </w:pPr>
            <w:r>
              <w:rPr>
                <w:sz w:val="18"/>
              </w:rPr>
              <w:t xml:space="preserve">Opcional;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 padrão vazio.</w:t>
            </w:r>
          </w:p>
        </w:tc>
        <w:tc>
          <w:tcPr>
            <w:tcW w:type="dxa" w:w="2953"/>
            <w:vAlign w:val="top"/>
            <w:shd w:fill="FFFFFF"/>
          </w:tcPr>
          <w:p>
            <w:pPr>
              <w:pStyle w:val="Compact"/>
              <w:spacing w:before="40" w:after="60" w:line="247" w:lineRule="auto"/>
              <w:jc w:val="left"/>
            </w:pPr>
            <w:r>
              <w:rPr>
                <w:sz w:val="18"/>
              </w:rPr>
              <w:t xml:space="preserve">Máximo de 100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curso</w:t>
            </w:r>
          </w:p>
        </w:tc>
        <w:tc>
          <w:tcPr>
            <w:tcW w:type="dxa" w:w="1429"/>
            <w:vAlign w:val="top"/>
            <w:shd w:fill="F5F8FC"/>
          </w:tcPr>
          <w:p>
            <w:pPr>
              <w:pStyle w:val="Compact"/>
              <w:spacing w:before="40" w:after="60" w:line="247" w:lineRule="auto"/>
              <w:jc w:val="left"/>
            </w:pPr>
            <w:r>
              <w:rPr>
                <w:sz w:val="18"/>
              </w:rPr>
              <w:t xml:space="preserve">Opcional;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 padrão vazio.</w:t>
            </w:r>
          </w:p>
        </w:tc>
        <w:tc>
          <w:tcPr>
            <w:tcW w:type="dxa" w:w="2953"/>
            <w:vAlign w:val="top"/>
            <w:shd w:fill="F5F8FC"/>
          </w:tcPr>
          <w:p>
            <w:pPr>
              <w:pStyle w:val="Compact"/>
              <w:spacing w:before="40" w:after="60" w:line="247" w:lineRule="auto"/>
              <w:jc w:val="left"/>
            </w:pPr>
            <w:r>
              <w:rPr>
                <w:sz w:val="18"/>
              </w:rPr>
              <w:t xml:space="preserve">Máximo de 100 caracteres.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observacoes</w:t>
            </w:r>
          </w:p>
        </w:tc>
        <w:tc>
          <w:tcPr>
            <w:tcW w:type="dxa" w:w="1429"/>
            <w:vAlign w:val="top"/>
            <w:shd w:fill="FFFFFF"/>
          </w:tcPr>
          <w:p>
            <w:pPr>
              <w:pStyle w:val="Compact"/>
              <w:spacing w:before="40" w:after="60" w:line="247" w:lineRule="auto"/>
              <w:jc w:val="left"/>
            </w:pPr>
            <w:r>
              <w:rPr>
                <w:sz w:val="18"/>
              </w:rPr>
              <w:t xml:space="preserve">Opcional;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 padrão vazio.</w:t>
            </w:r>
          </w:p>
        </w:tc>
        <w:tc>
          <w:tcPr>
            <w:tcW w:type="dxa" w:w="2953"/>
            <w:vAlign w:val="top"/>
            <w:shd w:fill="FFFFFF"/>
          </w:tcPr>
          <w:p>
            <w:pPr>
              <w:pStyle w:val="Compact"/>
              <w:spacing w:before="40" w:after="60" w:line="247" w:lineRule="auto"/>
              <w:jc w:val="left"/>
            </w:pPr>
            <w:r>
              <w:rPr>
                <w:sz w:val="18"/>
              </w:rPr>
              <w:t xml:space="preserve">Máximo de 1.000 caracteres.</w:t>
            </w:r>
          </w:p>
        </w:tc>
      </w:tr>
    </w:tbl>
    <w:p>
      <w:pPr>
        <w:pStyle w:val="BodyText"/>
      </w:pPr>
      <w:r>
        <w:t xml:space="preserve">A expressão do telefone verifica a quantidade de dígitos e permite pontuação; não verifica a existência de um número nem consulta uma operadora. A interface remove o prefixo brasileiro</w:t>
      </w:r>
      <w:r>
        <w:t xml:space="preserve"> </w:t>
      </w:r>
      <w:r>
        <w:rPr>
          <w:rStyle w:val="VerbatimChar"/>
        </w:rPr>
        <w:t xml:space="preserve">55</w:t>
      </w:r>
      <w:r>
        <w:t xml:space="preserve"> </w:t>
      </w:r>
      <w:r>
        <w:t xml:space="preserve">quando recebe mais de onze dígitos, formata o telefone e verifica dez ou onze dígitos antes do envio. A API recebe o número já ajustado pela interface; seu schema não executa essa remoção de DDI. A validação de e-mail também não comprova vínculo com uma instituição ou acesso à caixa postal: a expressão</w:t>
      </w:r>
      <w:r>
        <w:t xml:space="preserve"> </w:t>
      </w:r>
      <w:r>
        <w:t xml:space="preserve">“</w:t>
      </w:r>
      <w:r>
        <w:t xml:space="preserve">institucional</w:t>
      </w:r>
      <w:r>
        <w:t xml:space="preserve">”</w:t>
      </w:r>
      <w:r>
        <w:t xml:space="preserve"> </w:t>
      </w:r>
      <w:r>
        <w:t xml:space="preserve">faz parte do contexto e das mensagens da interface.</w:t>
      </w:r>
    </w:p>
    <w:p>
      <w:pPr>
        <w:pStyle w:val="BodyText"/>
      </w:pPr>
      <w:r>
        <w:t xml:space="preserve">No formulário, o campo de estado</w:t>
      </w:r>
      <w:r>
        <w:t xml:space="preserve"> </w:t>
      </w:r>
      <w:r>
        <w:rPr>
          <w:rStyle w:val="VerbatimChar"/>
        </w:rPr>
        <w:t xml:space="preserve">previsao</w:t>
      </w:r>
      <w:r>
        <w:t xml:space="preserve"> </w:t>
      </w:r>
      <w:r>
        <w:t xml:space="preserve">é convertido em</w:t>
      </w:r>
      <w:r>
        <w:t xml:space="preserve"> </w:t>
      </w:r>
      <w:r>
        <w:rPr>
          <w:rStyle w:val="VerbatimChar"/>
        </w:rPr>
        <w:t xml:space="preserve">previsaoSemestre</w:t>
      </w:r>
      <w:r>
        <w:t xml:space="preserve"> </w:t>
      </w:r>
      <w:r>
        <w:t xml:space="preserve">por</w:t>
      </w:r>
      <w:r>
        <w:t xml:space="preserve"> </w:t>
      </w:r>
      <w:r>
        <w:rPr>
          <w:rStyle w:val="VerbatimChar"/>
        </w:rPr>
        <w:t xml:space="preserve">buildPayload</w:t>
      </w:r>
      <w:r>
        <w:t xml:space="preserve">. As seleções apresentadas ao visitante pertencem à interface; no servidor, cargo, curso e previsão são strings limitadas, não enumerações fechadas. Assim, o contrato descreve os dados aceitos pela API sem atribuir ao backend as restrições visuais de um seletor.</w:t>
      </w:r>
    </w:p>
    <w:bookmarkEnd w:id="57"/>
    <w:bookmarkStart w:id="58" w:name="Xd5d4bd15ce4fc06988a7f40e9ea6789c8261a09"/>
    <w:p>
      <w:pPr>
        <w:pStyle w:val="Heading2"/>
      </w:pPr>
      <w:bookmarkStart w:id="20029" w:name="docsec_030"/>
      <w:r>
        <w:t xml:space="preserve">Respostas HTTP e integração com a interface</w:t>
      </w:r>
      <w:bookmarkEnd w:id="20029"/>
    </w:p>
    <w:p>
      <w:pPr>
        <w:pStyle w:val="FirstParagraph"/>
      </w:pPr>
      <w:r>
        <w:t xml:space="preserve">As respostas da operação utilizam JSON. As falhas contêm</w:t>
      </w:r>
      <w:r>
        <w:t xml:space="preserve"> </w:t>
      </w:r>
      <w:r>
        <w:rPr>
          <w:rStyle w:val="VerbatimChar"/>
        </w:rPr>
        <w:t xml:space="preserve">error</w:t>
      </w:r>
      <w:r>
        <w:t xml:space="preserve"> </w:t>
      </w:r>
      <w:r>
        <w:t xml:space="preserve">e</w:t>
      </w:r>
      <w:r>
        <w:t xml:space="preserve"> </w:t>
      </w:r>
      <w:r>
        <w:rPr>
          <w:rStyle w:val="VerbatimChar"/>
        </w:rPr>
        <w:t xml:space="preserve">message</w:t>
      </w:r>
      <w:r>
        <w:t xml:space="preserve">; a validação de campos acrescenta</w:t>
      </w:r>
      <w:r>
        <w:t xml:space="preserve"> </w:t>
      </w:r>
      <w:r>
        <w:rPr>
          <w:rStyle w:val="VerbatimChar"/>
        </w:rPr>
        <w:t xml:space="preserve">details</w:t>
      </w:r>
      <w:r>
        <w:t xml:space="preserve">, no formato produzido por</w:t>
      </w:r>
      <w:r>
        <w:t xml:space="preserve"> </w:t>
      </w:r>
      <w:r>
        <w:rPr>
          <w:rStyle w:val="VerbatimChar"/>
        </w:rPr>
        <w:t xml:space="preserve">validation.error.format()</w:t>
      </w:r>
      <w:r>
        <w:t xml:space="preserve">. O sucesso contém</w:t>
      </w:r>
      <w:r>
        <w:t xml:space="preserve"> </w:t>
      </w:r>
      <w:r>
        <w:rPr>
          <w:rStyle w:val="VerbatimChar"/>
        </w:rPr>
        <w:t xml:space="preserve">success</w:t>
      </w:r>
      <w:r>
        <w:t xml:space="preserve">,</w:t>
      </w:r>
      <w:r>
        <w:t xml:space="preserve"> </w:t>
      </w:r>
      <w:r>
        <w:rPr>
          <w:rStyle w:val="VerbatimChar"/>
        </w:rPr>
        <w:t xml:space="preserve">message</w:t>
      </w:r>
      <w:r>
        <w:t xml:space="preserve"> </w:t>
      </w:r>
      <w:r>
        <w:t xml:space="preserve">e</w:t>
      </w:r>
      <w:r>
        <w:t xml:space="preserve"> </w:t>
      </w:r>
      <w:r>
        <w:rPr>
          <w:rStyle w:val="VerbatimChar"/>
        </w:rPr>
        <w:t xml:space="preserve">id</w:t>
      </w:r>
      <w:r>
        <w:t xml:space="preserve">. Não são devolvidos os dados de contato, o texto cifrado nem os caminhos internos das coleções.</w:t>
      </w:r>
    </w:p>
    <w:p>
      <w:pPr>
        <w:pStyle w:val="TableCaption"/>
        <w:keepNext/>
      </w:pPr>
      <w:r>
        <w:t xml:space="preserve">Tabela </w:t>
      </w:r>
      <w:r>
        <w:rPr>
          <w:rFonts w:ascii="Open Sans" w:hAnsi="Open Sans"/>
          <w:sz w:val="18"/>
        </w:rPr>
        <w:fldChar w:fldCharType="begin"/>
        <w:instrText xml:space="preserve"> SEQ Tabela </w:instrText>
        <w:fldChar w:fldCharType="separate"/>
        <w:t>15</w:t>
        <w:fldChar w:fldCharType="end"/>
      </w:r>
      <w:r>
        <w:t xml:space="preserve"> — Respostas previstas no processamento do formulário.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Status</w:t>
            </w:r>
          </w:p>
        </w:tc>
        <w:tc>
          <w:tcPr>
            <w:tcW w:type="dxa" w:w="2476"/>
            <w:vAlign w:val="top"/>
            <w:shd w:fill="233B82"/>
          </w:tcPr>
          <w:p>
            <w:pPr>
              <w:pStyle w:val="Compact"/>
              <w:spacing w:before="40" w:after="60" w:line="247" w:lineRule="auto"/>
              <w:jc w:val="left"/>
            </w:pPr>
            <w:r>
              <w:rPr>
                <w:b/>
                <w:color w:val="FFFFFF"/>
                <w:sz w:val="18"/>
              </w:rPr>
              <w:t xml:space="preserve">Identificação</w:t>
            </w:r>
          </w:p>
        </w:tc>
        <w:tc>
          <w:tcPr>
            <w:tcW w:type="dxa" w:w="2762"/>
            <w:vAlign w:val="top"/>
            <w:shd w:fill="233B82"/>
          </w:tcPr>
          <w:p>
            <w:pPr>
              <w:pStyle w:val="Compact"/>
              <w:spacing w:before="40" w:after="60" w:line="247" w:lineRule="auto"/>
              <w:jc w:val="left"/>
            </w:pPr>
            <w:r>
              <w:rPr>
                <w:b/>
                <w:color w:val="FFFFFF"/>
                <w:sz w:val="18"/>
              </w:rPr>
              <w:t xml:space="preserve">Significado</w:t>
            </w:r>
          </w:p>
        </w:tc>
        <w:tc>
          <w:tcPr>
            <w:tcW w:type="dxa" w:w="2572"/>
            <w:vAlign w:val="top"/>
            <w:shd w:fill="233B82"/>
          </w:tcPr>
          <w:p>
            <w:pPr>
              <w:pStyle w:val="Compact"/>
              <w:spacing w:before="40" w:after="60" w:line="247" w:lineRule="auto"/>
              <w:jc w:val="left"/>
            </w:pPr>
            <w:r>
              <w:rPr>
                <w:b/>
                <w:color w:val="FFFFFF"/>
                <w:sz w:val="18"/>
              </w:rPr>
              <w:t xml:space="preserve">Tratamento no cliente</w:t>
            </w:r>
          </w:p>
        </w:tc>
      </w:tr>
      <w:tr>
        <w:trPr>
          <w:cantSplit/>
        </w:trPr>
        <w:tc>
          <w:tcPr>
            <w:tcW w:type="dxa" w:w="1714"/>
            <w:vAlign w:val="top"/>
            <w:shd w:fill="FFFFFF"/>
          </w:tcPr>
          <w:p>
            <w:pPr>
              <w:pStyle w:val="Compact"/>
              <w:spacing w:before="40" w:after="60" w:line="247" w:lineRule="auto"/>
              <w:jc w:val="left"/>
            </w:pPr>
            <w:r>
              <w:rPr>
                <w:sz w:val="18"/>
              </w:rPr>
              <w:t xml:space="preserve">201</w:t>
            </w:r>
          </w:p>
        </w:tc>
        <w:tc>
          <w:tcPr>
            <w:tcW w:type="dxa" w:w="2476"/>
            <w:vAlign w:val="top"/>
            <w:shd w:fill="FFFFFF"/>
          </w:tcPr>
          <w:p>
            <w:pPr>
              <w:pStyle w:val="Compact"/>
              <w:spacing w:before="40" w:after="60" w:line="247" w:lineRule="auto"/>
              <w:jc w:val="left"/>
            </w:pPr>
            <w:r>
              <w:rPr>
                <w:rStyle w:val="VerbatimChar"/>
                <w:sz w:val="17"/>
              </w:rPr>
              <w:t xml:space="preserve">success: true</w:t>
            </w:r>
          </w:p>
        </w:tc>
        <w:tc>
          <w:tcPr>
            <w:tcW w:type="dxa" w:w="2762"/>
            <w:vAlign w:val="top"/>
            <w:shd w:fill="FFFFFF"/>
          </w:tcPr>
          <w:p>
            <w:pPr>
              <w:pStyle w:val="Compact"/>
              <w:spacing w:before="40" w:after="60" w:line="247" w:lineRule="auto"/>
              <w:jc w:val="left"/>
            </w:pPr>
            <w:r>
              <w:rPr>
                <w:sz w:val="18"/>
              </w:rPr>
              <w:t xml:space="preserve">Gravação confirmada pelo serviço; mensagem</w:t>
            </w:r>
            <w:r>
              <w:rPr>
                <w:sz w:val="18"/>
              </w:rPr>
              <w:t xml:space="preserve"> </w:t>
            </w:r>
            <w:r>
              <w:rPr>
                <w:sz w:val="18"/>
              </w:rPr>
              <w:t xml:space="preserve">“</w:t>
            </w:r>
            <w:r>
              <w:rPr>
                <w:sz w:val="18"/>
              </w:rPr>
              <w:t xml:space="preserve">Interesse registrado com sucesso!</w:t>
            </w:r>
            <w:r>
              <w:rPr>
                <w:sz w:val="18"/>
              </w:rPr>
              <w:t xml:space="preserve">”</w:t>
            </w:r>
            <w:r>
              <w:rPr>
                <w:sz w:val="18"/>
              </w:rPr>
              <w:t xml:space="preserve">.</w:t>
            </w:r>
          </w:p>
        </w:tc>
        <w:tc>
          <w:tcPr>
            <w:tcW w:type="dxa" w:w="2572"/>
            <w:vAlign w:val="top"/>
            <w:shd w:fill="FFFFFF"/>
          </w:tcPr>
          <w:p>
            <w:pPr>
              <w:pStyle w:val="Compact"/>
              <w:spacing w:before="40" w:after="60" w:line="247" w:lineRule="auto"/>
              <w:jc w:val="left"/>
            </w:pPr>
            <w:r>
              <w:rPr>
                <w:sz w:val="18"/>
              </w:rPr>
              <w:t xml:space="preserve">Aciona a confirmação do formulário.</w:t>
            </w:r>
          </w:p>
        </w:tc>
      </w:tr>
      <w:tr>
        <w:trPr>
          <w:cantSplit/>
        </w:trPr>
        <w:tc>
          <w:tcPr>
            <w:tcW w:type="dxa" w:w="1714"/>
            <w:vAlign w:val="top"/>
            <w:shd w:fill="F5F8FC"/>
          </w:tcPr>
          <w:p>
            <w:pPr>
              <w:pStyle w:val="Compact"/>
              <w:spacing w:before="40" w:after="60" w:line="247" w:lineRule="auto"/>
              <w:jc w:val="left"/>
            </w:pPr>
            <w:r>
              <w:rPr>
                <w:sz w:val="18"/>
              </w:rPr>
              <w:t xml:space="preserve">400</w:t>
            </w:r>
          </w:p>
        </w:tc>
        <w:tc>
          <w:tcPr>
            <w:tcW w:type="dxa" w:w="2476"/>
            <w:vAlign w:val="top"/>
            <w:shd w:fill="F5F8FC"/>
          </w:tcPr>
          <w:p>
            <w:pPr>
              <w:pStyle w:val="Compact"/>
              <w:spacing w:before="40" w:after="60" w:line="247" w:lineRule="auto"/>
              <w:jc w:val="left"/>
            </w:pPr>
            <w:r>
              <w:rPr>
                <w:rStyle w:val="VerbatimChar"/>
                <w:sz w:val="17"/>
              </w:rPr>
              <w:t xml:space="preserve">INVALID_ARGUMENT</w:t>
            </w:r>
          </w:p>
        </w:tc>
        <w:tc>
          <w:tcPr>
            <w:tcW w:type="dxa" w:w="2762"/>
            <w:vAlign w:val="top"/>
            <w:shd w:fill="F5F8FC"/>
          </w:tcPr>
          <w:p>
            <w:pPr>
              <w:pStyle w:val="Compact"/>
              <w:spacing w:before="40" w:after="60" w:line="247" w:lineRule="auto"/>
              <w:jc w:val="left"/>
            </w:pPr>
            <w:r>
              <w:rPr>
                <w:sz w:val="18"/>
              </w:rPr>
              <w:t xml:space="preserve">JSON malformado ou dados rejeitados; neste último caso inclui</w:t>
            </w:r>
            <w:r>
              <w:rPr>
                <w:sz w:val="18"/>
              </w:rPr>
              <w:t xml:space="preserve"> </w:t>
            </w:r>
            <w:r>
              <w:rPr>
                <w:rStyle w:val="VerbatimChar"/>
                <w:sz w:val="17"/>
              </w:rPr>
              <w:t xml:space="preserve">details</w:t>
            </w:r>
            <w:r>
              <w:rPr>
                <w:sz w:val="18"/>
              </w:rPr>
              <w:t xml:space="preserve">.</w:t>
            </w:r>
          </w:p>
        </w:tc>
        <w:tc>
          <w:tcPr>
            <w:tcW w:type="dxa" w:w="2572"/>
            <w:vAlign w:val="top"/>
            <w:shd w:fill="F5F8FC"/>
          </w:tcPr>
          <w:p>
            <w:pPr>
              <w:pStyle w:val="Compact"/>
              <w:spacing w:before="40" w:after="60" w:line="247" w:lineRule="auto"/>
              <w:jc w:val="left"/>
            </w:pPr>
            <w:r>
              <w:rPr>
                <w:sz w:val="18"/>
              </w:rPr>
              <w:t xml:space="preserve">Exibe a mensagem recebida.</w:t>
            </w:r>
          </w:p>
        </w:tc>
      </w:tr>
      <w:tr>
        <w:trPr>
          <w:cantSplit/>
        </w:trPr>
        <w:tc>
          <w:tcPr>
            <w:tcW w:type="dxa" w:w="1714"/>
            <w:vAlign w:val="top"/>
            <w:shd w:fill="FFFFFF"/>
          </w:tcPr>
          <w:p>
            <w:pPr>
              <w:pStyle w:val="Compact"/>
              <w:spacing w:before="40" w:after="60" w:line="247" w:lineRule="auto"/>
              <w:jc w:val="left"/>
            </w:pPr>
            <w:r>
              <w:rPr>
                <w:sz w:val="18"/>
              </w:rPr>
              <w:t xml:space="preserve">409</w:t>
            </w:r>
          </w:p>
        </w:tc>
        <w:tc>
          <w:tcPr>
            <w:tcW w:type="dxa" w:w="2476"/>
            <w:vAlign w:val="top"/>
            <w:shd w:fill="FFFFFF"/>
          </w:tcPr>
          <w:p>
            <w:pPr>
              <w:pStyle w:val="Compact"/>
              <w:spacing w:before="40" w:after="60" w:line="247" w:lineRule="auto"/>
              <w:jc w:val="left"/>
            </w:pPr>
            <w:r>
              <w:rPr>
                <w:rStyle w:val="VerbatimChar"/>
                <w:sz w:val="17"/>
              </w:rPr>
              <w:t xml:space="preserve">DUPLICATE</w:t>
            </w:r>
          </w:p>
        </w:tc>
        <w:tc>
          <w:tcPr>
            <w:tcW w:type="dxa" w:w="2762"/>
            <w:vAlign w:val="top"/>
            <w:shd w:fill="FFFFFF"/>
          </w:tcPr>
          <w:p>
            <w:pPr>
              <w:pStyle w:val="Compact"/>
              <w:spacing w:before="40" w:after="60" w:line="247" w:lineRule="auto"/>
              <w:jc w:val="left"/>
            </w:pPr>
            <w:r>
              <w:rPr>
                <w:sz w:val="18"/>
              </w:rPr>
              <w:t xml:space="preserve">E-mail já identificado; mensagem</w:t>
            </w:r>
            <w:r>
              <w:rPr>
                <w:sz w:val="18"/>
              </w:rPr>
              <w:t xml:space="preserve"> </w:t>
            </w:r>
            <w:r>
              <w:rPr>
                <w:sz w:val="18"/>
              </w:rPr>
              <w:t xml:space="preserve">“</w:t>
            </w:r>
            <w:r>
              <w:rPr>
                <w:sz w:val="18"/>
              </w:rPr>
              <w:t xml:space="preserve">E-mail ou registro já cadastrado.</w:t>
            </w:r>
            <w:r>
              <w:rPr>
                <w:sz w:val="18"/>
              </w:rPr>
              <w:t xml:space="preserve">”</w:t>
            </w:r>
            <w:r>
              <w:rPr>
                <w:sz w:val="18"/>
              </w:rPr>
              <w:t xml:space="preserve">.</w:t>
            </w:r>
          </w:p>
        </w:tc>
        <w:tc>
          <w:tcPr>
            <w:tcW w:type="dxa" w:w="2572"/>
            <w:vAlign w:val="top"/>
            <w:shd w:fill="FFFFFF"/>
          </w:tcPr>
          <w:p>
            <w:pPr>
              <w:pStyle w:val="Compact"/>
              <w:spacing w:before="40" w:after="60" w:line="247" w:lineRule="auto"/>
              <w:jc w:val="left"/>
            </w:pPr>
            <w:r>
              <w:rPr>
                <w:sz w:val="18"/>
              </w:rPr>
              <w:t xml:space="preserve">Converte em</w:t>
            </w:r>
            <w:r>
              <w:rPr>
                <w:sz w:val="18"/>
              </w:rPr>
              <w:t xml:space="preserve"> </w:t>
            </w:r>
            <w:r>
              <w:rPr>
                <w:rStyle w:val="VerbatimChar"/>
                <w:sz w:val="17"/>
              </w:rPr>
              <w:t xml:space="preserve">DuplicateLeadError</w:t>
            </w:r>
            <w:r>
              <w:rPr>
                <w:sz w:val="18"/>
              </w:rPr>
              <w:t xml:space="preserve"> </w:t>
            </w:r>
            <w:r>
              <w:rPr>
                <w:sz w:val="18"/>
              </w:rPr>
              <w:t xml:space="preserve">e apresenta o aviso específico de duplicidade.</w:t>
            </w:r>
          </w:p>
        </w:tc>
      </w:tr>
      <w:tr>
        <w:trPr>
          <w:cantSplit/>
        </w:trPr>
        <w:tc>
          <w:tcPr>
            <w:tcW w:type="dxa" w:w="1714"/>
            <w:vAlign w:val="top"/>
            <w:shd w:fill="F5F8FC"/>
          </w:tcPr>
          <w:p>
            <w:pPr>
              <w:pStyle w:val="Compact"/>
              <w:spacing w:before="40" w:after="60" w:line="247" w:lineRule="auto"/>
              <w:jc w:val="left"/>
            </w:pPr>
            <w:r>
              <w:rPr>
                <w:sz w:val="18"/>
              </w:rPr>
              <w:t xml:space="preserve">413</w:t>
            </w:r>
          </w:p>
        </w:tc>
        <w:tc>
          <w:tcPr>
            <w:tcW w:type="dxa" w:w="2476"/>
            <w:vAlign w:val="top"/>
            <w:shd w:fill="F5F8FC"/>
          </w:tcPr>
          <w:p>
            <w:pPr>
              <w:pStyle w:val="Compact"/>
              <w:spacing w:before="40" w:after="60" w:line="247" w:lineRule="auto"/>
              <w:jc w:val="left"/>
            </w:pPr>
            <w:r>
              <w:rPr>
                <w:rStyle w:val="VerbatimChar"/>
                <w:sz w:val="17"/>
              </w:rPr>
              <w:t xml:space="preserve">PAYLOAD_TOO_LARGE</w:t>
            </w:r>
          </w:p>
        </w:tc>
        <w:tc>
          <w:tcPr>
            <w:tcW w:type="dxa" w:w="2762"/>
            <w:vAlign w:val="top"/>
            <w:shd w:fill="F5F8FC"/>
          </w:tcPr>
          <w:p>
            <w:pPr>
              <w:pStyle w:val="Compact"/>
              <w:spacing w:before="40" w:after="60" w:line="247" w:lineRule="auto"/>
              <w:jc w:val="left"/>
            </w:pPr>
            <w:r>
              <w:rPr>
                <w:sz w:val="18"/>
              </w:rPr>
              <w:t xml:space="preserve">Corpo excede o limite do parser.</w:t>
            </w:r>
          </w:p>
        </w:tc>
        <w:tc>
          <w:tcPr>
            <w:tcW w:type="dxa" w:w="2572"/>
            <w:vAlign w:val="top"/>
            <w:shd w:fill="F5F8FC"/>
          </w:tcPr>
          <w:p>
            <w:pPr>
              <w:pStyle w:val="Compact"/>
              <w:spacing w:before="40" w:after="60" w:line="247" w:lineRule="auto"/>
              <w:jc w:val="left"/>
            </w:pPr>
            <w:r>
              <w:rPr>
                <w:sz w:val="18"/>
              </w:rPr>
              <w:t xml:space="preserve">Exibe a mensagem de limite recebido.</w:t>
            </w:r>
          </w:p>
        </w:tc>
      </w:tr>
      <w:tr>
        <w:trPr>
          <w:cantSplit/>
        </w:trPr>
        <w:tc>
          <w:tcPr>
            <w:tcW w:type="dxa" w:w="1714"/>
            <w:vAlign w:val="top"/>
            <w:shd w:fill="FFFFFF"/>
          </w:tcPr>
          <w:p>
            <w:pPr>
              <w:pStyle w:val="Compact"/>
              <w:spacing w:before="40" w:after="60" w:line="247" w:lineRule="auto"/>
              <w:jc w:val="left"/>
            </w:pPr>
            <w:r>
              <w:rPr>
                <w:sz w:val="18"/>
              </w:rPr>
              <w:t xml:space="preserve">429</w:t>
            </w:r>
          </w:p>
        </w:tc>
        <w:tc>
          <w:tcPr>
            <w:tcW w:type="dxa" w:w="2476"/>
            <w:vAlign w:val="top"/>
            <w:shd w:fill="FFFFFF"/>
          </w:tcPr>
          <w:p>
            <w:pPr>
              <w:pStyle w:val="Compact"/>
              <w:spacing w:before="40" w:after="60" w:line="247" w:lineRule="auto"/>
              <w:jc w:val="left"/>
            </w:pPr>
            <w:r>
              <w:rPr>
                <w:rStyle w:val="VerbatimChar"/>
                <w:sz w:val="17"/>
              </w:rPr>
              <w:t xml:space="preserve">RATE_LIMIT_EXCEEDED</w:t>
            </w:r>
          </w:p>
        </w:tc>
        <w:tc>
          <w:tcPr>
            <w:tcW w:type="dxa" w:w="2762"/>
            <w:vAlign w:val="top"/>
            <w:shd w:fill="FFFFFF"/>
          </w:tcPr>
          <w:p>
            <w:pPr>
              <w:pStyle w:val="Compact"/>
              <w:spacing w:before="40" w:after="60" w:line="247" w:lineRule="auto"/>
              <w:jc w:val="left"/>
            </w:pPr>
            <w:r>
              <w:rPr>
                <w:sz w:val="18"/>
              </w:rPr>
              <w:t xml:space="preserve">Janela de requisições atingida.</w:t>
            </w:r>
          </w:p>
        </w:tc>
        <w:tc>
          <w:tcPr>
            <w:tcW w:type="dxa" w:w="2572"/>
            <w:vAlign w:val="top"/>
            <w:shd w:fill="FFFFFF"/>
          </w:tcPr>
          <w:p>
            <w:pPr>
              <w:pStyle w:val="Compact"/>
              <w:spacing w:before="40" w:after="60" w:line="247" w:lineRule="auto"/>
              <w:jc w:val="left"/>
            </w:pPr>
            <w:r>
              <w:rPr>
                <w:sz w:val="18"/>
              </w:rPr>
              <w:t xml:space="preserve">Informa que se deve aguardar um minuto.</w:t>
            </w:r>
          </w:p>
        </w:tc>
      </w:tr>
      <w:tr>
        <w:trPr>
          <w:cantSplit/>
        </w:trPr>
        <w:tc>
          <w:tcPr>
            <w:tcW w:type="dxa" w:w="1714"/>
            <w:vAlign w:val="top"/>
            <w:shd w:fill="F5F8FC"/>
          </w:tcPr>
          <w:p>
            <w:pPr>
              <w:pStyle w:val="Compact"/>
              <w:spacing w:before="40" w:after="60" w:line="247" w:lineRule="auto"/>
              <w:jc w:val="left"/>
            </w:pPr>
            <w:r>
              <w:rPr>
                <w:sz w:val="18"/>
              </w:rPr>
              <w:t xml:space="preserve">500</w:t>
            </w:r>
          </w:p>
        </w:tc>
        <w:tc>
          <w:tcPr>
            <w:tcW w:type="dxa" w:w="2476"/>
            <w:vAlign w:val="top"/>
            <w:shd w:fill="F5F8FC"/>
          </w:tcPr>
          <w:p>
            <w:pPr>
              <w:pStyle w:val="Compact"/>
              <w:spacing w:before="40" w:after="60" w:line="247" w:lineRule="auto"/>
              <w:jc w:val="left"/>
            </w:pPr>
            <w:r>
              <w:rPr>
                <w:rStyle w:val="VerbatimChar"/>
                <w:sz w:val="17"/>
              </w:rPr>
              <w:t xml:space="preserve">INTERNAL_ERROR</w:t>
            </w:r>
          </w:p>
        </w:tc>
        <w:tc>
          <w:tcPr>
            <w:tcW w:type="dxa" w:w="2762"/>
            <w:vAlign w:val="top"/>
            <w:shd w:fill="F5F8FC"/>
          </w:tcPr>
          <w:p>
            <w:pPr>
              <w:pStyle w:val="Compact"/>
              <w:spacing w:before="40" w:after="60" w:line="247" w:lineRule="auto"/>
              <w:jc w:val="left"/>
            </w:pPr>
            <w:r>
              <w:rPr>
                <w:sz w:val="18"/>
              </w:rPr>
              <w:t xml:space="preserve">Erro na preparação da operação ou erro não tratado no servidor.</w:t>
            </w:r>
          </w:p>
        </w:tc>
        <w:tc>
          <w:tcPr>
            <w:tcW w:type="dxa" w:w="2572"/>
            <w:vAlign w:val="top"/>
            <w:shd w:fill="F5F8FC"/>
          </w:tcPr>
          <w:p>
            <w:pPr>
              <w:pStyle w:val="Compact"/>
              <w:spacing w:before="40" w:after="60" w:line="247" w:lineRule="auto"/>
              <w:jc w:val="left"/>
            </w:pPr>
            <w:r>
              <w:rPr>
                <w:sz w:val="18"/>
              </w:rPr>
              <w:t xml:space="preserve">Apresenta a mensagem pública genérica correspondente.</w:t>
            </w:r>
          </w:p>
        </w:tc>
      </w:tr>
      <w:tr>
        <w:trPr>
          <w:cantSplit/>
        </w:trPr>
        <w:tc>
          <w:tcPr>
            <w:tcW w:type="dxa" w:w="1714"/>
            <w:vAlign w:val="top"/>
            <w:shd w:fill="FFFFFF"/>
          </w:tcPr>
          <w:p>
            <w:pPr>
              <w:pStyle w:val="Compact"/>
              <w:spacing w:before="40" w:after="60" w:line="247" w:lineRule="auto"/>
              <w:jc w:val="left"/>
            </w:pPr>
            <w:r>
              <w:rPr>
                <w:sz w:val="18"/>
              </w:rPr>
              <w:t xml:space="preserve">503</w:t>
            </w:r>
          </w:p>
        </w:tc>
        <w:tc>
          <w:tcPr>
            <w:tcW w:type="dxa" w:w="2476"/>
            <w:vAlign w:val="top"/>
            <w:shd w:fill="FFFFFF"/>
          </w:tcPr>
          <w:p>
            <w:pPr>
              <w:pStyle w:val="Compact"/>
              <w:spacing w:before="40" w:after="60" w:line="247" w:lineRule="auto"/>
              <w:jc w:val="left"/>
            </w:pPr>
            <w:r>
              <w:rPr>
                <w:rStyle w:val="VerbatimChar"/>
                <w:sz w:val="17"/>
              </w:rPr>
              <w:t xml:space="preserve">SERVICE_UNAVAILABLE</w:t>
            </w:r>
          </w:p>
        </w:tc>
        <w:tc>
          <w:tcPr>
            <w:tcW w:type="dxa" w:w="2762"/>
            <w:vAlign w:val="top"/>
            <w:shd w:fill="FFFFFF"/>
          </w:tcPr>
          <w:p>
            <w:pPr>
              <w:pStyle w:val="Compact"/>
              <w:spacing w:before="40" w:after="60" w:line="247" w:lineRule="auto"/>
              <w:jc w:val="left"/>
            </w:pPr>
            <w:r>
              <w:rPr>
                <w:sz w:val="18"/>
              </w:rPr>
              <w:t xml:space="preserve">Persistência indisponível ou falha de gravação.</w:t>
            </w:r>
          </w:p>
        </w:tc>
        <w:tc>
          <w:tcPr>
            <w:tcW w:type="dxa" w:w="2572"/>
            <w:vAlign w:val="top"/>
            <w:shd w:fill="FFFFFF"/>
          </w:tcPr>
          <w:p>
            <w:pPr>
              <w:pStyle w:val="Compact"/>
              <w:spacing w:before="40" w:after="60" w:line="247" w:lineRule="auto"/>
              <w:jc w:val="left"/>
            </w:pPr>
            <w:r>
              <w:rPr>
                <w:sz w:val="18"/>
              </w:rPr>
              <w:t xml:space="preserve">Informa indisponibilidade e possibilidade de nova tentativa.</w:t>
            </w:r>
          </w:p>
        </w:tc>
      </w:tr>
    </w:tbl>
    <w:p>
      <w:pPr>
        <w:pStyle w:val="BodyText"/>
      </w:pPr>
      <w:r>
        <w:t xml:space="preserve">O cliente só considera a operação concluída quando a resposta HTTP é bem-sucedida, existe um corpo JSON e</w:t>
      </w:r>
      <w:r>
        <w:t xml:space="preserve"> </w:t>
      </w:r>
      <w:r>
        <w:rPr>
          <w:rStyle w:val="VerbatimChar"/>
        </w:rPr>
        <w:t xml:space="preserve">success</w:t>
      </w:r>
      <w:r>
        <w:t xml:space="preserve"> </w:t>
      </w:r>
      <w:r>
        <w:t xml:space="preserve">é exatamente</w:t>
      </w:r>
      <w:r>
        <w:t xml:space="preserve"> </w:t>
      </w:r>
      <w:r>
        <w:rPr>
          <w:rStyle w:val="VerbatimChar"/>
        </w:rPr>
        <w:t xml:space="preserve">true</w:t>
      </w:r>
      <w:r>
        <w:t xml:space="preserve">. Um status positivo sem essa marca não aciona a confirmação. A classe de resultado do cliente conserva apenas o sucesso e a mensagem; o identificador retornado pela API não é utilizado pelo fluxo visual atual.</w:t>
      </w:r>
    </w:p>
    <w:p>
      <w:pPr>
        <w:pStyle w:val="BodyText"/>
      </w:pPr>
      <w:r>
        <w:rPr>
          <w:rStyle w:val="VerbatimChar"/>
        </w:rPr>
        <w:t xml:space="preserve">useInterestForm</w:t>
      </w:r>
      <w:r>
        <w:t xml:space="preserve"> </w:t>
      </w:r>
      <w:r>
        <w:t xml:space="preserve">ativa o estado de carregamento durante a chamada e o encerra em</w:t>
      </w:r>
      <w:r>
        <w:t xml:space="preserve"> </w:t>
      </w:r>
      <w:r>
        <w:rPr>
          <w:rStyle w:val="VerbatimChar"/>
        </w:rPr>
        <w:t xml:space="preserve">finally</w:t>
      </w:r>
      <w:r>
        <w:t xml:space="preserve">, tanto no sucesso como na falha. Mensagens de rede reconhecidas são convertidas no aviso de conexão. Os detalhes Zod não são distribuídos campo a campo pela implementação atual; o tratamento utiliza</w:t>
      </w:r>
      <w:r>
        <w:t xml:space="preserve"> </w:t>
      </w:r>
      <w:r>
        <w:rPr>
          <w:rStyle w:val="VerbatimChar"/>
        </w:rPr>
        <w:t xml:space="preserve">message</w:t>
      </w:r>
      <w:r>
        <w:t xml:space="preserve">. A duplicidade recebe uma redação própria:</w:t>
      </w:r>
      <w:r>
        <w:t xml:space="preserve"> </w:t>
      </w:r>
      <w:r>
        <w:t xml:space="preserve">“</w:t>
      </w:r>
      <w:r>
        <w:t xml:space="preserve">Esta manifestação já foi cadastrada anteriormente para este e-mail institucional.</w:t>
      </w:r>
      <w:r>
        <w:t xml:space="preserve">”</w:t>
      </w:r>
      <w:r>
        <w:t xml:space="preserve">.</w:t>
      </w:r>
    </w:p>
    <w:bookmarkEnd w:id="58"/>
    <w:bookmarkStart w:id="59" w:name="caminho-completo-da-operação-principal"/>
    <w:p>
      <w:pPr>
        <w:pStyle w:val="Heading2"/>
      </w:pPr>
      <w:bookmarkStart w:id="20030" w:name="docsec_031"/>
      <w:r>
        <w:t xml:space="preserve">Caminho completo da operação principal</w:t>
      </w:r>
      <w:bookmarkEnd w:id="20030"/>
    </w:p>
    <w:p>
      <w:pPr>
        <w:pStyle w:val="FirstParagraph"/>
      </w:pPr>
      <w:r>
        <w:t xml:space="preserve">Após a validação local e o POST,</w:t>
      </w:r>
      <w:r>
        <w:t xml:space="preserve"> </w:t>
      </w:r>
      <w:r>
        <w:rPr>
          <w:rStyle w:val="VerbatimChar"/>
        </w:rPr>
        <w:t xml:space="preserve">persistLead</w:t>
      </w:r>
      <w:r>
        <w:t xml:space="preserve"> </w:t>
      </w:r>
      <w:r>
        <w:t xml:space="preserve">executa</w:t>
      </w:r>
      <w:r>
        <w:t xml:space="preserve"> </w:t>
      </w:r>
      <w:r>
        <w:rPr>
          <w:rStyle w:val="VerbatimChar"/>
        </w:rPr>
        <w:t xml:space="preserve">safeParse</w:t>
      </w:r>
      <w:r>
        <w:t xml:space="preserve">. Dados aprovados seguem para</w:t>
      </w:r>
      <w:r>
        <w:t xml:space="preserve"> </w:t>
      </w:r>
      <w:r>
        <w:rPr>
          <w:rStyle w:val="VerbatimChar"/>
        </w:rPr>
        <w:t xml:space="preserve">executeLeadCreation</w:t>
      </w:r>
      <w:r>
        <w:t xml:space="preserve">, que gera</w:t>
      </w:r>
      <w:r>
        <w:t xml:space="preserve"> </w:t>
      </w:r>
      <w:r>
        <w:rPr>
          <w:rStyle w:val="VerbatimChar"/>
        </w:rPr>
        <w:t xml:space="preserve">lead_</w:t>
      </w:r>
      <w:r>
        <w:t xml:space="preserve"> </w:t>
      </w:r>
      <w:r>
        <w:t xml:space="preserve">seguido de UUID, calcula o HMAC do e-mail e constrói dois conjuntos de informações. O registro operacional contém a organização, a previsão e os vínculos; o cofre contém os contatos cifrados. Ambos são encaminhados a</w:t>
      </w:r>
      <w:r>
        <w:t xml:space="preserve"> </w:t>
      </w:r>
      <w:r>
        <w:rPr>
          <w:rStyle w:val="VerbatimChar"/>
        </w:rPr>
        <w:t xml:space="preserve">writeLeadToBucket</w:t>
      </w:r>
      <w:r>
        <w:t xml:space="preserve"> </w:t>
      </w:r>
      <w:r>
        <w:t xml:space="preserve">junto com o e-mail necessário à verificação de unicidade.</w:t>
      </w:r>
    </w:p>
    <w:p>
      <w:pPr>
        <w:pStyle w:val="BodyText"/>
      </w:pPr>
      <w:r>
        <w:t xml:space="preserve">O serviço transacional devolve sucesso, duplicidade ou falha. A API converte esses resultados em 201, 409 ou 503. Exceções na geração do hash, na cifragem ou na preparação da operação são tratadas como 500. Uma conexão Firestore nula produz falha de persistência, e uma exceção interna de gravação é registrada de forma sanitizada antes do retorno de falha. Não existe confirmação local usada como substituto da gravação remota.</w:t>
      </w:r>
    </w:p>
    <w:p>
      <w:pPr>
        <w:pStyle w:val="BodyText"/>
      </w:pPr>
      <w:r>
        <w:t xml:space="preserve">O status 201 aqui descrito é o contrato implementado. As verificações anteriores disponíveis documentam execução local e testes automatizados; não constituem comprovação de um envio real bem-sucedido ao banco de produção nesta atividade documental. A relação entre os registros e a atomicidade das escritas está detalhada no capítulo seguinte.</w:t>
      </w:r>
    </w:p>
    <w:p>
      <w:pPr>
        <w:pStyle w:val="BodyText"/>
      </w:pPr>
      <w:r>
        <w:t xml:space="preserve">Fontes de implementação:</w:t>
      </w:r>
      <w:r>
        <w:t xml:space="preserve"> </w:t>
      </w:r>
      <w:r>
        <w:rPr>
          <w:rStyle w:val="VerbatimChar"/>
        </w:rPr>
        <w:t xml:space="preserve">server.ts</w:t>
      </w:r>
      <w:r>
        <w:t xml:space="preserve"> </w:t>
      </w:r>
      <w:r>
        <w:t xml:space="preserve">—</w:t>
      </w:r>
      <w:r>
        <w:t xml:space="preserve"> </w:t>
      </w:r>
      <w:r>
        <w:rPr>
          <w:rStyle w:val="VerbatimChar"/>
        </w:rPr>
        <w:t xml:space="preserve">app</w:t>
      </w:r>
      <w:r>
        <w:t xml:space="preserve">,</w:t>
      </w:r>
      <w:r>
        <w:t xml:space="preserve"> </w:t>
      </w:r>
      <w:r>
        <w:rPr>
          <w:rStyle w:val="VerbatimChar"/>
        </w:rPr>
        <w:t xml:space="preserve">rateLimiter</w:t>
      </w:r>
      <w:r>
        <w:t xml:space="preserve">,</w:t>
      </w:r>
      <w:r>
        <w:t xml:space="preserve"> </w:t>
      </w:r>
      <w:r>
        <w:rPr>
          <w:rStyle w:val="VerbatimChar"/>
        </w:rPr>
        <w:t xml:space="preserve">persistLead</w:t>
      </w:r>
      <w:r>
        <w:t xml:space="preserve">,</w:t>
      </w:r>
      <w:r>
        <w:t xml:space="preserve"> </w:t>
      </w:r>
      <w:r>
        <w:rPr>
          <w:rStyle w:val="VerbatimChar"/>
        </w:rPr>
        <w:t xml:space="preserve">executeLeadCreation</w:t>
      </w:r>
      <w:r>
        <w:t xml:space="preserve">,</w:t>
      </w:r>
      <w:r>
        <w:t xml:space="preserve"> </w:t>
      </w:r>
      <w:r>
        <w:rPr>
          <w:rStyle w:val="VerbatimChar"/>
        </w:rPr>
        <w:t xml:space="preserve">serveWellKnown</w:t>
      </w:r>
      <w:r>
        <w:t xml:space="preserve"> </w:t>
      </w:r>
      <w:r>
        <w:t xml:space="preserve">e configuração de rotas;</w:t>
      </w:r>
      <w:r>
        <w:t xml:space="preserve"> </w:t>
      </w:r>
      <w:r>
        <w:rPr>
          <w:rStyle w:val="VerbatimChar"/>
        </w:rPr>
        <w:t xml:space="preserve">src/types/leads.ts</w:t>
      </w:r>
      <w:r>
        <w:t xml:space="preserve"> </w:t>
      </w:r>
      <w:r>
        <w:t xml:space="preserve">—</w:t>
      </w:r>
      <w:r>
        <w:t xml:space="preserve"> </w:t>
      </w:r>
      <w:r>
        <w:rPr>
          <w:rStyle w:val="VerbatimChar"/>
        </w:rPr>
        <w:t xml:space="preserve">LeadRegistrationInputSchema</w:t>
      </w:r>
      <w:r>
        <w:t xml:space="preserve">;</w:t>
      </w:r>
      <w:r>
        <w:t xml:space="preserve"> </w:t>
      </w:r>
      <w:r>
        <w:rPr>
          <w:rStyle w:val="VerbatimChar"/>
        </w:rPr>
        <w:t xml:space="preserve">src/api/leadsService.ts</w:t>
      </w:r>
      <w:r>
        <w:t xml:space="preserve"> </w:t>
      </w:r>
      <w:r>
        <w:t xml:space="preserve">—</w:t>
      </w:r>
      <w:r>
        <w:t xml:space="preserve"> </w:t>
      </w:r>
      <w:r>
        <w:rPr>
          <w:rStyle w:val="VerbatimChar"/>
        </w:rPr>
        <w:t xml:space="preserve">registrarManifestacaoInteresse</w:t>
      </w:r>
      <w:r>
        <w:t xml:space="preserve">;</w:t>
      </w:r>
      <w:r>
        <w:t xml:space="preserve"> </w:t>
      </w:r>
      <w:r>
        <w:rPr>
          <w:rStyle w:val="VerbatimChar"/>
        </w:rPr>
        <w:t xml:space="preserve">src/components/interest/useInterestForm.ts</w:t>
      </w:r>
      <w:r>
        <w:t xml:space="preserve"> </w:t>
      </w:r>
      <w:r>
        <w:t xml:space="preserve">e</w:t>
      </w:r>
      <w:r>
        <w:t xml:space="preserve"> </w:t>
      </w:r>
      <w:r>
        <w:rPr>
          <w:rStyle w:val="VerbatimChar"/>
        </w:rPr>
        <w:t xml:space="preserve">interestFormUtils.ts</w:t>
      </w:r>
      <w:r>
        <w:t xml:space="preserve">. Revisão</w:t>
      </w:r>
      <w:r>
        <w:t xml:space="preserve"> </w:t>
      </w:r>
      <w:r>
        <w:rPr>
          <w:rStyle w:val="VerbatimChar"/>
        </w:rPr>
        <w:t xml:space="preserve">1d05eb64bfdb9f7f579221a144165a66f1ba25e4</w:t>
      </w:r>
      <w:r>
        <w:t xml:space="preserve">.</w:t>
      </w:r>
    </w:p>
    <w:bookmarkEnd w:id="59"/>
    <w:bookmarkEnd w:id="60"/>
    <w:bookmarkStart w:id="73" w:name="X2077e0e7d99c4051b5625724ee78ca21653cabc"/>
    <w:p>
      <w:pPr>
        <w:pStyle w:val="Heading1"/>
      </w:pPr>
      <w:bookmarkStart w:id="20031" w:name="docsec_032"/>
      <w:r>
        <w:t xml:space="preserve">Serviços, dados, persistência e criptografia</w:t>
      </w:r>
      <w:bookmarkEnd w:id="20031"/>
    </w:p>
    <w:bookmarkStart w:id="61" w:name="Xf250b78a47da7d645f23a543b28a46b7a60798d"/>
    <w:p>
      <w:pPr>
        <w:pStyle w:val="Heading2"/>
      </w:pPr>
      <w:bookmarkStart w:id="20032" w:name="docsec_033"/>
      <w:r>
        <w:t xml:space="preserve">Configuração dos serviços e seleção do banco</w:t>
      </w:r>
      <w:bookmarkEnd w:id="20032"/>
    </w:p>
    <w:p>
      <w:pPr>
        <w:pStyle w:val="FirstParagraph"/>
      </w:pPr>
      <w:r>
        <w:t xml:space="preserve">O servidor utiliza</w:t>
      </w:r>
      <w:r>
        <w:t xml:space="preserve"> </w:t>
      </w:r>
      <w:r>
        <w:rPr>
          <w:rStyle w:val="VerbatimChar"/>
        </w:rPr>
        <w:t xml:space="preserve">firebase-admin/app</w:t>
      </w:r>
      <w:r>
        <w:t xml:space="preserve"> </w:t>
      </w:r>
      <w:r>
        <w:t xml:space="preserve">e</w:t>
      </w:r>
      <w:r>
        <w:t xml:space="preserve"> </w:t>
      </w:r>
      <w:r>
        <w:rPr>
          <w:rStyle w:val="VerbatimChar"/>
        </w:rPr>
        <w:t xml:space="preserve">firebase-admin/firestore</w:t>
      </w:r>
      <w:r>
        <w:t xml:space="preserve">.</w:t>
      </w:r>
      <w:r>
        <w:t xml:space="preserve"> </w:t>
      </w:r>
      <w:r>
        <w:rPr>
          <w:rStyle w:val="VerbatimChar"/>
        </w:rPr>
        <w:t xml:space="preserve">initFirestoreClient</w:t>
      </w:r>
      <w:r>
        <w:t xml:space="preserve"> </w:t>
      </w:r>
      <w:r>
        <w:t xml:space="preserve">lê a configuração local, resolve o identificador do projeto e seleciona a base.</w:t>
      </w:r>
      <w:r>
        <w:t xml:space="preserve"> </w:t>
      </w:r>
      <w:r>
        <w:rPr>
          <w:rStyle w:val="VerbatimChar"/>
        </w:rPr>
        <w:t xml:space="preserve">getOrInitApp</w:t>
      </w:r>
      <w:r>
        <w:t xml:space="preserve"> </w:t>
      </w:r>
      <w:r>
        <w:t xml:space="preserve">reaproveita a primeira aplicação Admin já inicializada no processo ou executa</w:t>
      </w:r>
      <w:r>
        <w:t xml:space="preserve"> </w:t>
      </w:r>
      <w:r>
        <w:rPr>
          <w:rStyle w:val="VerbatimChar"/>
        </w:rPr>
        <w:t xml:space="preserve">initializeApp({ projectId })</w:t>
      </w:r>
      <w:r>
        <w:t xml:space="preserve">. O fluxo principal não inicializa o SDK cliente Firebase no navegador.</w:t>
      </w:r>
    </w:p>
    <w:p>
      <w:pPr>
        <w:pStyle w:val="BodyText"/>
      </w:pPr>
      <w:r>
        <w:t xml:space="preserve">O código não incorpora chave privada nem objeto de credencial ao inicializador. O Admin SDK utiliza a resolução de credenciais do ambiente, pelo mecanismo Application Default Credentials, ADC. A identidade de execução e suas permissões IAM autorizam as operações privilegiadas. A configuração de IAM efetivamente implantada não está contida nesses módulos nem foi inspecionada nesta documentação.</w:t>
      </w:r>
    </w:p>
    <w:p>
      <w:pPr>
        <w:pStyle w:val="TableCaption"/>
        <w:keepNext/>
      </w:pPr>
      <w:r>
        <w:t xml:space="preserve">Tabela </w:t>
      </w:r>
      <w:r>
        <w:rPr>
          <w:rFonts w:ascii="Open Sans" w:hAnsi="Open Sans"/>
          <w:sz w:val="18"/>
        </w:rPr>
        <w:fldChar w:fldCharType="begin"/>
        <w:instrText xml:space="preserve"> SEQ Tabela </w:instrText>
        <w:fldChar w:fldCharType="separate"/>
        <w:t>16</w:t>
        <w:fldChar w:fldCharType="end"/>
      </w:r>
      <w:r>
        <w:t xml:space="preserve"> — Resolução dos identificadores Firestore.</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Informação</w:t>
            </w:r>
          </w:p>
        </w:tc>
        <w:tc>
          <w:tcPr>
            <w:tcW w:type="dxa" w:w="2476"/>
            <w:vAlign w:val="top"/>
            <w:shd w:fill="233B82"/>
          </w:tcPr>
          <w:p>
            <w:pPr>
              <w:pStyle w:val="Compact"/>
              <w:spacing w:before="40" w:after="60" w:line="247" w:lineRule="auto"/>
              <w:jc w:val="left"/>
            </w:pPr>
            <w:r>
              <w:rPr>
                <w:b/>
                <w:color w:val="FFFFFF"/>
                <w:sz w:val="18"/>
              </w:rPr>
              <w:t xml:space="preserve">Primeira opção</w:t>
            </w:r>
          </w:p>
        </w:tc>
        <w:tc>
          <w:tcPr>
            <w:tcW w:type="dxa" w:w="2762"/>
            <w:vAlign w:val="top"/>
            <w:shd w:fill="233B82"/>
          </w:tcPr>
          <w:p>
            <w:pPr>
              <w:pStyle w:val="Compact"/>
              <w:spacing w:before="40" w:after="60" w:line="247" w:lineRule="auto"/>
              <w:jc w:val="left"/>
            </w:pPr>
            <w:r>
              <w:rPr>
                <w:b/>
                <w:color w:val="FFFFFF"/>
                <w:sz w:val="18"/>
              </w:rPr>
              <w:t xml:space="preserve">Opção seguinte</w:t>
            </w:r>
          </w:p>
        </w:tc>
        <w:tc>
          <w:tcPr>
            <w:tcW w:type="dxa" w:w="2572"/>
            <w:vAlign w:val="top"/>
            <w:shd w:fill="233B82"/>
          </w:tcPr>
          <w:p>
            <w:pPr>
              <w:pStyle w:val="Compact"/>
              <w:spacing w:before="40" w:after="60" w:line="247" w:lineRule="auto"/>
              <w:jc w:val="left"/>
            </w:pPr>
            <w:r>
              <w:rPr>
                <w:b/>
                <w:color w:val="FFFFFF"/>
                <w:sz w:val="18"/>
              </w:rPr>
              <w:t xml:space="preserve">Comportamento final</w:t>
            </w:r>
          </w:p>
        </w:tc>
      </w:tr>
      <w:tr>
        <w:trPr>
          <w:cantSplit/>
        </w:trPr>
        <w:tc>
          <w:tcPr>
            <w:tcW w:type="dxa" w:w="1714"/>
            <w:vAlign w:val="top"/>
            <w:shd w:fill="FFFFFF"/>
          </w:tcPr>
          <w:p>
            <w:pPr>
              <w:pStyle w:val="Compact"/>
              <w:spacing w:before="40" w:after="60" w:line="247" w:lineRule="auto"/>
              <w:jc w:val="left"/>
            </w:pPr>
            <w:r>
              <w:rPr>
                <w:sz w:val="18"/>
              </w:rPr>
              <w:t xml:space="preserve">Projeto</w:t>
            </w:r>
          </w:p>
        </w:tc>
        <w:tc>
          <w:tcPr>
            <w:tcW w:type="dxa" w:w="2476"/>
            <w:vAlign w:val="top"/>
            <w:shd w:fill="FFFFFF"/>
          </w:tcPr>
          <w:p>
            <w:pPr>
              <w:pStyle w:val="Compact"/>
              <w:spacing w:before="40" w:after="60" w:line="247" w:lineRule="auto"/>
              <w:jc w:val="left"/>
            </w:pPr>
            <w:r>
              <w:rPr>
                <w:rStyle w:val="VerbatimChar"/>
                <w:sz w:val="17"/>
              </w:rPr>
              <w:t xml:space="preserve">FIREBASE_PROJECT_ID</w:t>
            </w:r>
            <w:r>
              <w:rPr>
                <w:sz w:val="18"/>
              </w:rPr>
              <w:t xml:space="preserve"> </w:t>
            </w:r>
            <w:r>
              <w:rPr>
                <w:sz w:val="18"/>
              </w:rPr>
              <w:t xml:space="preserve">não vazio.</w:t>
            </w:r>
          </w:p>
        </w:tc>
        <w:tc>
          <w:tcPr>
            <w:tcW w:type="dxa" w:w="2762"/>
            <w:vAlign w:val="top"/>
            <w:shd w:fill="FFFFFF"/>
          </w:tcPr>
          <w:p>
            <w:pPr>
              <w:pStyle w:val="Compact"/>
              <w:spacing w:before="40" w:after="60" w:line="247" w:lineRule="auto"/>
              <w:jc w:val="left"/>
            </w:pPr>
            <w:r>
              <w:rPr>
                <w:rStyle w:val="VerbatimChar"/>
                <w:sz w:val="17"/>
              </w:rPr>
              <w:t xml:space="preserve">projectId</w:t>
            </w:r>
            <w:r>
              <w:rPr>
                <w:sz w:val="18"/>
              </w:rPr>
              <w:t xml:space="preserve"> </w:t>
            </w:r>
            <w:r>
              <w:rPr>
                <w:sz w:val="18"/>
              </w:rPr>
              <w:t xml:space="preserve">do arquivo de configuração.</w:t>
            </w:r>
          </w:p>
        </w:tc>
        <w:tc>
          <w:tcPr>
            <w:tcW w:type="dxa" w:w="2572"/>
            <w:vAlign w:val="top"/>
            <w:shd w:fill="FFFFFF"/>
          </w:tcPr>
          <w:p>
            <w:pPr>
              <w:pStyle w:val="Compact"/>
              <w:spacing w:before="40" w:after="60" w:line="247" w:lineRule="auto"/>
              <w:jc w:val="left"/>
            </w:pPr>
            <w:r>
              <w:rPr>
                <w:sz w:val="18"/>
              </w:rPr>
              <w:t xml:space="preserve">Literal</w:t>
            </w:r>
            <w:r>
              <w:rPr>
                <w:sz w:val="18"/>
              </w:rPr>
              <w:t xml:space="preserve"> </w:t>
            </w:r>
            <w:r>
              <w:rPr>
                <w:rStyle w:val="VerbatimChar"/>
                <w:sz w:val="17"/>
              </w:rPr>
              <w:t xml:space="preserve">asg-ods</w:t>
            </w:r>
            <w:r>
              <w:rPr>
                <w:sz w:val="18"/>
              </w:rPr>
              <w:t xml:space="preserve">.</w:t>
            </w:r>
          </w:p>
        </w:tc>
      </w:tr>
      <w:tr>
        <w:trPr>
          <w:cantSplit/>
        </w:trPr>
        <w:tc>
          <w:tcPr>
            <w:tcW w:type="dxa" w:w="1714"/>
            <w:vAlign w:val="top"/>
            <w:shd w:fill="F5F8FC"/>
          </w:tcPr>
          <w:p>
            <w:pPr>
              <w:pStyle w:val="Compact"/>
              <w:spacing w:before="40" w:after="60" w:line="247" w:lineRule="auto"/>
              <w:jc w:val="left"/>
            </w:pPr>
            <w:r>
              <w:rPr>
                <w:sz w:val="18"/>
              </w:rPr>
              <w:t xml:space="preserve">Banco nomeado</w:t>
            </w:r>
          </w:p>
        </w:tc>
        <w:tc>
          <w:tcPr>
            <w:tcW w:type="dxa" w:w="2476"/>
            <w:vAlign w:val="top"/>
            <w:shd w:fill="F5F8FC"/>
          </w:tcPr>
          <w:p>
            <w:pPr>
              <w:pStyle w:val="Compact"/>
              <w:spacing w:before="40" w:after="60" w:line="247" w:lineRule="auto"/>
              <w:jc w:val="left"/>
            </w:pPr>
            <w:r>
              <w:rPr>
                <w:rStyle w:val="VerbatimChar"/>
                <w:sz w:val="17"/>
              </w:rPr>
              <w:t xml:space="preserve">FIRESTORE_DATABASE_ID</w:t>
            </w:r>
            <w:r>
              <w:rPr>
                <w:sz w:val="18"/>
              </w:rPr>
              <w:t xml:space="preserve"> </w:t>
            </w:r>
            <w:r>
              <w:rPr>
                <w:sz w:val="18"/>
              </w:rPr>
              <w:t xml:space="preserve">não vazio e diferente de</w:t>
            </w:r>
            <w:r>
              <w:rPr>
                <w:sz w:val="18"/>
              </w:rPr>
              <w:t xml:space="preserve"> </w:t>
            </w:r>
            <w:r>
              <w:rPr>
                <w:rStyle w:val="VerbatimChar"/>
                <w:sz w:val="17"/>
              </w:rPr>
              <w:t xml:space="preserve">(default)</w:t>
            </w:r>
            <w:r>
              <w:rPr>
                <w:sz w:val="18"/>
              </w:rPr>
              <w:t xml:space="preserve">.</w:t>
            </w:r>
          </w:p>
        </w:tc>
        <w:tc>
          <w:tcPr>
            <w:tcW w:type="dxa" w:w="2762"/>
            <w:vAlign w:val="top"/>
            <w:shd w:fill="F5F8FC"/>
          </w:tcPr>
          <w:p>
            <w:pPr>
              <w:pStyle w:val="Compact"/>
              <w:spacing w:before="40" w:after="60" w:line="247" w:lineRule="auto"/>
              <w:jc w:val="left"/>
            </w:pPr>
            <w:r>
              <w:rPr>
                <w:rStyle w:val="VerbatimChar"/>
                <w:sz w:val="17"/>
              </w:rPr>
              <w:t xml:space="preserve">firestoreDatabaseId</w:t>
            </w:r>
            <w:r>
              <w:rPr>
                <w:sz w:val="18"/>
              </w:rPr>
              <w:t xml:space="preserve"> </w:t>
            </w:r>
            <w:r>
              <w:rPr>
                <w:sz w:val="18"/>
              </w:rPr>
              <w:t xml:space="preserve">do arquivo, com a mesma condição.</w:t>
            </w:r>
          </w:p>
        </w:tc>
        <w:tc>
          <w:tcPr>
            <w:tcW w:type="dxa" w:w="2572"/>
            <w:vAlign w:val="top"/>
            <w:shd w:fill="F5F8FC"/>
          </w:tcPr>
          <w:p>
            <w:pPr>
              <w:pStyle w:val="Compact"/>
              <w:spacing w:before="40" w:after="60" w:line="247" w:lineRule="auto"/>
              <w:jc w:val="left"/>
            </w:pPr>
            <w:r>
              <w:rPr>
                <w:sz w:val="18"/>
              </w:rPr>
              <w:t xml:space="preserve">Sem identificador explícito: banco padrão do SDK.</w:t>
            </w:r>
          </w:p>
        </w:tc>
      </w:tr>
      <w:tr>
        <w:trPr>
          <w:cantSplit/>
        </w:trPr>
        <w:tc>
          <w:tcPr>
            <w:tcW w:type="dxa" w:w="1714"/>
            <w:vAlign w:val="top"/>
            <w:shd w:fill="FFFFFF"/>
          </w:tcPr>
          <w:p>
            <w:pPr>
              <w:pStyle w:val="Compact"/>
              <w:spacing w:before="40" w:after="60" w:line="247" w:lineRule="auto"/>
              <w:jc w:val="left"/>
            </w:pPr>
            <w:r>
              <w:rPr>
                <w:sz w:val="18"/>
              </w:rPr>
              <w:t xml:space="preserve">Aplicação Admin</w:t>
            </w:r>
          </w:p>
        </w:tc>
        <w:tc>
          <w:tcPr>
            <w:tcW w:type="dxa" w:w="2476"/>
            <w:vAlign w:val="top"/>
            <w:shd w:fill="FFFFFF"/>
          </w:tcPr>
          <w:p>
            <w:pPr>
              <w:pStyle w:val="Compact"/>
              <w:spacing w:before="40" w:after="60" w:line="247" w:lineRule="auto"/>
              <w:jc w:val="left"/>
            </w:pPr>
            <w:r>
              <w:rPr>
                <w:sz w:val="18"/>
              </w:rPr>
              <w:t xml:space="preserve">Primeira aplicação já inicializada.</w:t>
            </w:r>
          </w:p>
        </w:tc>
        <w:tc>
          <w:tcPr>
            <w:tcW w:type="dxa" w:w="2762"/>
            <w:vAlign w:val="top"/>
            <w:shd w:fill="FFFFFF"/>
          </w:tcPr>
          <w:p>
            <w:pPr>
              <w:pStyle w:val="Compact"/>
              <w:spacing w:before="40" w:after="60" w:line="247" w:lineRule="auto"/>
              <w:jc w:val="left"/>
            </w:pPr>
            <w:r>
              <w:rPr>
                <w:sz w:val="18"/>
              </w:rPr>
              <w:t xml:space="preserve">Nova aplicação com o projeto resolvido.</w:t>
            </w:r>
          </w:p>
        </w:tc>
        <w:tc>
          <w:tcPr>
            <w:tcW w:type="dxa" w:w="2572"/>
            <w:vAlign w:val="top"/>
            <w:shd w:fill="FFFFFF"/>
          </w:tcPr>
          <w:p>
            <w:pPr>
              <w:pStyle w:val="Compact"/>
              <w:spacing w:before="40" w:after="60" w:line="247" w:lineRule="auto"/>
              <w:jc w:val="left"/>
            </w:pPr>
            <w:r>
              <w:rPr>
                <w:sz w:val="18"/>
              </w:rPr>
              <w:t xml:space="preserve">Referência reutilizada por</w:t>
            </w:r>
            <w:r>
              <w:rPr>
                <w:sz w:val="18"/>
              </w:rPr>
              <w:t xml:space="preserve"> </w:t>
            </w:r>
            <w:r>
              <w:rPr>
                <w:rStyle w:val="VerbatimChar"/>
                <w:sz w:val="17"/>
              </w:rPr>
              <w:t xml:space="preserve">getFirestore</w:t>
            </w:r>
            <w:r>
              <w:rPr>
                <w:sz w:val="18"/>
              </w:rPr>
              <w:t xml:space="preserve">.</w:t>
            </w:r>
          </w:p>
        </w:tc>
      </w:tr>
    </w:tbl>
    <w:p>
      <w:pPr>
        <w:pStyle w:val="BodyText"/>
      </w:pPr>
      <w:r>
        <w:t xml:space="preserve">O arquivo</w:t>
      </w:r>
      <w:r>
        <w:t xml:space="preserve"> </w:t>
      </w:r>
      <w:r>
        <w:rPr>
          <w:rStyle w:val="VerbatimChar"/>
        </w:rPr>
        <w:t xml:space="preserve">firebase-applet-config.json</w:t>
      </w:r>
      <w:r>
        <w:t xml:space="preserve"> </w:t>
      </w:r>
      <w:r>
        <w:t xml:space="preserve">é lido relativamente ao diretório de trabalho; ausência, erro de leitura ou JSON inválido resulta em configuração vazia. Na revisão documentada, os identificadores não secretos são o projeto</w:t>
      </w:r>
      <w:r>
        <w:t xml:space="preserve"> </w:t>
      </w:r>
      <w:r>
        <w:rPr>
          <w:rStyle w:val="VerbatimChar"/>
        </w:rPr>
        <w:t xml:space="preserve">asg-ods</w:t>
      </w:r>
      <w:r>
        <w:t xml:space="preserve"> </w:t>
      </w:r>
      <w:r>
        <w:t xml:space="preserve">e o banco</w:t>
      </w:r>
      <w:r>
        <w:t xml:space="preserve"> </w:t>
      </w:r>
      <w:r>
        <w:rPr>
          <w:rStyle w:val="VerbatimChar"/>
        </w:rPr>
        <w:t xml:space="preserve">ai-studio-componenteasgods-8ee576da-afbc-43cb-932c-778d3594fd2f</w:t>
      </w:r>
      <w:r>
        <w:t xml:space="preserve">.</w:t>
      </w:r>
    </w:p>
    <w:p>
      <w:pPr>
        <w:pStyle w:val="BodyText"/>
      </w:pPr>
      <w:r>
        <w:t xml:space="preserve">O valor</w:t>
      </w:r>
      <w:r>
        <w:t xml:space="preserve"> </w:t>
      </w:r>
      <w:r>
        <w:rPr>
          <w:rStyle w:val="VerbatimChar"/>
        </w:rPr>
        <w:t xml:space="preserve">(default)</w:t>
      </w:r>
      <w:r>
        <w:t xml:space="preserve"> </w:t>
      </w:r>
      <w:r>
        <w:t xml:space="preserve">tem um comportamento específico: a função o trata como ausência de uma opção nomeada. Por isso, defini-lo na variável de ambiente não substitui um banco nomeado presente no arquivo; nessa combinação, prevalece o identificador do arquivo. Se nenhuma origem fornecer um banco nomeado, a chamada é</w:t>
      </w:r>
      <w:r>
        <w:t xml:space="preserve"> </w:t>
      </w:r>
      <w:r>
        <w:rPr>
          <w:rStyle w:val="VerbatimChar"/>
        </w:rPr>
        <w:t xml:space="preserve">getFirestore(app)</w:t>
      </w:r>
      <w:r>
        <w:t xml:space="preserve">; caso contrário, utiliza</w:t>
      </w:r>
      <w:r>
        <w:t xml:space="preserve"> </w:t>
      </w:r>
      <w:r>
        <w:rPr>
          <w:rStyle w:val="VerbatimChar"/>
        </w:rPr>
        <w:t xml:space="preserve">getFirestore(app, dbId)</w:t>
      </w:r>
      <w:r>
        <w:t xml:space="preserve">.</w:t>
      </w:r>
    </w:p>
    <w:p>
      <w:pPr>
        <w:pStyle w:val="BodyText"/>
      </w:pPr>
      <w:r>
        <w:t xml:space="preserve">As regras versionadas contêm somente o bloqueio geral de leitura e escrita por clientes. O Admin SDK opera mediante IAM e não recebe autorização a partir dessas regras. A equipe informou que o bloqueio foi implantado no ambiente real; esta é uma informação operacional fornecida pelo responsável, distinta da leitura do arquivo versionado. A API permanece pública para enviar uma manifestação, enquanto o acesso direto às coleções fica separado da interface.</w:t>
      </w:r>
    </w:p>
    <w:bookmarkEnd w:id="61"/>
    <w:bookmarkStart w:id="68" w:name="entidades-coleções-e-vínculos"/>
    <w:p>
      <w:pPr>
        <w:pStyle w:val="Heading2"/>
      </w:pPr>
      <w:bookmarkStart w:id="20033" w:name="docsec_034"/>
      <w:r>
        <w:t xml:space="preserve">Entidades, coleções e vínculos</w:t>
      </w:r>
      <w:bookmarkEnd w:id="20033"/>
    </w:p>
    <w:p>
      <w:pPr>
        <w:pStyle w:val="FirstParagraph"/>
      </w:pPr>
      <w:r>
        <w:t xml:space="preserve">Uma manifestação aprovada é distribuída em três coleções.</w:t>
      </w:r>
      <w:r>
        <w:t xml:space="preserve"> </w:t>
      </w:r>
      <w:r>
        <w:rPr>
          <w:rStyle w:val="VerbatimChar"/>
        </w:rPr>
        <w:t xml:space="preserve">leads_unicidade</w:t>
      </w:r>
      <w:r>
        <w:t xml:space="preserve"> </w:t>
      </w:r>
      <w:r>
        <w:t xml:space="preserve">relaciona o HMAC do e-mail com a parte e o lead;</w:t>
      </w:r>
      <w:r>
        <w:t xml:space="preserve"> </w:t>
      </w:r>
      <w:r>
        <w:rPr>
          <w:rStyle w:val="VerbatimChar"/>
        </w:rPr>
        <w:t xml:space="preserve">leads_adesao</w:t>
      </w:r>
      <w:r>
        <w:t xml:space="preserve"> </w:t>
      </w:r>
      <w:r>
        <w:t xml:space="preserve">reúne registros operacionais em documentos</w:t>
      </w:r>
      <w:r>
        <w:t xml:space="preserve"> </w:t>
      </w:r>
      <w:r>
        <w:rPr>
          <w:rStyle w:val="VerbatimChar"/>
        </w:rPr>
        <w:t xml:space="preserve">parte1</w:t>
      </w:r>
      <w:r>
        <w:t xml:space="preserve">,</w:t>
      </w:r>
      <w:r>
        <w:t xml:space="preserve"> </w:t>
      </w:r>
      <w:r>
        <w:rPr>
          <w:rStyle w:val="VerbatimChar"/>
        </w:rPr>
        <w:t xml:space="preserve">parte2</w:t>
      </w:r>
      <w:r>
        <w:t xml:space="preserve"> </w:t>
      </w:r>
      <w:r>
        <w:t xml:space="preserve">e seguintes;</w:t>
      </w:r>
      <w:r>
        <w:t xml:space="preserve"> </w:t>
      </w:r>
      <w:r>
        <w:rPr>
          <w:rStyle w:val="VerbatimChar"/>
        </w:rPr>
        <w:t xml:space="preserve">vault_leads</w:t>
      </w:r>
      <w:r>
        <w:t xml:space="preserve"> </w:t>
      </w:r>
      <w:r>
        <w:t xml:space="preserve">guarda os contatos cifrados em um documento por lead. O identificador gerado no servidor une os registros sem ser derivado do nome ou do e-mail em claro.</w:t>
      </w:r>
    </w:p>
    <w:p>
      <w:pPr>
        <w:pStyle w:val="CaptionedFigure"/>
        <w:keepNext/>
        <w:jc w:val="center"/>
      </w:pPr>
      <w:r>
        <w:drawing>
          <wp:inline>
            <wp:extent cx="6045200" cy="3898914"/>
            <wp:effectExtent b="0" l="0" r="0" t="0"/>
            <wp:docPr descr="Modelo de vínculos entre índice de unicidade, partes operacionais e cofre de contatos." title="" id="63" name="Picture"/>
            <a:graphic>
              <a:graphicData uri="http://schemas.openxmlformats.org/drawingml/2006/picture">
                <pic:pic>
                  <pic:nvPicPr>
                    <pic:cNvPr descr="diagrams/03_registros.png" id="64" name="Picture"/>
                    <pic:cNvPicPr>
                      <a:picLocks noChangeArrowheads="1" noChangeAspect="1"/>
                    </pic:cNvPicPr>
                  </pic:nvPicPr>
                  <pic:blipFill>
                    <a:blip r:embed="rId62"/>
                    <a:stretch>
                      <a:fillRect/>
                    </a:stretch>
                  </pic:blipFill>
                  <pic:spPr bwMode="auto">
                    <a:xfrm>
                      <a:off x="0" y="0"/>
                      <a:ext cx="6045200" cy="3898914"/>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3</w:t>
        <w:fldChar w:fldCharType="end"/>
      </w:r>
      <w:r>
        <w:t xml:space="preserve"> — Modelo de vínculos entre índice de unicidade, partes operacionais e cofre de contatos.</w:t>
      </w:r>
    </w:p>
    <w:p>
      <w:pPr>
        <w:pStyle w:val="TableCaption"/>
        <w:keepNext/>
      </w:pPr>
      <w:r>
        <w:t xml:space="preserve">Tabela </w:t>
      </w:r>
      <w:r>
        <w:rPr>
          <w:rFonts w:ascii="Open Sans" w:hAnsi="Open Sans"/>
          <w:sz w:val="18"/>
        </w:rPr>
        <w:fldChar w:fldCharType="begin"/>
        <w:instrText xml:space="preserve"> SEQ Tabela </w:instrText>
        <w:fldChar w:fldCharType="separate"/>
        <w:t>17</w:t>
        <w:fldChar w:fldCharType="end"/>
      </w:r>
      <w:r>
        <w:t xml:space="preserve"> — Coleções do fluxo de manifestação.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Coleção</w:t>
            </w:r>
          </w:p>
        </w:tc>
        <w:tc>
          <w:tcPr>
            <w:tcW w:type="dxa" w:w="2476"/>
            <w:vAlign w:val="top"/>
            <w:shd w:fill="233B82"/>
          </w:tcPr>
          <w:p>
            <w:pPr>
              <w:pStyle w:val="Compact"/>
              <w:spacing w:before="40" w:after="60" w:line="247" w:lineRule="auto"/>
              <w:jc w:val="left"/>
            </w:pPr>
            <w:r>
              <w:rPr>
                <w:b/>
                <w:color w:val="FFFFFF"/>
                <w:sz w:val="18"/>
              </w:rPr>
              <w:t xml:space="preserve">Identificação do documento</w:t>
            </w:r>
          </w:p>
        </w:tc>
        <w:tc>
          <w:tcPr>
            <w:tcW w:type="dxa" w:w="2762"/>
            <w:vAlign w:val="top"/>
            <w:shd w:fill="233B82"/>
          </w:tcPr>
          <w:p>
            <w:pPr>
              <w:pStyle w:val="Compact"/>
              <w:spacing w:before="40" w:after="60" w:line="247" w:lineRule="auto"/>
              <w:jc w:val="left"/>
            </w:pPr>
            <w:r>
              <w:rPr>
                <w:b/>
                <w:color w:val="FFFFFF"/>
                <w:sz w:val="18"/>
              </w:rPr>
              <w:t xml:space="preserve">Conteúdo</w:t>
            </w:r>
          </w:p>
        </w:tc>
        <w:tc>
          <w:tcPr>
            <w:tcW w:type="dxa" w:w="2572"/>
            <w:vAlign w:val="top"/>
            <w:shd w:fill="233B82"/>
          </w:tcPr>
          <w:p>
            <w:pPr>
              <w:pStyle w:val="Compact"/>
              <w:spacing w:before="40" w:after="60" w:line="247" w:lineRule="auto"/>
              <w:jc w:val="left"/>
            </w:pPr>
            <w:r>
              <w:rPr>
                <w:b/>
                <w:color w:val="FFFFFF"/>
                <w:sz w:val="18"/>
              </w:rPr>
              <w:t xml:space="preserve">Relação</w:t>
            </w:r>
          </w:p>
        </w:tc>
      </w:tr>
      <w:tr>
        <w:trPr>
          <w:cantSplit/>
        </w:trPr>
        <w:tc>
          <w:tcPr>
            <w:tcW w:type="dxa" w:w="1714"/>
            <w:vAlign w:val="top"/>
            <w:shd w:fill="FFFFFF"/>
          </w:tcPr>
          <w:p>
            <w:pPr>
              <w:pStyle w:val="Compact"/>
              <w:spacing w:before="40" w:after="60" w:line="247" w:lineRule="auto"/>
              <w:jc w:val="left"/>
            </w:pPr>
            <w:r>
              <w:rPr>
                <w:rStyle w:val="VerbatimChar"/>
                <w:sz w:val="17"/>
              </w:rPr>
              <w:t xml:space="preserve">leads_unicidade</w:t>
            </w:r>
          </w:p>
        </w:tc>
        <w:tc>
          <w:tcPr>
            <w:tcW w:type="dxa" w:w="2476"/>
            <w:vAlign w:val="top"/>
            <w:shd w:fill="FFFFFF"/>
          </w:tcPr>
          <w:p>
            <w:pPr>
              <w:pStyle w:val="Compact"/>
              <w:spacing w:before="40" w:after="60" w:line="247" w:lineRule="auto"/>
              <w:jc w:val="left"/>
            </w:pPr>
            <w:r>
              <w:rPr>
                <w:sz w:val="18"/>
              </w:rPr>
              <w:t xml:space="preserve">HMAC-SHA256 do e-mail, em 64 caracteres hexadecimais.</w:t>
            </w:r>
          </w:p>
        </w:tc>
        <w:tc>
          <w:tcPr>
            <w:tcW w:type="dxa" w:w="2762"/>
            <w:vAlign w:val="top"/>
            <w:shd w:fill="FFFFFF"/>
          </w:tcPr>
          <w:p>
            <w:pPr>
              <w:pStyle w:val="Compact"/>
              <w:spacing w:before="40" w:after="60" w:line="247" w:lineRule="auto"/>
              <w:jc w:val="left"/>
            </w:pPr>
            <w:r>
              <w:rPr>
                <w:sz w:val="18"/>
              </w:rPr>
              <w:t xml:space="preserve">Localização e vínculo do registro.</w:t>
            </w:r>
          </w:p>
        </w:tc>
        <w:tc>
          <w:tcPr>
            <w:tcW w:type="dxa" w:w="2572"/>
            <w:vAlign w:val="top"/>
            <w:shd w:fill="FFFFFF"/>
          </w:tcPr>
          <w:p>
            <w:pPr>
              <w:pStyle w:val="Compact"/>
              <w:spacing w:before="40" w:after="60" w:line="247" w:lineRule="auto"/>
              <w:jc w:val="left"/>
            </w:pPr>
            <w:r>
              <w:rPr>
                <w:sz w:val="18"/>
              </w:rPr>
              <w:t xml:space="preserve">Aponta para a parte e o</w:t>
            </w:r>
            <w:r>
              <w:rPr>
                <w:sz w:val="18"/>
              </w:rPr>
              <w:t xml:space="preserve"> </w:t>
            </w:r>
            <w:r>
              <w:rPr>
                <w:rStyle w:val="VerbatimChar"/>
                <w:sz w:val="17"/>
              </w:rPr>
              <w:t xml:space="preserve">leadId</w:t>
            </w:r>
            <w:r>
              <w:rPr>
                <w:sz w:val="18"/>
              </w:rPr>
              <w:t xml:space="preserve">.</w:t>
            </w:r>
          </w:p>
        </w:tc>
      </w:tr>
      <w:tr>
        <w:trPr>
          <w:cantSplit/>
        </w:trPr>
        <w:tc>
          <w:tcPr>
            <w:tcW w:type="dxa" w:w="1714"/>
            <w:vAlign w:val="top"/>
            <w:shd w:fill="F5F8FC"/>
          </w:tcPr>
          <w:p>
            <w:pPr>
              <w:pStyle w:val="Compact"/>
              <w:spacing w:before="40" w:after="60" w:line="247" w:lineRule="auto"/>
              <w:jc w:val="left"/>
            </w:pPr>
            <w:r>
              <w:rPr>
                <w:rStyle w:val="VerbatimChar"/>
                <w:sz w:val="17"/>
              </w:rPr>
              <w:t xml:space="preserve">leads_adesao</w:t>
            </w:r>
          </w:p>
        </w:tc>
        <w:tc>
          <w:tcPr>
            <w:tcW w:type="dxa" w:w="2476"/>
            <w:vAlign w:val="top"/>
            <w:shd w:fill="F5F8FC"/>
          </w:tcPr>
          <w:p>
            <w:pPr>
              <w:pStyle w:val="Compact"/>
              <w:spacing w:before="40" w:after="60" w:line="247" w:lineRule="auto"/>
              <w:jc w:val="left"/>
            </w:pPr>
            <w:r>
              <w:rPr>
                <w:rStyle w:val="VerbatimChar"/>
                <w:sz w:val="17"/>
              </w:rPr>
              <w:t xml:space="preserve">parte</w:t>
            </w:r>
            <w:r>
              <w:rPr>
                <w:sz w:val="18"/>
              </w:rPr>
              <w:t xml:space="preserve"> </w:t>
            </w:r>
            <w:r>
              <w:rPr>
                <w:sz w:val="18"/>
              </w:rPr>
              <w:t xml:space="preserve">seguido do número sequencial.</w:t>
            </w:r>
          </w:p>
        </w:tc>
        <w:tc>
          <w:tcPr>
            <w:tcW w:type="dxa" w:w="2762"/>
            <w:vAlign w:val="top"/>
            <w:shd w:fill="F5F8FC"/>
          </w:tcPr>
          <w:p>
            <w:pPr>
              <w:pStyle w:val="Compact"/>
              <w:spacing w:before="40" w:after="60" w:line="247" w:lineRule="auto"/>
              <w:jc w:val="left"/>
            </w:pPr>
            <w:r>
              <w:rPr>
                <w:sz w:val="18"/>
              </w:rPr>
              <w:t xml:space="preserve">Metadados e array</w:t>
            </w:r>
            <w:r>
              <w:rPr>
                <w:sz w:val="18"/>
              </w:rPr>
              <w:t xml:space="preserve"> </w:t>
            </w:r>
            <w:r>
              <w:rPr>
                <w:rStyle w:val="VerbatimChar"/>
                <w:sz w:val="17"/>
              </w:rPr>
              <w:t xml:space="preserve">manifestacoes</w:t>
            </w:r>
            <w:r>
              <w:rPr>
                <w:sz w:val="18"/>
              </w:rPr>
              <w:t xml:space="preserve">.</w:t>
            </w:r>
          </w:p>
        </w:tc>
        <w:tc>
          <w:tcPr>
            <w:tcW w:type="dxa" w:w="2572"/>
            <w:vAlign w:val="top"/>
            <w:shd w:fill="F5F8FC"/>
          </w:tcPr>
          <w:p>
            <w:pPr>
              <w:pStyle w:val="Compact"/>
              <w:spacing w:before="40" w:after="60" w:line="247" w:lineRule="auto"/>
              <w:jc w:val="left"/>
            </w:pPr>
            <w:r>
              <w:rPr>
                <w:sz w:val="18"/>
              </w:rPr>
              <w:t xml:space="preserve">Cada manifestação referencia o cofre.</w:t>
            </w:r>
          </w:p>
        </w:tc>
      </w:tr>
      <w:tr>
        <w:trPr>
          <w:cantSplit/>
        </w:trPr>
        <w:tc>
          <w:tcPr>
            <w:tcW w:type="dxa" w:w="1714"/>
            <w:vAlign w:val="top"/>
            <w:shd w:fill="FFFFFF"/>
          </w:tcPr>
          <w:p>
            <w:pPr>
              <w:pStyle w:val="Compact"/>
              <w:spacing w:before="40" w:after="60" w:line="247" w:lineRule="auto"/>
              <w:jc w:val="left"/>
            </w:pPr>
            <w:r>
              <w:rPr>
                <w:rStyle w:val="VerbatimChar"/>
                <w:sz w:val="17"/>
              </w:rPr>
              <w:t xml:space="preserve">vault_leads</w:t>
            </w:r>
          </w:p>
        </w:tc>
        <w:tc>
          <w:tcPr>
            <w:tcW w:type="dxa" w:w="2476"/>
            <w:vAlign w:val="top"/>
            <w:shd w:fill="FFFFFF"/>
          </w:tcPr>
          <w:p>
            <w:pPr>
              <w:pStyle w:val="Compact"/>
              <w:spacing w:before="40" w:after="60" w:line="247" w:lineRule="auto"/>
              <w:jc w:val="left"/>
            </w:pPr>
            <w:r>
              <w:rPr>
                <w:rStyle w:val="VerbatimChar"/>
                <w:sz w:val="17"/>
              </w:rPr>
              <w:t xml:space="preserve">leadId</w:t>
            </w:r>
            <w:r>
              <w:rPr>
                <w:sz w:val="18"/>
              </w:rPr>
              <w:t xml:space="preserve">, no padrão</w:t>
            </w:r>
            <w:r>
              <w:rPr>
                <w:sz w:val="18"/>
              </w:rPr>
              <w:t xml:space="preserve"> </w:t>
            </w:r>
            <w:r>
              <w:rPr>
                <w:rStyle w:val="VerbatimChar"/>
                <w:sz w:val="17"/>
              </w:rPr>
              <w:t xml:space="preserve">lead_</w:t>
            </w:r>
            <w:r>
              <w:rPr>
                <w:sz w:val="18"/>
              </w:rPr>
              <w:t xml:space="preserve"> </w:t>
            </w:r>
            <w:r>
              <w:rPr>
                <w:sz w:val="18"/>
              </w:rPr>
              <w:t xml:space="preserve">+ UUID.</w:t>
            </w:r>
          </w:p>
        </w:tc>
        <w:tc>
          <w:tcPr>
            <w:tcW w:type="dxa" w:w="2762"/>
            <w:vAlign w:val="top"/>
            <w:shd w:fill="FFFFFF"/>
          </w:tcPr>
          <w:p>
            <w:pPr>
              <w:pStyle w:val="Compact"/>
              <w:spacing w:before="40" w:after="60" w:line="247" w:lineRule="auto"/>
              <w:jc w:val="left"/>
            </w:pPr>
            <w:r>
              <w:rPr>
                <w:sz w:val="18"/>
              </w:rPr>
              <w:t xml:space="preserve">Contatos cifrados e metadados.</w:t>
            </w:r>
          </w:p>
        </w:tc>
        <w:tc>
          <w:tcPr>
            <w:tcW w:type="dxa" w:w="2572"/>
            <w:vAlign w:val="top"/>
            <w:shd w:fill="FFFFFF"/>
          </w:tcPr>
          <w:p>
            <w:pPr>
              <w:pStyle w:val="Compact"/>
              <w:spacing w:before="40" w:after="60" w:line="247" w:lineRule="auto"/>
              <w:jc w:val="left"/>
            </w:pPr>
            <w:r>
              <w:rPr>
                <w:sz w:val="18"/>
              </w:rPr>
              <w:t xml:space="preserve">Mesmo identificador do registro operacional.</w:t>
            </w:r>
          </w:p>
        </w:tc>
      </w:tr>
    </w:tbl>
    <w:bookmarkStart w:id="65" w:name="índice-de-unicidade"/>
    <w:p>
      <w:pPr>
        <w:pStyle w:val="Heading3"/>
      </w:pPr>
      <w:r>
        <w:t xml:space="preserve">Índice de unicidade</w:t>
      </w:r>
    </w:p>
    <w:p>
      <w:pPr>
        <w:pStyle w:val="TableCaption"/>
        <w:keepNext/>
      </w:pPr>
      <w:r>
        <w:t xml:space="preserve">Tabela </w:t>
      </w:r>
      <w:r>
        <w:rPr>
          <w:rFonts w:ascii="Open Sans" w:hAnsi="Open Sans"/>
          <w:sz w:val="18"/>
        </w:rPr>
        <w:fldChar w:fldCharType="begin"/>
        <w:instrText xml:space="preserve"> SEQ Tabela </w:instrText>
        <w:fldChar w:fldCharType="separate"/>
        <w:t>18</w:t>
        <w:fldChar w:fldCharType="end"/>
      </w:r>
      <w:r>
        <w:t xml:space="preserve"> — Campos de leads_unicidade/{emailHash}.</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 persistido</w:t>
            </w:r>
          </w:p>
        </w:tc>
        <w:tc>
          <w:tcPr>
            <w:tcW w:type="dxa" w:w="3238"/>
            <w:vAlign w:val="top"/>
            <w:shd w:fill="233B82"/>
          </w:tcPr>
          <w:p>
            <w:pPr>
              <w:pStyle w:val="Compact"/>
              <w:spacing w:before="40" w:after="60" w:line="247" w:lineRule="auto"/>
              <w:jc w:val="left"/>
            </w:pPr>
            <w:r>
              <w:rPr>
                <w:b/>
                <w:color w:val="FFFFFF"/>
                <w:sz w:val="18"/>
              </w:rPr>
              <w:t xml:space="preserve">Origem</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criadoEm</w:t>
            </w:r>
          </w:p>
        </w:tc>
        <w:tc>
          <w:tcPr>
            <w:tcW w:type="dxa" w:w="1429"/>
            <w:vAlign w:val="top"/>
            <w:shd w:fill="FFFFFF"/>
          </w:tcPr>
          <w:p>
            <w:pPr>
              <w:pStyle w:val="Compact"/>
              <w:spacing w:before="40" w:after="60" w:line="247" w:lineRule="auto"/>
              <w:jc w:val="left"/>
            </w:pPr>
            <w:r>
              <w:rPr>
                <w:sz w:val="18"/>
              </w:rPr>
              <w:t xml:space="preserve">String ISO 8601.</w:t>
            </w:r>
          </w:p>
        </w:tc>
        <w:tc>
          <w:tcPr>
            <w:tcW w:type="dxa" w:w="3238"/>
            <w:vAlign w:val="top"/>
            <w:shd w:fill="FFFFFF"/>
          </w:tcPr>
          <w:p>
            <w:pPr>
              <w:pStyle w:val="Compact"/>
              <w:spacing w:before="40" w:after="60" w:line="247" w:lineRule="auto"/>
              <w:jc w:val="left"/>
            </w:pPr>
            <w:r>
              <w:rPr>
                <w:sz w:val="18"/>
              </w:rPr>
              <w:t xml:space="preserve">Data do servidor no momento da composição.</w:t>
            </w:r>
          </w:p>
        </w:tc>
        <w:tc>
          <w:tcPr>
            <w:tcW w:type="dxa" w:w="2953"/>
            <w:vAlign w:val="top"/>
            <w:shd w:fill="FFFFFF"/>
          </w:tcPr>
          <w:p>
            <w:pPr>
              <w:pStyle w:val="Compact"/>
              <w:spacing w:before="40" w:after="60" w:line="247" w:lineRule="auto"/>
              <w:jc w:val="left"/>
            </w:pPr>
            <w:r>
              <w:rPr>
                <w:sz w:val="18"/>
              </w:rPr>
              <w:t xml:space="preserve">Identificação temporal do índice.</w:t>
            </w:r>
          </w:p>
        </w:tc>
      </w:tr>
      <w:tr>
        <w:trPr>
          <w:cantSplit/>
        </w:trPr>
        <w:tc>
          <w:tcPr>
            <w:tcW w:type="dxa" w:w="1905"/>
            <w:vAlign w:val="top"/>
            <w:shd w:fill="F5F8FC"/>
          </w:tcPr>
          <w:p>
            <w:pPr>
              <w:pStyle w:val="Compact"/>
              <w:spacing w:before="40" w:after="60" w:line="247" w:lineRule="auto"/>
              <w:jc w:val="left"/>
            </w:pPr>
            <w:r>
              <w:rPr>
                <w:rStyle w:val="VerbatimChar"/>
                <w:sz w:val="17"/>
              </w:rPr>
              <w:t xml:space="preserve">parte</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Documento operacional selecionado.</w:t>
            </w:r>
          </w:p>
        </w:tc>
        <w:tc>
          <w:tcPr>
            <w:tcW w:type="dxa" w:w="2953"/>
            <w:vAlign w:val="top"/>
            <w:shd w:fill="F5F8FC"/>
          </w:tcPr>
          <w:p>
            <w:pPr>
              <w:pStyle w:val="Compact"/>
              <w:spacing w:before="40" w:after="60" w:line="247" w:lineRule="auto"/>
              <w:jc w:val="left"/>
            </w:pPr>
            <w:r>
              <w:rPr>
                <w:sz w:val="18"/>
              </w:rPr>
              <w:t xml:space="preserve">Localiza</w:t>
            </w:r>
            <w:r>
              <w:rPr>
                <w:sz w:val="18"/>
              </w:rPr>
              <w:t xml:space="preserve"> </w:t>
            </w:r>
            <w:r>
              <w:rPr>
                <w:rStyle w:val="VerbatimChar"/>
                <w:sz w:val="17"/>
              </w:rPr>
              <w:t xml:space="preserve">parteN</w:t>
            </w:r>
            <w:r>
              <w:rPr>
                <w:sz w:val="18"/>
              </w:rPr>
              <w:t xml:space="preserve"> </w:t>
            </w:r>
            <w:r>
              <w:rPr>
                <w:sz w:val="18"/>
              </w:rPr>
              <w:t xml:space="preserve">em</w:t>
            </w:r>
            <w:r>
              <w:rPr>
                <w:sz w:val="18"/>
              </w:rPr>
              <w:t xml:space="preserve"> </w:t>
            </w:r>
            <w:r>
              <w:rPr>
                <w:rStyle w:val="VerbatimChar"/>
                <w:sz w:val="17"/>
              </w:rPr>
              <w:t xml:space="preserve">leads_adesao</w:t>
            </w:r>
            <w:r>
              <w:rPr>
                <w:sz w:val="18"/>
              </w:rPr>
              <w:t xml:space="preserv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leadId</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Identificador gerado ou recuperado do registro existente.</w:t>
            </w:r>
          </w:p>
        </w:tc>
        <w:tc>
          <w:tcPr>
            <w:tcW w:type="dxa" w:w="2953"/>
            <w:vAlign w:val="top"/>
            <w:shd w:fill="FFFFFF"/>
          </w:tcPr>
          <w:p>
            <w:pPr>
              <w:pStyle w:val="Compact"/>
              <w:spacing w:before="40" w:after="60" w:line="247" w:lineRule="auto"/>
              <w:jc w:val="left"/>
            </w:pPr>
            <w:r>
              <w:rPr>
                <w:sz w:val="18"/>
              </w:rPr>
              <w:t xml:space="preserve">Relaciona índice, operação e cofre.</w:t>
            </w:r>
          </w:p>
        </w:tc>
      </w:tr>
    </w:tbl>
    <w:bookmarkEnd w:id="65"/>
    <w:bookmarkStart w:id="66" w:name="documento-de-agregação-operacional"/>
    <w:p>
      <w:pPr>
        <w:pStyle w:val="Heading3"/>
      </w:pPr>
      <w:r>
        <w:t xml:space="preserve">Documento de agregação operacional</w:t>
      </w:r>
    </w:p>
    <w:p>
      <w:pPr>
        <w:pStyle w:val="TableCaption"/>
        <w:keepNext/>
      </w:pPr>
      <w:r>
        <w:t xml:space="preserve">Tabela </w:t>
      </w:r>
      <w:r>
        <w:rPr>
          <w:rFonts w:ascii="Open Sans" w:hAnsi="Open Sans"/>
          <w:sz w:val="18"/>
        </w:rPr>
        <w:fldChar w:fldCharType="begin"/>
        <w:instrText xml:space="preserve"> SEQ Tabela </w:instrText>
        <w:fldChar w:fldCharType="separate"/>
        <w:t>19</w:t>
        <w:fldChar w:fldCharType="end"/>
      </w:r>
      <w:r>
        <w:t xml:space="preserve"> — Campos de leads_adesao/parteN.</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 persistido</w:t>
            </w:r>
          </w:p>
        </w:tc>
        <w:tc>
          <w:tcPr>
            <w:tcW w:type="dxa" w:w="3238"/>
            <w:vAlign w:val="top"/>
            <w:shd w:fill="233B82"/>
          </w:tcPr>
          <w:p>
            <w:pPr>
              <w:pStyle w:val="Compact"/>
              <w:spacing w:before="40" w:after="60" w:line="247" w:lineRule="auto"/>
              <w:jc w:val="left"/>
            </w:pPr>
            <w:r>
              <w:rPr>
                <w:b/>
                <w:color w:val="FFFFFF"/>
                <w:sz w:val="18"/>
              </w:rPr>
              <w:t xml:space="preserve">Composição</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numeroParte</w:t>
            </w:r>
          </w:p>
        </w:tc>
        <w:tc>
          <w:tcPr>
            <w:tcW w:type="dxa" w:w="1429"/>
            <w:vAlign w:val="top"/>
            <w:shd w:fill="FFFFFF"/>
          </w:tcPr>
          <w:p>
            <w:pPr>
              <w:pStyle w:val="Compact"/>
              <w:spacing w:before="40" w:after="60" w:line="247" w:lineRule="auto"/>
              <w:jc w:val="left"/>
            </w:pPr>
            <w:r>
              <w:rPr>
                <w:sz w:val="18"/>
              </w:rPr>
              <w:t xml:space="preserve">Número.</w:t>
            </w:r>
          </w:p>
        </w:tc>
        <w:tc>
          <w:tcPr>
            <w:tcW w:type="dxa" w:w="3238"/>
            <w:vAlign w:val="top"/>
            <w:shd w:fill="FFFFFF"/>
          </w:tcPr>
          <w:p>
            <w:pPr>
              <w:pStyle w:val="Compact"/>
              <w:spacing w:before="40" w:after="60" w:line="247" w:lineRule="auto"/>
              <w:jc w:val="left"/>
            </w:pPr>
            <w:r>
              <w:rPr>
                <w:sz w:val="18"/>
              </w:rPr>
              <w:t xml:space="preserve">Sequência iniciada em 1.</w:t>
            </w:r>
          </w:p>
        </w:tc>
        <w:tc>
          <w:tcPr>
            <w:tcW w:type="dxa" w:w="2953"/>
            <w:vAlign w:val="top"/>
            <w:shd w:fill="FFFFFF"/>
          </w:tcPr>
          <w:p>
            <w:pPr>
              <w:pStyle w:val="Compact"/>
              <w:spacing w:before="40" w:after="60" w:line="247" w:lineRule="auto"/>
              <w:jc w:val="left"/>
            </w:pPr>
            <w:r>
              <w:rPr>
                <w:sz w:val="18"/>
              </w:rPr>
              <w:t xml:space="preserve">Identifica a partição.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criadoEm</w:t>
            </w:r>
          </w:p>
        </w:tc>
        <w:tc>
          <w:tcPr>
            <w:tcW w:type="dxa" w:w="1429"/>
            <w:vAlign w:val="top"/>
            <w:shd w:fill="F5F8FC"/>
          </w:tcPr>
          <w:p>
            <w:pPr>
              <w:pStyle w:val="Compact"/>
              <w:spacing w:before="40" w:after="60" w:line="247" w:lineRule="auto"/>
              <w:jc w:val="left"/>
            </w:pPr>
            <w:r>
              <w:rPr>
                <w:sz w:val="18"/>
              </w:rPr>
              <w:t xml:space="preserve">String ISO 8601.</w:t>
            </w:r>
          </w:p>
        </w:tc>
        <w:tc>
          <w:tcPr>
            <w:tcW w:type="dxa" w:w="3238"/>
            <w:vAlign w:val="top"/>
            <w:shd w:fill="F5F8FC"/>
          </w:tcPr>
          <w:p>
            <w:pPr>
              <w:pStyle w:val="Compact"/>
              <w:spacing w:before="40" w:after="60" w:line="247" w:lineRule="auto"/>
              <w:jc w:val="left"/>
            </w:pPr>
            <w:r>
              <w:rPr>
                <w:sz w:val="18"/>
              </w:rPr>
              <w:t xml:space="preserve">Preservada da parte existente ou gerada na criação.</w:t>
            </w:r>
          </w:p>
        </w:tc>
        <w:tc>
          <w:tcPr>
            <w:tcW w:type="dxa" w:w="2953"/>
            <w:vAlign w:val="top"/>
            <w:shd w:fill="F5F8FC"/>
          </w:tcPr>
          <w:p>
            <w:pPr>
              <w:pStyle w:val="Compact"/>
              <w:spacing w:before="40" w:after="60" w:line="247" w:lineRule="auto"/>
              <w:jc w:val="left"/>
            </w:pPr>
            <w:r>
              <w:rPr>
                <w:sz w:val="18"/>
              </w:rPr>
              <w:t xml:space="preserve">Data inicial do agregado.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atualizadoEm</w:t>
            </w:r>
          </w:p>
        </w:tc>
        <w:tc>
          <w:tcPr>
            <w:tcW w:type="dxa" w:w="1429"/>
            <w:vAlign w:val="top"/>
            <w:shd w:fill="FFFFFF"/>
          </w:tcPr>
          <w:p>
            <w:pPr>
              <w:pStyle w:val="Compact"/>
              <w:spacing w:before="40" w:after="60" w:line="247" w:lineRule="auto"/>
              <w:jc w:val="left"/>
            </w:pPr>
            <w:r>
              <w:rPr>
                <w:sz w:val="18"/>
              </w:rPr>
              <w:t xml:space="preserve">String ISO 8601.</w:t>
            </w:r>
          </w:p>
        </w:tc>
        <w:tc>
          <w:tcPr>
            <w:tcW w:type="dxa" w:w="3238"/>
            <w:vAlign w:val="top"/>
            <w:shd w:fill="FFFFFF"/>
          </w:tcPr>
          <w:p>
            <w:pPr>
              <w:pStyle w:val="Compact"/>
              <w:spacing w:before="40" w:after="60" w:line="247" w:lineRule="auto"/>
              <w:jc w:val="left"/>
            </w:pPr>
            <w:r>
              <w:rPr>
                <w:sz w:val="18"/>
              </w:rPr>
              <w:t xml:space="preserve">Gerada a cada payload.</w:t>
            </w:r>
          </w:p>
        </w:tc>
        <w:tc>
          <w:tcPr>
            <w:tcW w:type="dxa" w:w="2953"/>
            <w:vAlign w:val="top"/>
            <w:shd w:fill="FFFFFF"/>
          </w:tcPr>
          <w:p>
            <w:pPr>
              <w:pStyle w:val="Compact"/>
              <w:spacing w:before="40" w:after="60" w:line="247" w:lineRule="auto"/>
              <w:jc w:val="left"/>
            </w:pPr>
            <w:r>
              <w:rPr>
                <w:sz w:val="18"/>
              </w:rPr>
              <w:t xml:space="preserve">Última composição gravada.</w:t>
            </w:r>
          </w:p>
        </w:tc>
      </w:tr>
      <w:tr>
        <w:trPr>
          <w:cantSplit/>
        </w:trPr>
        <w:tc>
          <w:tcPr>
            <w:tcW w:type="dxa" w:w="1905"/>
            <w:vAlign w:val="top"/>
            <w:shd w:fill="F5F8FC"/>
          </w:tcPr>
          <w:p>
            <w:pPr>
              <w:pStyle w:val="Compact"/>
              <w:spacing w:before="40" w:after="60" w:line="247" w:lineRule="auto"/>
              <w:jc w:val="left"/>
            </w:pPr>
            <w:r>
              <w:rPr>
                <w:rStyle w:val="VerbatimChar"/>
                <w:sz w:val="17"/>
              </w:rPr>
              <w:t xml:space="preserve">totalRegistros</w:t>
            </w:r>
          </w:p>
        </w:tc>
        <w:tc>
          <w:tcPr>
            <w:tcW w:type="dxa" w:w="1429"/>
            <w:vAlign w:val="top"/>
            <w:shd w:fill="F5F8FC"/>
          </w:tcPr>
          <w:p>
            <w:pPr>
              <w:pStyle w:val="Compact"/>
              <w:spacing w:before="40" w:after="60" w:line="247" w:lineRule="auto"/>
              <w:jc w:val="left"/>
            </w:pPr>
            <w:r>
              <w:rPr>
                <w:sz w:val="18"/>
              </w:rPr>
              <w:t xml:space="preserve">Número.</w:t>
            </w:r>
          </w:p>
        </w:tc>
        <w:tc>
          <w:tcPr>
            <w:tcW w:type="dxa" w:w="3238"/>
            <w:vAlign w:val="top"/>
            <w:shd w:fill="F5F8FC"/>
          </w:tcPr>
          <w:p>
            <w:pPr>
              <w:pStyle w:val="Compact"/>
              <w:spacing w:before="40" w:after="60" w:line="247" w:lineRule="auto"/>
              <w:jc w:val="left"/>
            </w:pPr>
            <w:r>
              <w:rPr>
                <w:sz w:val="18"/>
              </w:rPr>
              <w:t xml:space="preserve">Comprimento de</w:t>
            </w:r>
            <w:r>
              <w:rPr>
                <w:sz w:val="18"/>
              </w:rPr>
              <w:t xml:space="preserve"> </w:t>
            </w:r>
            <w:r>
              <w:rPr>
                <w:rStyle w:val="VerbatimChar"/>
                <w:sz w:val="17"/>
              </w:rPr>
              <w:t xml:space="preserve">manifestacoes</w:t>
            </w:r>
            <w:r>
              <w:rPr>
                <w:sz w:val="18"/>
              </w:rPr>
              <w:t xml:space="preserve">.</w:t>
            </w:r>
          </w:p>
        </w:tc>
        <w:tc>
          <w:tcPr>
            <w:tcW w:type="dxa" w:w="2953"/>
            <w:vAlign w:val="top"/>
            <w:shd w:fill="F5F8FC"/>
          </w:tcPr>
          <w:p>
            <w:pPr>
              <w:pStyle w:val="Compact"/>
              <w:spacing w:before="40" w:after="60" w:line="247" w:lineRule="auto"/>
              <w:jc w:val="left"/>
            </w:pPr>
            <w:r>
              <w:rPr>
                <w:sz w:val="18"/>
              </w:rPr>
              <w:t xml:space="preserve">Quantidade de itens na parte.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tamanhoAproximadoBytes</w:t>
            </w:r>
          </w:p>
        </w:tc>
        <w:tc>
          <w:tcPr>
            <w:tcW w:type="dxa" w:w="1429"/>
            <w:vAlign w:val="top"/>
            <w:shd w:fill="FFFFFF"/>
          </w:tcPr>
          <w:p>
            <w:pPr>
              <w:pStyle w:val="Compact"/>
              <w:spacing w:before="40" w:after="60" w:line="247" w:lineRule="auto"/>
              <w:jc w:val="left"/>
            </w:pPr>
            <w:r>
              <w:rPr>
                <w:sz w:val="18"/>
              </w:rPr>
              <w:t xml:space="preserve">Número.</w:t>
            </w:r>
          </w:p>
        </w:tc>
        <w:tc>
          <w:tcPr>
            <w:tcW w:type="dxa" w:w="3238"/>
            <w:vAlign w:val="top"/>
            <w:shd w:fill="FFFFFF"/>
          </w:tcPr>
          <w:p>
            <w:pPr>
              <w:pStyle w:val="Compact"/>
              <w:spacing w:before="40" w:after="60" w:line="247" w:lineRule="auto"/>
              <w:jc w:val="left"/>
            </w:pPr>
            <w:r>
              <w:rPr>
                <w:sz w:val="18"/>
              </w:rPr>
              <w:t xml:space="preserve">Bytes UTF-8 do JSON do array.</w:t>
            </w:r>
          </w:p>
        </w:tc>
        <w:tc>
          <w:tcPr>
            <w:tcW w:type="dxa" w:w="2953"/>
            <w:vAlign w:val="top"/>
            <w:shd w:fill="FFFFFF"/>
          </w:tcPr>
          <w:p>
            <w:pPr>
              <w:pStyle w:val="Compact"/>
              <w:spacing w:before="40" w:after="60" w:line="247" w:lineRule="auto"/>
              <w:jc w:val="left"/>
            </w:pPr>
            <w:r>
              <w:rPr>
                <w:sz w:val="18"/>
              </w:rPr>
              <w:t xml:space="preserve">Medida auxiliar de volume.</w:t>
            </w:r>
          </w:p>
        </w:tc>
      </w:tr>
      <w:tr>
        <w:trPr>
          <w:cantSplit/>
        </w:trPr>
        <w:tc>
          <w:tcPr>
            <w:tcW w:type="dxa" w:w="1905"/>
            <w:vAlign w:val="top"/>
            <w:shd w:fill="F5F8FC"/>
          </w:tcPr>
          <w:p>
            <w:pPr>
              <w:pStyle w:val="Compact"/>
              <w:spacing w:before="40" w:after="60" w:line="247" w:lineRule="auto"/>
              <w:jc w:val="left"/>
            </w:pPr>
            <w:r>
              <w:rPr>
                <w:rStyle w:val="VerbatimChar"/>
                <w:sz w:val="17"/>
              </w:rPr>
              <w:t xml:space="preserve">manifestacoes</w:t>
            </w:r>
          </w:p>
        </w:tc>
        <w:tc>
          <w:tcPr>
            <w:tcW w:type="dxa" w:w="1429"/>
            <w:vAlign w:val="top"/>
            <w:shd w:fill="F5F8FC"/>
          </w:tcPr>
          <w:p>
            <w:pPr>
              <w:pStyle w:val="Compact"/>
              <w:spacing w:before="40" w:after="60" w:line="247" w:lineRule="auto"/>
              <w:jc w:val="left"/>
            </w:pPr>
            <w:r>
              <w:rPr>
                <w:sz w:val="18"/>
              </w:rPr>
              <w:t xml:space="preserve">Array de objetos.</w:t>
            </w:r>
          </w:p>
        </w:tc>
        <w:tc>
          <w:tcPr>
            <w:tcW w:type="dxa" w:w="3238"/>
            <w:vAlign w:val="top"/>
            <w:shd w:fill="F5F8FC"/>
          </w:tcPr>
          <w:p>
            <w:pPr>
              <w:pStyle w:val="Compact"/>
              <w:spacing w:before="40" w:after="60" w:line="247" w:lineRule="auto"/>
              <w:jc w:val="left"/>
            </w:pPr>
            <w:r>
              <w:rPr>
                <w:sz w:val="18"/>
              </w:rPr>
              <w:t xml:space="preserve">Itens anteriores acrescidos do registro operacional.</w:t>
            </w:r>
          </w:p>
        </w:tc>
        <w:tc>
          <w:tcPr>
            <w:tcW w:type="dxa" w:w="2953"/>
            <w:vAlign w:val="top"/>
            <w:shd w:fill="F5F8FC"/>
          </w:tcPr>
          <w:p>
            <w:pPr>
              <w:pStyle w:val="Compact"/>
              <w:spacing w:before="40" w:after="60" w:line="247" w:lineRule="auto"/>
              <w:jc w:val="left"/>
            </w:pPr>
            <w:r>
              <w:rPr>
                <w:sz w:val="18"/>
              </w:rPr>
              <w:t xml:space="preserve">Conjunto de manifestações da parte.</w:t>
            </w:r>
          </w:p>
        </w:tc>
      </w:tr>
    </w:tbl>
    <w:p>
      <w:pPr>
        <w:pStyle w:val="TableCaption"/>
        <w:keepNext/>
      </w:pPr>
      <w:r>
        <w:t xml:space="preserve">Tabela </w:t>
      </w:r>
      <w:r>
        <w:rPr>
          <w:rFonts w:ascii="Open Sans" w:hAnsi="Open Sans"/>
          <w:sz w:val="18"/>
        </w:rPr>
        <w:fldChar w:fldCharType="begin"/>
        <w:instrText xml:space="preserve"> SEQ Tabela </w:instrText>
        <w:fldChar w:fldCharType="separate"/>
        <w:t>20</w:t>
        <w:fldChar w:fldCharType="end"/>
      </w:r>
      <w:r>
        <w:t xml:space="preserve"> — Identificação e contexto de cada item de manifestacoes.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w:t>
            </w:r>
          </w:p>
        </w:tc>
        <w:tc>
          <w:tcPr>
            <w:tcW w:type="dxa" w:w="3238"/>
            <w:vAlign w:val="top"/>
            <w:shd w:fill="233B82"/>
          </w:tcPr>
          <w:p>
            <w:pPr>
              <w:pStyle w:val="Compact"/>
              <w:spacing w:before="40" w:after="60" w:line="247" w:lineRule="auto"/>
              <w:jc w:val="left"/>
            </w:pPr>
            <w:r>
              <w:rPr>
                <w:b/>
                <w:color w:val="FFFFFF"/>
                <w:sz w:val="18"/>
              </w:rPr>
              <w:t xml:space="preserve">Origem</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leadId</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UUID com prefixo gerado no servidor.</w:t>
            </w:r>
          </w:p>
        </w:tc>
        <w:tc>
          <w:tcPr>
            <w:tcW w:type="dxa" w:w="2953"/>
            <w:vAlign w:val="top"/>
            <w:shd w:fill="FFFFFF"/>
          </w:tcPr>
          <w:p>
            <w:pPr>
              <w:pStyle w:val="Compact"/>
              <w:spacing w:before="40" w:after="60" w:line="247" w:lineRule="auto"/>
              <w:jc w:val="left"/>
            </w:pPr>
            <w:r>
              <w:rPr>
                <w:sz w:val="18"/>
              </w:rPr>
              <w:t xml:space="preserve">Identificador de vínculo.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emailHash</w:t>
            </w:r>
          </w:p>
        </w:tc>
        <w:tc>
          <w:tcPr>
            <w:tcW w:type="dxa" w:w="1429"/>
            <w:vAlign w:val="top"/>
            <w:shd w:fill="F5F8FC"/>
          </w:tcPr>
          <w:p>
            <w:pPr>
              <w:pStyle w:val="Compact"/>
              <w:spacing w:before="40" w:after="60" w:line="247" w:lineRule="auto"/>
              <w:jc w:val="left"/>
            </w:pPr>
            <w:r>
              <w:rPr>
                <w:sz w:val="18"/>
              </w:rPr>
              <w:t xml:space="preserve">String hexadecimal.</w:t>
            </w:r>
          </w:p>
        </w:tc>
        <w:tc>
          <w:tcPr>
            <w:tcW w:type="dxa" w:w="3238"/>
            <w:vAlign w:val="top"/>
            <w:shd w:fill="F5F8FC"/>
          </w:tcPr>
          <w:p>
            <w:pPr>
              <w:pStyle w:val="Compact"/>
              <w:spacing w:before="40" w:after="60" w:line="247" w:lineRule="auto"/>
              <w:jc w:val="left"/>
            </w:pPr>
            <w:r>
              <w:rPr>
                <w:sz w:val="18"/>
              </w:rPr>
              <w:t xml:space="preserve">HMAC do e-mail normalizado.</w:t>
            </w:r>
          </w:p>
        </w:tc>
        <w:tc>
          <w:tcPr>
            <w:tcW w:type="dxa" w:w="2953"/>
            <w:vAlign w:val="top"/>
            <w:shd w:fill="F5F8FC"/>
          </w:tcPr>
          <w:p>
            <w:pPr>
              <w:pStyle w:val="Compact"/>
              <w:spacing w:before="40" w:after="60" w:line="247" w:lineRule="auto"/>
              <w:jc w:val="left"/>
            </w:pPr>
            <w:r>
              <w:rPr>
                <w:sz w:val="18"/>
              </w:rPr>
              <w:t xml:space="preserve">Correlação e duplicidade sem e-mail em claro nesse item.</w:t>
            </w:r>
          </w:p>
        </w:tc>
      </w:tr>
      <w:tr>
        <w:trPr>
          <w:cantSplit/>
        </w:trPr>
        <w:tc>
          <w:tcPr>
            <w:tcW w:type="dxa" w:w="1905"/>
            <w:vAlign w:val="top"/>
            <w:shd w:fill="FFFFFF"/>
          </w:tcPr>
          <w:p>
            <w:pPr>
              <w:pStyle w:val="Compact"/>
              <w:spacing w:before="40" w:after="60" w:line="247" w:lineRule="auto"/>
              <w:jc w:val="left"/>
            </w:pPr>
            <w:r>
              <w:rPr>
                <w:rStyle w:val="VerbatimChar"/>
                <w:sz w:val="17"/>
              </w:rPr>
              <w:t xml:space="preserve">instituicao</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Entrada validada.</w:t>
            </w:r>
          </w:p>
        </w:tc>
        <w:tc>
          <w:tcPr>
            <w:tcW w:type="dxa" w:w="2953"/>
            <w:vAlign w:val="top"/>
            <w:shd w:fill="FFFFFF"/>
          </w:tcPr>
          <w:p>
            <w:pPr>
              <w:pStyle w:val="Compact"/>
              <w:spacing w:before="40" w:after="60" w:line="247" w:lineRule="auto"/>
              <w:jc w:val="left"/>
            </w:pPr>
            <w:r>
              <w:rPr>
                <w:sz w:val="18"/>
              </w:rPr>
              <w:t xml:space="preserve">Instituição interessada.</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campus</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Entrada validada.</w:t>
            </w:r>
          </w:p>
        </w:tc>
        <w:tc>
          <w:tcPr>
            <w:tcW w:type="dxa" w:w="2953"/>
            <w:vAlign w:val="top"/>
            <w:shd w:fill="F5F8FC"/>
          </w:tcPr>
          <w:p>
            <w:pPr>
              <w:pStyle w:val="Compact"/>
              <w:spacing w:before="40" w:after="60" w:line="247" w:lineRule="auto"/>
              <w:jc w:val="left"/>
            </w:pPr>
            <w:r>
              <w:rPr>
                <w:sz w:val="18"/>
              </w:rPr>
              <w:t xml:space="preserve">Unidade ou campus.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cargo</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Entrada validada ou vazio.</w:t>
            </w:r>
          </w:p>
        </w:tc>
        <w:tc>
          <w:tcPr>
            <w:tcW w:type="dxa" w:w="2953"/>
            <w:vAlign w:val="top"/>
            <w:shd w:fill="FFFFFF"/>
          </w:tcPr>
          <w:p>
            <w:pPr>
              <w:pStyle w:val="Compact"/>
              <w:spacing w:before="40" w:after="60" w:line="247" w:lineRule="auto"/>
              <w:jc w:val="left"/>
            </w:pPr>
            <w:r>
              <w:rPr>
                <w:sz w:val="18"/>
              </w:rPr>
              <w:t xml:space="preserve">Contexto profissional informado.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curso</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Entrada validada ou vazio.</w:t>
            </w:r>
          </w:p>
        </w:tc>
        <w:tc>
          <w:tcPr>
            <w:tcW w:type="dxa" w:w="2953"/>
            <w:vAlign w:val="top"/>
            <w:shd w:fill="F5F8FC"/>
          </w:tcPr>
          <w:p>
            <w:pPr>
              <w:pStyle w:val="Compact"/>
              <w:spacing w:before="40" w:after="60" w:line="247" w:lineRule="auto"/>
              <w:jc w:val="left"/>
            </w:pPr>
            <w:r>
              <w:rPr>
                <w:sz w:val="18"/>
              </w:rPr>
              <w:t xml:space="preserve">Curso informado.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previsaoSemestre</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Entrada validada.</w:t>
            </w:r>
          </w:p>
        </w:tc>
        <w:tc>
          <w:tcPr>
            <w:tcW w:type="dxa" w:w="2953"/>
            <w:vAlign w:val="top"/>
            <w:shd w:fill="FFFFFF"/>
          </w:tcPr>
          <w:p>
            <w:pPr>
              <w:pStyle w:val="Compact"/>
              <w:spacing w:before="40" w:after="60" w:line="247" w:lineRule="auto"/>
              <w:jc w:val="left"/>
            </w:pPr>
            <w:r>
              <w:rPr>
                <w:sz w:val="18"/>
              </w:rPr>
              <w:t xml:space="preserve">Previsão de implementação.</w:t>
            </w:r>
          </w:p>
        </w:tc>
      </w:tr>
    </w:tbl>
    <w:p>
      <w:pPr>
        <w:pStyle w:val="TableCaption"/>
        <w:keepNext/>
      </w:pPr>
      <w:r>
        <w:t xml:space="preserve">Tabela </w:t>
      </w:r>
      <w:r>
        <w:rPr>
          <w:rFonts w:ascii="Open Sans" w:hAnsi="Open Sans"/>
          <w:sz w:val="18"/>
        </w:rPr>
        <w:fldChar w:fldCharType="begin"/>
        <w:instrText xml:space="preserve"> SEQ Tabela </w:instrText>
        <w:fldChar w:fldCharType="separate"/>
        <w:t>21</w:t>
        <w:fldChar w:fldCharType="end"/>
      </w:r>
      <w:r>
        <w:t xml:space="preserve"> — Estado e referências do registro operacional.</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w:t>
            </w:r>
          </w:p>
        </w:tc>
        <w:tc>
          <w:tcPr>
            <w:tcW w:type="dxa" w:w="3238"/>
            <w:vAlign w:val="top"/>
            <w:shd w:fill="233B82"/>
          </w:tcPr>
          <w:p>
            <w:pPr>
              <w:pStyle w:val="Compact"/>
              <w:spacing w:before="40" w:after="60" w:line="247" w:lineRule="auto"/>
              <w:jc w:val="left"/>
            </w:pPr>
            <w:r>
              <w:rPr>
                <w:b/>
                <w:color w:val="FFFFFF"/>
                <w:sz w:val="18"/>
              </w:rPr>
              <w:t xml:space="preserve">Valor ou composição</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temObservacoes</w:t>
            </w:r>
          </w:p>
        </w:tc>
        <w:tc>
          <w:tcPr>
            <w:tcW w:type="dxa" w:w="1429"/>
            <w:vAlign w:val="top"/>
            <w:shd w:fill="FFFFFF"/>
          </w:tcPr>
          <w:p>
            <w:pPr>
              <w:pStyle w:val="Compact"/>
              <w:spacing w:before="40" w:after="60" w:line="247" w:lineRule="auto"/>
              <w:jc w:val="left"/>
            </w:pPr>
            <w:r>
              <w:rPr>
                <w:sz w:val="18"/>
              </w:rPr>
              <w:t xml:space="preserve">Booleano.</w:t>
            </w:r>
          </w:p>
        </w:tc>
        <w:tc>
          <w:tcPr>
            <w:tcW w:type="dxa" w:w="3238"/>
            <w:vAlign w:val="top"/>
            <w:shd w:fill="FFFFFF"/>
          </w:tcPr>
          <w:p>
            <w:pPr>
              <w:pStyle w:val="Compact"/>
              <w:spacing w:before="40" w:after="60" w:line="247" w:lineRule="auto"/>
              <w:jc w:val="left"/>
            </w:pPr>
            <w:r>
              <w:rPr>
                <w:sz w:val="18"/>
              </w:rPr>
              <w:t xml:space="preserve">Existência de texto após</w:t>
            </w:r>
            <w:r>
              <w:rPr>
                <w:sz w:val="18"/>
              </w:rPr>
              <w:t xml:space="preserve"> </w:t>
            </w: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Indica informação adicional no cofre.</w:t>
            </w:r>
          </w:p>
        </w:tc>
      </w:tr>
      <w:tr>
        <w:trPr>
          <w:cantSplit/>
        </w:trPr>
        <w:tc>
          <w:tcPr>
            <w:tcW w:type="dxa" w:w="1905"/>
            <w:vAlign w:val="top"/>
            <w:shd w:fill="F5F8FC"/>
          </w:tcPr>
          <w:p>
            <w:pPr>
              <w:pStyle w:val="Compact"/>
              <w:spacing w:before="40" w:after="60" w:line="247" w:lineRule="auto"/>
              <w:jc w:val="left"/>
            </w:pPr>
            <w:r>
              <w:rPr>
                <w:rStyle w:val="VerbatimChar"/>
                <w:sz w:val="17"/>
              </w:rPr>
              <w:t xml:space="preserve">origem</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rStyle w:val="VerbatimChar"/>
                <w:sz w:val="17"/>
              </w:rPr>
              <w:t xml:space="preserve">portal_cra_sp</w:t>
            </w:r>
            <w:r>
              <w:rPr>
                <w:sz w:val="18"/>
              </w:rPr>
              <w:t xml:space="preserve">.</w:t>
            </w:r>
          </w:p>
        </w:tc>
        <w:tc>
          <w:tcPr>
            <w:tcW w:type="dxa" w:w="2953"/>
            <w:vAlign w:val="top"/>
            <w:shd w:fill="F5F8FC"/>
          </w:tcPr>
          <w:p>
            <w:pPr>
              <w:pStyle w:val="Compact"/>
              <w:spacing w:before="40" w:after="60" w:line="247" w:lineRule="auto"/>
              <w:jc w:val="left"/>
            </w:pPr>
            <w:r>
              <w:rPr>
                <w:sz w:val="18"/>
              </w:rPr>
              <w:t xml:space="preserve">Marca a origem definida pelo servidor.</w:t>
            </w:r>
          </w:p>
        </w:tc>
      </w:tr>
      <w:tr>
        <w:trPr>
          <w:cantSplit/>
        </w:trPr>
        <w:tc>
          <w:tcPr>
            <w:tcW w:type="dxa" w:w="1905"/>
            <w:vAlign w:val="top"/>
            <w:shd w:fill="FFFFFF"/>
          </w:tcPr>
          <w:p>
            <w:pPr>
              <w:pStyle w:val="Compact"/>
              <w:spacing w:before="40" w:after="60" w:line="247" w:lineRule="auto"/>
              <w:jc w:val="left"/>
            </w:pPr>
            <w:r>
              <w:rPr>
                <w:rStyle w:val="VerbatimChar"/>
                <w:sz w:val="17"/>
              </w:rPr>
              <w:t xml:space="preserve">status</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rStyle w:val="VerbatimChar"/>
                <w:sz w:val="17"/>
              </w:rPr>
              <w:t xml:space="preserve">pendente_analise</w:t>
            </w:r>
            <w:r>
              <w:rPr>
                <w:sz w:val="18"/>
              </w:rPr>
              <w:t xml:space="preserve">.</w:t>
            </w:r>
          </w:p>
        </w:tc>
        <w:tc>
          <w:tcPr>
            <w:tcW w:type="dxa" w:w="2953"/>
            <w:vAlign w:val="top"/>
            <w:shd w:fill="FFFFFF"/>
          </w:tcPr>
          <w:p>
            <w:pPr>
              <w:pStyle w:val="Compact"/>
              <w:spacing w:before="40" w:after="60" w:line="247" w:lineRule="auto"/>
              <w:jc w:val="left"/>
            </w:pPr>
            <w:r>
              <w:rPr>
                <w:sz w:val="18"/>
              </w:rPr>
              <w:t xml:space="preserve">Estado inicial da manifestação.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criadoEm</w:t>
            </w:r>
          </w:p>
        </w:tc>
        <w:tc>
          <w:tcPr>
            <w:tcW w:type="dxa" w:w="1429"/>
            <w:vAlign w:val="top"/>
            <w:shd w:fill="F5F8FC"/>
          </w:tcPr>
          <w:p>
            <w:pPr>
              <w:pStyle w:val="Compact"/>
              <w:spacing w:before="40" w:after="60" w:line="247" w:lineRule="auto"/>
              <w:jc w:val="left"/>
            </w:pPr>
            <w:r>
              <w:rPr>
                <w:sz w:val="18"/>
              </w:rPr>
              <w:t xml:space="preserve">String ISO 8601.</w:t>
            </w:r>
          </w:p>
        </w:tc>
        <w:tc>
          <w:tcPr>
            <w:tcW w:type="dxa" w:w="3238"/>
            <w:vAlign w:val="top"/>
            <w:shd w:fill="F5F8FC"/>
          </w:tcPr>
          <w:p>
            <w:pPr>
              <w:pStyle w:val="Compact"/>
              <w:spacing w:before="40" w:after="60" w:line="247" w:lineRule="auto"/>
              <w:jc w:val="left"/>
            </w:pPr>
            <w:r>
              <w:rPr>
                <w:sz w:val="18"/>
              </w:rPr>
              <w:t xml:space="preserve">Data do servidor.</w:t>
            </w:r>
          </w:p>
        </w:tc>
        <w:tc>
          <w:tcPr>
            <w:tcW w:type="dxa" w:w="2953"/>
            <w:vAlign w:val="top"/>
            <w:shd w:fill="F5F8FC"/>
          </w:tcPr>
          <w:p>
            <w:pPr>
              <w:pStyle w:val="Compact"/>
              <w:spacing w:before="40" w:after="60" w:line="247" w:lineRule="auto"/>
              <w:jc w:val="left"/>
            </w:pPr>
            <w:r>
              <w:rPr>
                <w:sz w:val="18"/>
              </w:rPr>
              <w:t xml:space="preserve">Registro temporal.</w:t>
            </w:r>
          </w:p>
        </w:tc>
      </w:tr>
      <w:tr>
        <w:trPr>
          <w:cantSplit/>
        </w:trPr>
        <w:tc>
          <w:tcPr>
            <w:tcW w:type="dxa" w:w="1905"/>
            <w:vAlign w:val="top"/>
            <w:shd w:fill="FFFFFF"/>
          </w:tcPr>
          <w:p>
            <w:pPr>
              <w:pStyle w:val="Compact"/>
              <w:spacing w:before="40" w:after="60" w:line="247" w:lineRule="auto"/>
              <w:jc w:val="left"/>
            </w:pPr>
            <w:r>
              <w:rPr>
                <w:rStyle w:val="VerbatimChar"/>
                <w:sz w:val="17"/>
              </w:rPr>
              <w:t xml:space="preserve">vaultRef</w:t>
            </w:r>
          </w:p>
        </w:tc>
        <w:tc>
          <w:tcPr>
            <w:tcW w:type="dxa" w:w="1429"/>
            <w:vAlign w:val="top"/>
            <w:shd w:fill="FFFFFF"/>
          </w:tcPr>
          <w:p>
            <w:pPr>
              <w:pStyle w:val="Compact"/>
              <w:spacing w:before="40" w:after="60" w:line="247" w:lineRule="auto"/>
              <w:jc w:val="left"/>
            </w:pPr>
            <w:r>
              <w:rPr>
                <w:sz w:val="18"/>
              </w:rPr>
              <w:t xml:space="preserve">String de caminho.</w:t>
            </w:r>
          </w:p>
        </w:tc>
        <w:tc>
          <w:tcPr>
            <w:tcW w:type="dxa" w:w="3238"/>
            <w:vAlign w:val="top"/>
            <w:shd w:fill="FFFFFF"/>
          </w:tcPr>
          <w:p>
            <w:pPr>
              <w:pStyle w:val="Compact"/>
              <w:spacing w:before="40" w:after="60" w:line="247" w:lineRule="auto"/>
              <w:jc w:val="left"/>
            </w:pPr>
            <w:r>
              <w:rPr>
                <w:rStyle w:val="VerbatimChar"/>
                <w:sz w:val="17"/>
              </w:rPr>
              <w:t xml:space="preserve">vault_leads/{leadId}</w:t>
            </w:r>
            <w:r>
              <w:rPr>
                <w:sz w:val="18"/>
              </w:rPr>
              <w:t xml:space="preserve">.</w:t>
            </w:r>
          </w:p>
        </w:tc>
        <w:tc>
          <w:tcPr>
            <w:tcW w:type="dxa" w:w="2953"/>
            <w:vAlign w:val="top"/>
            <w:shd w:fill="FFFFFF"/>
          </w:tcPr>
          <w:p>
            <w:pPr>
              <w:pStyle w:val="Compact"/>
              <w:spacing w:before="40" w:after="60" w:line="247" w:lineRule="auto"/>
              <w:jc w:val="left"/>
            </w:pPr>
            <w:r>
              <w:rPr>
                <w:sz w:val="18"/>
              </w:rPr>
              <w:t xml:space="preserve">Vínculo lógico com o contato.</w:t>
            </w:r>
          </w:p>
        </w:tc>
      </w:tr>
    </w:tbl>
    <w:p>
      <w:pPr>
        <w:pStyle w:val="BodyText"/>
      </w:pPr>
      <w:r>
        <w:t xml:space="preserve">Não há endpoint de alteração de status no produto documentado. O estado</w:t>
      </w:r>
      <w:r>
        <w:t xml:space="preserve"> </w:t>
      </w:r>
      <w:r>
        <w:rPr>
          <w:rStyle w:val="VerbatimChar"/>
        </w:rPr>
        <w:t xml:space="preserve">pendente_analise</w:t>
      </w:r>
      <w:r>
        <w:t xml:space="preserve"> </w:t>
      </w:r>
      <w:r>
        <w:t xml:space="preserve">é atribuído na criação; seu nome não significa que exista uma área administrativa implementada para conduzir a análise. As datas são strings geradas por</w:t>
      </w:r>
      <w:r>
        <w:t xml:space="preserve"> </w:t>
      </w:r>
      <w:r>
        <w:rPr>
          <w:rStyle w:val="VerbatimChar"/>
        </w:rPr>
        <w:t xml:space="preserve">new Date().toISOString()</w:t>
      </w:r>
      <w:r>
        <w:t xml:space="preserve">, e não valores</w:t>
      </w:r>
      <w:r>
        <w:t xml:space="preserve"> </w:t>
      </w:r>
      <w:r>
        <w:rPr>
          <w:rStyle w:val="VerbatimChar"/>
        </w:rPr>
        <w:t xml:space="preserve">Timestamp</w:t>
      </w:r>
      <w:r>
        <w:t xml:space="preserve"> </w:t>
      </w:r>
      <w:r>
        <w:t xml:space="preserve">ou</w:t>
      </w:r>
      <w:r>
        <w:t xml:space="preserve"> </w:t>
      </w:r>
      <w:r>
        <w:rPr>
          <w:rStyle w:val="VerbatimChar"/>
        </w:rPr>
        <w:t xml:space="preserve">serverTimestamp</w:t>
      </w:r>
      <w:r>
        <w:t xml:space="preserve"> </w:t>
      </w:r>
      <w:r>
        <w:t xml:space="preserve">do Firestore. Cada construtor obtém sua própria data, sem exigir igualdade entre todos os campos temporais da transação.</w:t>
      </w:r>
    </w:p>
    <w:bookmarkEnd w:id="66"/>
    <w:bookmarkStart w:id="67" w:name="cofre-de-contatos"/>
    <w:p>
      <w:pPr>
        <w:pStyle w:val="Heading3"/>
      </w:pPr>
      <w:r>
        <w:t xml:space="preserve">Cofre de contatos</w:t>
      </w:r>
    </w:p>
    <w:p>
      <w:pPr>
        <w:pStyle w:val="TableCaption"/>
        <w:keepNext/>
      </w:pPr>
      <w:r>
        <w:t xml:space="preserve">Tabela </w:t>
      </w:r>
      <w:r>
        <w:rPr>
          <w:rFonts w:ascii="Open Sans" w:hAnsi="Open Sans"/>
          <w:sz w:val="18"/>
        </w:rPr>
        <w:fldChar w:fldCharType="begin"/>
        <w:instrText xml:space="preserve"> SEQ Tabela </w:instrText>
        <w:fldChar w:fldCharType="separate"/>
        <w:t>22</w:t>
        <w:fldChar w:fldCharType="end"/>
      </w:r>
      <w:r>
        <w:t xml:space="preserve"> — Campos de vault_leads/{leadId}.</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w:t>
            </w:r>
          </w:p>
        </w:tc>
        <w:tc>
          <w:tcPr>
            <w:tcW w:type="dxa" w:w="3238"/>
            <w:vAlign w:val="top"/>
            <w:shd w:fill="233B82"/>
          </w:tcPr>
          <w:p>
            <w:pPr>
              <w:pStyle w:val="Compact"/>
              <w:spacing w:before="40" w:after="60" w:line="247" w:lineRule="auto"/>
              <w:jc w:val="left"/>
            </w:pPr>
            <w:r>
              <w:rPr>
                <w:b/>
                <w:color w:val="FFFFFF"/>
                <w:sz w:val="18"/>
              </w:rPr>
              <w:t xml:space="preserve">Tratamento</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leadId</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Sem cifragem nesse campo.</w:t>
            </w:r>
          </w:p>
        </w:tc>
        <w:tc>
          <w:tcPr>
            <w:tcW w:type="dxa" w:w="2953"/>
            <w:vAlign w:val="top"/>
            <w:shd w:fill="FFFFFF"/>
          </w:tcPr>
          <w:p>
            <w:pPr>
              <w:pStyle w:val="Compact"/>
              <w:spacing w:before="40" w:after="60" w:line="247" w:lineRule="auto"/>
              <w:jc w:val="left"/>
            </w:pPr>
            <w:r>
              <w:rPr>
                <w:sz w:val="18"/>
              </w:rPr>
              <w:t xml:space="preserve">Vínculo com o registro operacional.</w:t>
            </w:r>
          </w:p>
        </w:tc>
      </w:tr>
      <w:tr>
        <w:trPr>
          <w:cantSplit/>
        </w:trPr>
        <w:tc>
          <w:tcPr>
            <w:tcW w:type="dxa" w:w="1905"/>
            <w:vAlign w:val="top"/>
            <w:shd w:fill="F5F8FC"/>
          </w:tcPr>
          <w:p>
            <w:pPr>
              <w:pStyle w:val="Compact"/>
              <w:spacing w:before="40" w:after="60" w:line="247" w:lineRule="auto"/>
              <w:jc w:val="left"/>
            </w:pPr>
            <w:r>
              <w:rPr>
                <w:rStyle w:val="VerbatimChar"/>
                <w:sz w:val="17"/>
              </w:rPr>
              <w:t xml:space="preserve">nome</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AES-256-GCM.</w:t>
            </w:r>
          </w:p>
        </w:tc>
        <w:tc>
          <w:tcPr>
            <w:tcW w:type="dxa" w:w="2953"/>
            <w:vAlign w:val="top"/>
            <w:shd w:fill="F5F8FC"/>
          </w:tcPr>
          <w:p>
            <w:pPr>
              <w:pStyle w:val="Compact"/>
              <w:spacing w:before="40" w:after="60" w:line="247" w:lineRule="auto"/>
              <w:jc w:val="left"/>
            </w:pPr>
            <w:r>
              <w:rPr>
                <w:sz w:val="18"/>
              </w:rPr>
              <w:t xml:space="preserve">Nome do contato.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email</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AES-256-GCM.</w:t>
            </w:r>
          </w:p>
        </w:tc>
        <w:tc>
          <w:tcPr>
            <w:tcW w:type="dxa" w:w="2953"/>
            <w:vAlign w:val="top"/>
            <w:shd w:fill="FFFFFF"/>
          </w:tcPr>
          <w:p>
            <w:pPr>
              <w:pStyle w:val="Compact"/>
              <w:spacing w:before="40" w:after="60" w:line="247" w:lineRule="auto"/>
              <w:jc w:val="left"/>
            </w:pPr>
            <w:r>
              <w:rPr>
                <w:sz w:val="18"/>
              </w:rPr>
              <w:t xml:space="preserve">Endereço eletrônico normalizado.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telefone</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AES-256-GCM.</w:t>
            </w:r>
          </w:p>
        </w:tc>
        <w:tc>
          <w:tcPr>
            <w:tcW w:type="dxa" w:w="2953"/>
            <w:vAlign w:val="top"/>
            <w:shd w:fill="F5F8FC"/>
          </w:tcPr>
          <w:p>
            <w:pPr>
              <w:pStyle w:val="Compact"/>
              <w:spacing w:before="40" w:after="60" w:line="247" w:lineRule="auto"/>
              <w:jc w:val="left"/>
            </w:pPr>
            <w:r>
              <w:rPr>
                <w:sz w:val="18"/>
              </w:rPr>
              <w:t xml:space="preserve">Telefone aceito pelo schema.</w:t>
            </w:r>
          </w:p>
        </w:tc>
      </w:tr>
      <w:tr>
        <w:trPr>
          <w:cantSplit/>
        </w:trPr>
        <w:tc>
          <w:tcPr>
            <w:tcW w:type="dxa" w:w="1905"/>
            <w:vAlign w:val="top"/>
            <w:shd w:fill="FFFFFF"/>
          </w:tcPr>
          <w:p>
            <w:pPr>
              <w:pStyle w:val="Compact"/>
              <w:spacing w:before="40" w:after="60" w:line="247" w:lineRule="auto"/>
              <w:jc w:val="left"/>
            </w:pPr>
            <w:r>
              <w:rPr>
                <w:rStyle w:val="VerbatimChar"/>
                <w:sz w:val="17"/>
              </w:rPr>
              <w:t xml:space="preserve">observacoes</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AES-256-GCM quando não vazia.</w:t>
            </w:r>
          </w:p>
        </w:tc>
        <w:tc>
          <w:tcPr>
            <w:tcW w:type="dxa" w:w="2953"/>
            <w:vAlign w:val="top"/>
            <w:shd w:fill="FFFFFF"/>
          </w:tcPr>
          <w:p>
            <w:pPr>
              <w:pStyle w:val="Compact"/>
              <w:spacing w:before="40" w:after="60" w:line="247" w:lineRule="auto"/>
              <w:jc w:val="left"/>
            </w:pPr>
            <w:r>
              <w:rPr>
                <w:sz w:val="18"/>
              </w:rPr>
              <w:t xml:space="preserve">Informação complementar.</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criadoEm</w:t>
            </w:r>
          </w:p>
        </w:tc>
        <w:tc>
          <w:tcPr>
            <w:tcW w:type="dxa" w:w="1429"/>
            <w:vAlign w:val="top"/>
            <w:shd w:fill="F5F8FC"/>
          </w:tcPr>
          <w:p>
            <w:pPr>
              <w:pStyle w:val="Compact"/>
              <w:spacing w:before="40" w:after="60" w:line="247" w:lineRule="auto"/>
              <w:jc w:val="left"/>
            </w:pPr>
            <w:r>
              <w:rPr>
                <w:sz w:val="18"/>
              </w:rPr>
              <w:t xml:space="preserve">String ISO 8601.</w:t>
            </w:r>
          </w:p>
        </w:tc>
        <w:tc>
          <w:tcPr>
            <w:tcW w:type="dxa" w:w="3238"/>
            <w:vAlign w:val="top"/>
            <w:shd w:fill="F5F8FC"/>
          </w:tcPr>
          <w:p>
            <w:pPr>
              <w:pStyle w:val="Compact"/>
              <w:spacing w:before="40" w:after="60" w:line="247" w:lineRule="auto"/>
              <w:jc w:val="left"/>
            </w:pPr>
            <w:r>
              <w:rPr>
                <w:sz w:val="18"/>
              </w:rPr>
              <w:t xml:space="preserve">Data do construtor.</w:t>
            </w:r>
          </w:p>
        </w:tc>
        <w:tc>
          <w:tcPr>
            <w:tcW w:type="dxa" w:w="2953"/>
            <w:vAlign w:val="top"/>
            <w:shd w:fill="F5F8FC"/>
          </w:tcPr>
          <w:p>
            <w:pPr>
              <w:pStyle w:val="Compact"/>
              <w:spacing w:before="40" w:after="60" w:line="247" w:lineRule="auto"/>
              <w:jc w:val="left"/>
            </w:pPr>
            <w:r>
              <w:rPr>
                <w:sz w:val="18"/>
              </w:rPr>
              <w:t xml:space="preserve">Registro temporal do cofre.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vaultEncrypted</w:t>
            </w:r>
          </w:p>
        </w:tc>
        <w:tc>
          <w:tcPr>
            <w:tcW w:type="dxa" w:w="1429"/>
            <w:vAlign w:val="top"/>
            <w:shd w:fill="FFFFFF"/>
          </w:tcPr>
          <w:p>
            <w:pPr>
              <w:pStyle w:val="Compact"/>
              <w:spacing w:before="40" w:after="60" w:line="247" w:lineRule="auto"/>
              <w:jc w:val="left"/>
            </w:pPr>
            <w:r>
              <w:rPr>
                <w:sz w:val="18"/>
              </w:rPr>
              <w:t xml:space="preserve">Booleano.</w:t>
            </w:r>
          </w:p>
        </w:tc>
        <w:tc>
          <w:tcPr>
            <w:tcW w:type="dxa" w:w="3238"/>
            <w:vAlign w:val="top"/>
            <w:shd w:fill="FFFFFF"/>
          </w:tcPr>
          <w:p>
            <w:pPr>
              <w:pStyle w:val="Compact"/>
              <w:spacing w:before="40" w:after="60" w:line="247" w:lineRule="auto"/>
              <w:jc w:val="left"/>
            </w:pPr>
            <w:r>
              <w:rPr>
                <w:sz w:val="18"/>
              </w:rPr>
              <w:t xml:space="preserve">Literal</w:t>
            </w:r>
            <w:r>
              <w:rPr>
                <w:sz w:val="18"/>
              </w:rPr>
              <w:t xml:space="preserve"> </w:t>
            </w:r>
            <w:r>
              <w:rPr>
                <w:rStyle w:val="VerbatimChar"/>
                <w:sz w:val="17"/>
              </w:rPr>
              <w:t xml:space="preserve">true</w:t>
            </w:r>
            <w:r>
              <w:rPr>
                <w:sz w:val="18"/>
              </w:rPr>
              <w:t xml:space="preserve">.</w:t>
            </w:r>
          </w:p>
        </w:tc>
        <w:tc>
          <w:tcPr>
            <w:tcW w:type="dxa" w:w="2953"/>
            <w:vAlign w:val="top"/>
            <w:shd w:fill="FFFFFF"/>
          </w:tcPr>
          <w:p>
            <w:pPr>
              <w:pStyle w:val="Compact"/>
              <w:spacing w:before="40" w:after="60" w:line="247" w:lineRule="auto"/>
              <w:jc w:val="left"/>
            </w:pPr>
            <w:r>
              <w:rPr>
                <w:sz w:val="18"/>
              </w:rPr>
              <w:t xml:space="preserve">Marca o formato produzido pelo serviço.</w:t>
            </w:r>
          </w:p>
        </w:tc>
      </w:tr>
    </w:tbl>
    <w:p>
      <w:pPr>
        <w:pStyle w:val="BodyText"/>
      </w:pPr>
      <w:r>
        <w:t xml:space="preserve">A separação não cifra todo o banco. Instituição, campus, cargo, curso, previsão, datas e referências permanecem no registro operacional em seus formatos descritos. O cofre também conserva metadados de vínculo sem cifragem de aplicação. O sistema não possui rotina de exportação ou de consulta pública desses documentos.</w:t>
      </w:r>
    </w:p>
    <w:bookmarkEnd w:id="67"/>
    <w:bookmarkEnd w:id="68"/>
    <w:bookmarkStart w:id="69" w:name="agregação-capacidade-e-crescimento"/>
    <w:p>
      <w:pPr>
        <w:pStyle w:val="Heading2"/>
      </w:pPr>
      <w:bookmarkStart w:id="20034" w:name="docsec_035"/>
      <w:r>
        <w:t xml:space="preserve">Agregação, capacidade e crescimento</w:t>
      </w:r>
      <w:bookmarkEnd w:id="20034"/>
    </w:p>
    <w:p>
      <w:pPr>
        <w:pStyle w:val="FirstParagraph"/>
      </w:pPr>
      <w:r>
        <w:rPr>
          <w:rStyle w:val="VerbatimChar"/>
        </w:rPr>
        <w:t xml:space="preserve">writeLeadToBucket</w:t>
      </w:r>
      <w:r>
        <w:t xml:space="preserve"> </w:t>
      </w:r>
      <w:r>
        <w:t xml:space="preserve">inicia a busca em</w:t>
      </w:r>
      <w:r>
        <w:t xml:space="preserve"> </w:t>
      </w:r>
      <w:r>
        <w:rPr>
          <w:rStyle w:val="VerbatimChar"/>
        </w:rPr>
        <w:t xml:space="preserve">parte1</w:t>
      </w:r>
      <w:r>
        <w:t xml:space="preserve"> </w:t>
      </w:r>
      <w:r>
        <w:t xml:space="preserve">a cada tentativa de registro. Para uma parte existente, calcula os bytes UTF-8 de seu JSON e soma os bytes do novo registro operacional. O resultado deve ser menor ou igual a</w:t>
      </w:r>
      <w:r>
        <w:t xml:space="preserve"> </w:t>
      </w:r>
      <w:r>
        <w:rPr>
          <w:rStyle w:val="VerbatimChar"/>
        </w:rPr>
        <w:t xml:space="preserve">MAX_BUCKET_BYTES</w:t>
      </w:r>
      <w:r>
        <w:t xml:space="preserve">, definido como 943.718 bytes, aproximadamente 90% de 1 MiB. Se não couber, o serviço avança para a próxima parte. Uma parte ausente é criada com o primeiro item.</w:t>
      </w:r>
    </w:p>
    <w:p>
      <w:pPr>
        <w:pStyle w:val="BodyText"/>
      </w:pPr>
      <w:r>
        <w:t xml:space="preserve">Essa medida é uma estimativa da representação JSON usada pelo código, não uma leitura do tamanho interno de armazenamento ou dos índices do Firestore. O metadado</w:t>
      </w:r>
      <w:r>
        <w:t xml:space="preserve"> </w:t>
      </w:r>
      <w:r>
        <w:rPr>
          <w:rStyle w:val="VerbatimChar"/>
        </w:rPr>
        <w:t xml:space="preserve">tamanhoAproximadoBytes</w:t>
      </w:r>
      <w:r>
        <w:t xml:space="preserve"> </w:t>
      </w:r>
      <w:r>
        <w:t xml:space="preserve">mede somente o array de manifestações; a verificação de encaixe usa o objeto da parte existente e o novo item. O número de registros por parte depende do comprimento efetivo de seus campos e não é fixado em uma quantidade de pessoas.</w:t>
      </w:r>
    </w:p>
    <w:p>
      <w:pPr>
        <w:pStyle w:val="BodyText"/>
      </w:pPr>
      <w:r>
        <w:t xml:space="preserve">A seleção é sequencial e não utiliza um documento separado de</w:t>
      </w:r>
      <w:r>
        <w:t xml:space="preserve"> </w:t>
      </w:r>
      <w:r>
        <w:t xml:space="preserve">“</w:t>
      </w:r>
      <w:r>
        <w:t xml:space="preserve">última parte</w:t>
      </w:r>
      <w:r>
        <w:t xml:space="preserve">”</w:t>
      </w:r>
      <w:r>
        <w:t xml:space="preserve">. Não há paginação de consulta na API porque o produto não oferece listagem de manifestações. Também não há rotina versionada de retenção, exclusão periódica ou migração entre partes; a descrição deste mecanismo se limita ao crescimento por novas gravações.</w:t>
      </w:r>
    </w:p>
    <w:bookmarkEnd w:id="69"/>
    <w:bookmarkStart w:id="70" w:name="transações-unicidade-e-concorrência"/>
    <w:p>
      <w:pPr>
        <w:pStyle w:val="Heading2"/>
      </w:pPr>
      <w:bookmarkStart w:id="20035" w:name="docsec_036"/>
      <w:r>
        <w:t xml:space="preserve">Transações, unicidade e concorrência</w:t>
      </w:r>
      <w:bookmarkEnd w:id="20035"/>
    </w:p>
    <w:p>
      <w:pPr>
        <w:pStyle w:val="FirstParagraph"/>
      </w:pPr>
      <w:r>
        <w:t xml:space="preserve">Cada tentativa em uma parte ocorre em</w:t>
      </w:r>
      <w:r>
        <w:t xml:space="preserve"> </w:t>
      </w:r>
      <w:r>
        <w:rPr>
          <w:rStyle w:val="VerbatimChar"/>
        </w:rPr>
        <w:t xml:space="preserve">db.runTransaction</w:t>
      </w:r>
      <w:r>
        <w:t xml:space="preserve">. Primeiro é lido o índice do HMAC. Se existir, o serviço termina como duplicidade, sem escrever um novo cofre ou uma nova manifestação. Caso contrário, lê a parte e decide entre criá-la, ampliá-la, recuperar um índice ausente ou prosseguir para a parte seguinte.</w:t>
      </w:r>
    </w:p>
    <w:p>
      <w:pPr>
        <w:pStyle w:val="BodyText"/>
      </w:pPr>
      <w:r>
        <w:t xml:space="preserve">Na inclusão normal,</w:t>
      </w:r>
      <w:r>
        <w:t xml:space="preserve"> </w:t>
      </w:r>
      <w:r>
        <w:rPr>
          <w:rStyle w:val="VerbatimChar"/>
        </w:rPr>
        <w:t xml:space="preserve">writeDualRecords</w:t>
      </w:r>
      <w:r>
        <w:t xml:space="preserve"> </w:t>
      </w:r>
      <w:r>
        <w:t xml:space="preserve">executa as três escritas dentro da mesma transação: índice de unicidade, cofre e parte operacional. No endpoint atual, o cofre é sempre construído antes dessa chamada. Embora o serviço tenha um parâmetro opcional para ele, essa possibilidade genérica não altera a composição utilizada pela API pública.</w:t>
      </w:r>
    </w:p>
    <w:p>
      <w:pPr>
        <w:pStyle w:val="BodyText"/>
      </w:pPr>
      <w:r>
        <w:t xml:space="preserve">Se o índice estiver ausente, mas a parte contiver o mesmo</w:t>
      </w:r>
      <w:r>
        <w:t xml:space="preserve"> </w:t>
      </w:r>
      <w:r>
        <w:rPr>
          <w:rStyle w:val="VerbatimChar"/>
        </w:rPr>
        <w:t xml:space="preserve">emailHash</w:t>
      </w:r>
      <w:r>
        <w:t xml:space="preserve">, o serviço recupera o</w:t>
      </w:r>
      <w:r>
        <w:t xml:space="preserve"> </w:t>
      </w:r>
      <w:r>
        <w:rPr>
          <w:rStyle w:val="VerbatimChar"/>
        </w:rPr>
        <w:t xml:space="preserve">leadId</w:t>
      </w:r>
      <w:r>
        <w:t xml:space="preserve"> </w:t>
      </w:r>
      <w:r>
        <w:t xml:space="preserve">desse item e recria apenas o índice. A resposta continua sendo de duplicidade. Se a parte não comportar o novo item, a transação encerra sem inclusão e o laço tenta a próxima parte. A função de transação recebe do SDK o tratamento de conflitos e repetição; o código da aplicação não implementa um contador próprio de novas tentativas.</w:t>
      </w:r>
    </w:p>
    <w:p>
      <w:pPr>
        <w:pStyle w:val="BodyText"/>
      </w:pPr>
      <w:r>
        <w:t xml:space="preserve">A atomicidade corresponde às escritas agrupadas na transação selecionada. Uma exceção de persistência faz o serviço retornar falha; não existe uma segunda gravação isolada usada para completar parcialmente um sucesso. Não foram feitas novas escritas em produção para elaborar este documento. O comportamento transacional é descrito pela implementação, sem atribuir a esta atividade uma prova de concorrência no banco real.</w:t>
      </w:r>
    </w:p>
    <w:bookmarkEnd w:id="70"/>
    <w:bookmarkStart w:id="71" w:name="hmac-cifragem-e-formatos"/>
    <w:p>
      <w:pPr>
        <w:pStyle w:val="Heading2"/>
      </w:pPr>
      <w:bookmarkStart w:id="20036" w:name="docsec_037"/>
      <w:r>
        <w:t xml:space="preserve">HMAC, cifragem e formatos</w:t>
      </w:r>
      <w:bookmarkEnd w:id="20036"/>
    </w:p>
    <w:p>
      <w:pPr>
        <w:pStyle w:val="FirstParagraph"/>
      </w:pPr>
      <w:r>
        <w:t xml:space="preserve">O índice de e-mail utiliza HMAC-SHA256 com</w:t>
      </w:r>
      <w:r>
        <w:t xml:space="preserve"> </w:t>
      </w:r>
      <w:r>
        <w:rPr>
          <w:rStyle w:val="VerbatimChar"/>
        </w:rPr>
        <w:t xml:space="preserve">HMAC_PEPPER_KEY</w:t>
      </w:r>
      <w:r>
        <w:t xml:space="preserve">, variável restrita ao backend. O e-mail é convertido para minúsculas e recebe</w:t>
      </w:r>
      <w:r>
        <w:t xml:space="preserve"> </w:t>
      </w:r>
      <w:r>
        <w:rPr>
          <w:rStyle w:val="VerbatimChar"/>
        </w:rPr>
        <w:t xml:space="preserve">trim</w:t>
      </w:r>
      <w:r>
        <w:t xml:space="preserve"> </w:t>
      </w:r>
      <w:r>
        <w:t xml:space="preserve">antes do cálculo. A saída em hexadecimal tem 64 caracteres e é determinística para o mesmo e-mail normalizado e a mesma chave. O HMAC permite conferir unicidade sem usar o endereço em claro como identificador de documento. A ausência da variável gera exceção; não existe chave substituta embutida no código.</w:t>
      </w:r>
    </w:p>
    <w:p>
      <w:pPr>
        <w:pStyle w:val="BodyText"/>
      </w:pPr>
      <w:r>
        <w:t xml:space="preserve">Os contatos são cifrados com AES-256-GCM.</w:t>
      </w:r>
      <w:r>
        <w:t xml:space="preserve"> </w:t>
      </w:r>
      <w:r>
        <w:rPr>
          <w:rStyle w:val="VerbatimChar"/>
        </w:rPr>
        <w:t xml:space="preserve">getVaultKey</w:t>
      </w:r>
      <w:r>
        <w:t xml:space="preserve"> </w:t>
      </w:r>
      <w:r>
        <w:t xml:space="preserve">calcula SHA-256 de</w:t>
      </w:r>
      <w:r>
        <w:t xml:space="preserve"> </w:t>
      </w:r>
      <w:r>
        <w:rPr>
          <w:rStyle w:val="VerbatimChar"/>
        </w:rPr>
        <w:t xml:space="preserve">VAULT_ENCRYPTION_KEY</w:t>
      </w:r>
      <w:r>
        <w:t xml:space="preserve">, obtendo a chave binária de 32 bytes empregada pelo algoritmo. A variável é obrigatória, mas o módulo não exige que seu texto original tenha exatamente 32 bytes. Para cada campo não vazio, a função gera um IV aleatório de 12 bytes e obtém a tag de autenticação da cifragem.</w:t>
      </w:r>
    </w:p>
    <w:p>
      <w:pPr>
        <w:pStyle w:val="BodyText"/>
      </w:pPr>
      <w:r>
        <w:t xml:space="preserve">O formato gravado é</w:t>
      </w:r>
      <w:r>
        <w:t xml:space="preserve"> </w:t>
      </w:r>
      <w:r>
        <w:rPr>
          <w:rStyle w:val="VerbatimChar"/>
        </w:rPr>
        <w:t xml:space="preserve">v1:IV_BASE64:TAG_BASE64:CIFRADO_BASE64</w:t>
      </w:r>
      <w:r>
        <w:t xml:space="preserve">. O prefixo identifica a versão do envelope; os três componentes seguintes usam Base64. IV e tag acompanham o texto cifrado e não substituem o segredo do backend. Como cada campo recebe um novo IV, valores iguais podem resultar em envelopes diferentes. Uma string vazia permanece vazia, sem envelope.</w:t>
      </w:r>
    </w:p>
    <w:p>
      <w:pPr>
        <w:pStyle w:val="BodyText"/>
      </w:pPr>
      <w:r>
        <w:rPr>
          <w:rStyle w:val="VerbatimChar"/>
        </w:rPr>
        <w:t xml:space="preserve">decryptVaultField</w:t>
      </w:r>
      <w:r>
        <w:t xml:space="preserve"> </w:t>
      </w:r>
      <w:r>
        <w:t xml:space="preserve">existe como utilitário de servidor e não está ligado a um endpoint público. Conteúdo vazio ou sem prefixo</w:t>
      </w:r>
      <w:r>
        <w:t xml:space="preserve"> </w:t>
      </w:r>
      <w:r>
        <w:rPr>
          <w:rStyle w:val="VerbatimChar"/>
        </w:rPr>
        <w:t xml:space="preserve">v1:</w:t>
      </w:r>
      <w:r>
        <w:t xml:space="preserve"> </w:t>
      </w:r>
      <w:r>
        <w:t xml:space="preserve">é devolvido sem alteração; um envelope com quantidade diferente de quatro componentes também é preservado. Falhas durante a decifragem ou autenticação resultam no marcador</w:t>
      </w:r>
      <w:r>
        <w:t xml:space="preserve"> </w:t>
      </w:r>
      <w:r>
        <w:rPr>
          <w:rStyle w:val="VerbatimChar"/>
        </w:rPr>
        <w:t xml:space="preserve">[ENCRYPTED_VAULT_PAYLOAD]</w:t>
      </w:r>
      <w:r>
        <w:t xml:space="preserve">. O código não implementa um catálogo de chaves antigas ou uma rotina automática de recifragem.</w:t>
      </w:r>
    </w:p>
    <w:p>
      <w:pPr>
        <w:pStyle w:val="BodyText"/>
      </w:pPr>
      <w:r>
        <w:t xml:space="preserve">HMAC e cifragem têm finalidades distintas. O primeiro fornece um identificador correlacionável protegido por chave; a segunda conserva a possibilidade de recuperar o contato com a chave apropriada. Esses mecanismos não constituem anonimização automática. A relação com uma pessoa continua possível por meio do cofre e dos vínculos, sob o controle de acesso aplicável.</w:t>
      </w:r>
    </w:p>
    <w:bookmarkEnd w:id="71"/>
    <w:bookmarkStart w:id="72" w:name="logs-e-sanitização"/>
    <w:p>
      <w:pPr>
        <w:pStyle w:val="Heading2"/>
      </w:pPr>
      <w:bookmarkStart w:id="20037" w:name="docsec_038"/>
      <w:r>
        <w:t xml:space="preserve">Logs e sanitização</w:t>
      </w:r>
      <w:bookmarkEnd w:id="20037"/>
    </w:p>
    <w:p>
      <w:pPr>
        <w:pStyle w:val="FirstParagraph"/>
      </w:pPr>
      <w:r>
        <w:rPr>
          <w:rStyle w:val="VerbatimChar"/>
        </w:rPr>
        <w:t xml:space="preserve">sanitizeErrorMessage</w:t>
      </w:r>
      <w:r>
        <w:t xml:space="preserve"> </w:t>
      </w:r>
      <w:r>
        <w:t xml:space="preserve">limita a mensagem a 2.000 caracteres e substitui padrões de e-mail, telefone brasileiro, CPF e caminho de documento</w:t>
      </w:r>
      <w:r>
        <w:t xml:space="preserve"> </w:t>
      </w:r>
      <w:r>
        <w:rPr>
          <w:rStyle w:val="VerbatimChar"/>
        </w:rPr>
        <w:t xml:space="preserve">leads_adesao</w:t>
      </w:r>
      <w:r>
        <w:t xml:space="preserve">. Os marcadores empregados são</w:t>
      </w:r>
      <w:r>
        <w:t xml:space="preserve"> </w:t>
      </w:r>
      <w:r>
        <w:rPr>
          <w:rStyle w:val="VerbatimChar"/>
        </w:rPr>
        <w:t xml:space="preserve">[REDACTED_EMAIL]</w:t>
      </w:r>
      <w:r>
        <w:t xml:space="preserve">,</w:t>
      </w:r>
      <w:r>
        <w:t xml:space="preserve"> </w:t>
      </w:r>
      <w:r>
        <w:rPr>
          <w:rStyle w:val="VerbatimChar"/>
        </w:rPr>
        <w:t xml:space="preserve">[REDACTED_PHONE]</w:t>
      </w:r>
      <w:r>
        <w:t xml:space="preserve">,</w:t>
      </w:r>
      <w:r>
        <w:t xml:space="preserve"> </w:t>
      </w:r>
      <w:r>
        <w:rPr>
          <w:rStyle w:val="VerbatimChar"/>
        </w:rPr>
        <w:t xml:space="preserve">[REDACTED_CPF]</w:t>
      </w:r>
      <w:r>
        <w:t xml:space="preserve"> </w:t>
      </w:r>
      <w:r>
        <w:t xml:space="preserve">e</w:t>
      </w:r>
      <w:r>
        <w:t xml:space="preserve"> </w:t>
      </w:r>
      <w:r>
        <w:rPr>
          <w:rStyle w:val="VerbatimChar"/>
        </w:rPr>
        <w:t xml:space="preserve">[REDACTED_DOC]</w:t>
      </w:r>
      <w:r>
        <w:t xml:space="preserve">. A remoção é baseada em expressões regulares, com o recorte de tamanho executado antes das substituições.</w:t>
      </w:r>
    </w:p>
    <w:p>
      <w:pPr>
        <w:pStyle w:val="BodyText"/>
      </w:pPr>
      <w:r>
        <w:t xml:space="preserve">Falhas na preparação criptográfica usam o emissor</w:t>
      </w:r>
      <w:r>
        <w:t xml:space="preserve"> </w:t>
      </w:r>
      <w:r>
        <w:rPr>
          <w:rStyle w:val="VerbatimChar"/>
        </w:rPr>
        <w:t xml:space="preserve">[SECURITY_VAULT_ERROR]</w:t>
      </w:r>
      <w:r>
        <w:t xml:space="preserve">; falhas de gravação usam</w:t>
      </w:r>
      <w:r>
        <w:t xml:space="preserve"> </w:t>
      </w:r>
      <w:r>
        <w:rPr>
          <w:rStyle w:val="VerbatimChar"/>
        </w:rPr>
        <w:t xml:space="preserve">[FIREBASE_WARN]</w:t>
      </w:r>
      <w:r>
        <w:t xml:space="preserve">; o tratamento final do Express usa</w:t>
      </w:r>
      <w:r>
        <w:t xml:space="preserve"> </w:t>
      </w:r>
      <w:r>
        <w:rPr>
          <w:rStyle w:val="VerbatimChar"/>
        </w:rPr>
        <w:t xml:space="preserve">[SERVER_ERROR]</w:t>
      </w:r>
      <w:r>
        <w:t xml:space="preserve">. As respostas públicas desses caminhos são genéricas. A falha de inicialização do Admin SDK possui um</w:t>
      </w:r>
      <w:r>
        <w:t xml:space="preserve"> </w:t>
      </w:r>
      <w:r>
        <w:rPr>
          <w:rStyle w:val="VerbatimChar"/>
        </w:rPr>
        <w:t xml:space="preserve">console.error</w:t>
      </w:r>
      <w:r>
        <w:t xml:space="preserve"> </w:t>
      </w:r>
      <w:r>
        <w:t xml:space="preserve">próprio em</w:t>
      </w:r>
      <w:r>
        <w:t xml:space="preserve"> </w:t>
      </w:r>
      <w:r>
        <w:rPr>
          <w:rStyle w:val="VerbatimChar"/>
        </w:rPr>
        <w:t xml:space="preserve">firestoreClient.ts</w:t>
      </w:r>
      <w:r>
        <w:t xml:space="preserve">, separado do utilitário de sanitização. A aplicação não registra o corpo completo do formulário como evento normal de sucesso.</w:t>
      </w:r>
    </w:p>
    <w:p>
      <w:pPr>
        <w:pStyle w:val="BodyText"/>
      </w:pPr>
      <w:r>
        <w:t xml:space="preserve">A configuração de armazenamento, retenção e autorização de leitura dos logs pertence ao ambiente de operação e não é determinada por esses emissores. Da mesma forma, a origem real dos segredos no Secret Manager, prevista pelas regras internas do projeto, depende da configuração de implantação, não da simples presença de</w:t>
      </w:r>
      <w:r>
        <w:t xml:space="preserve"> </w:t>
      </w:r>
      <w:r>
        <w:rPr>
          <w:rStyle w:val="VerbatimChar"/>
        </w:rPr>
        <w:t xml:space="preserve">process.env</w:t>
      </w:r>
      <w:r>
        <w:t xml:space="preserve"> </w:t>
      </w:r>
      <w:r>
        <w:t xml:space="preserve">no código.</w:t>
      </w:r>
    </w:p>
    <w:p>
      <w:pPr>
        <w:pStyle w:val="BodyText"/>
      </w:pPr>
      <w:r>
        <w:t xml:space="preserve">Fontes de implementação:</w:t>
      </w:r>
      <w:r>
        <w:t xml:space="preserve"> </w:t>
      </w:r>
      <w:r>
        <w:rPr>
          <w:rStyle w:val="VerbatimChar"/>
        </w:rPr>
        <w:t xml:space="preserve">src/server/firestoreClient.ts</w:t>
      </w:r>
      <w:r>
        <w:t xml:space="preserve"> </w:t>
      </w:r>
      <w:r>
        <w:t xml:space="preserve">— resolução e inicialização;</w:t>
      </w:r>
      <w:r>
        <w:t xml:space="preserve"> </w:t>
      </w:r>
      <w:r>
        <w:rPr>
          <w:rStyle w:val="VerbatimChar"/>
        </w:rPr>
        <w:t xml:space="preserve">src/server/leadBucketService.ts</w:t>
      </w:r>
      <w:r>
        <w:t xml:space="preserve"> </w:t>
      </w:r>
      <w:r>
        <w:t xml:space="preserve">—</w:t>
      </w:r>
      <w:r>
        <w:t xml:space="preserve"> </w:t>
      </w:r>
      <w:r>
        <w:rPr>
          <w:rStyle w:val="VerbatimChar"/>
        </w:rPr>
        <w:t xml:space="preserve">MAX_BUCKET_BYTES</w:t>
      </w:r>
      <w:r>
        <w:t xml:space="preserve">,</w:t>
      </w:r>
      <w:r>
        <w:t xml:space="preserve"> </w:t>
      </w:r>
      <w:r>
        <w:rPr>
          <w:rStyle w:val="VerbatimChar"/>
        </w:rPr>
        <w:t xml:space="preserve">getEmailHash</w:t>
      </w:r>
      <w:r>
        <w:t xml:space="preserve">,</w:t>
      </w:r>
      <w:r>
        <w:t xml:space="preserve"> </w:t>
      </w:r>
      <w:r>
        <w:rPr>
          <w:rStyle w:val="VerbatimChar"/>
        </w:rPr>
        <w:t xml:space="preserve">writeLeadToBucket</w:t>
      </w:r>
      <w:r>
        <w:t xml:space="preserve">, transações e sanitização;</w:t>
      </w:r>
      <w:r>
        <w:t xml:space="preserve"> </w:t>
      </w:r>
      <w:r>
        <w:rPr>
          <w:rStyle w:val="VerbatimChar"/>
        </w:rPr>
        <w:t xml:space="preserve">src/server/vaultService.ts</w:t>
      </w:r>
      <w:r>
        <w:t xml:space="preserve"> </w:t>
      </w:r>
      <w:r>
        <w:t xml:space="preserve">— construtores e cifragem;</w:t>
      </w:r>
      <w:r>
        <w:t xml:space="preserve"> </w:t>
      </w:r>
      <w:r>
        <w:rPr>
          <w:rStyle w:val="VerbatimChar"/>
        </w:rPr>
        <w:t xml:space="preserve">firestore.rules</w:t>
      </w:r>
      <w:r>
        <w:t xml:space="preserve">; identificadores não secretos de</w:t>
      </w:r>
      <w:r>
        <w:t xml:space="preserve"> </w:t>
      </w:r>
      <w:r>
        <w:rPr>
          <w:rStyle w:val="VerbatimChar"/>
        </w:rPr>
        <w:t xml:space="preserve">firebase-applet-config.json</w:t>
      </w:r>
      <w:r>
        <w:t xml:space="preserve">. Revisão</w:t>
      </w:r>
      <w:r>
        <w:t xml:space="preserve"> </w:t>
      </w:r>
      <w:r>
        <w:rPr>
          <w:rStyle w:val="VerbatimChar"/>
        </w:rPr>
        <w:t xml:space="preserve">1d05eb64bfdb9f7f579221a144165a66f1ba25e4</w:t>
      </w:r>
      <w:r>
        <w:t xml:space="preserve">. Implantação das regras: informação fornecida pela equipe em 15 de outubro de 2026; IAM e escrita real não inspecionados nesta atividade.</w:t>
      </w:r>
    </w:p>
    <w:bookmarkEnd w:id="72"/>
    <w:bookmarkEnd w:id="73"/>
    <w:bookmarkStart w:id="80" w:name="http-integridade-e-distribuição"/>
    <w:p>
      <w:pPr>
        <w:pStyle w:val="Heading1"/>
      </w:pPr>
      <w:bookmarkStart w:id="20038" w:name="docsec_039"/>
      <w:r>
        <w:t xml:space="preserve">HTTP, integridade e distribuição</w:t>
      </w:r>
      <w:bookmarkEnd w:id="20038"/>
    </w:p>
    <w:bookmarkStart w:id="74" w:name="cabeçalhos-de-resposta"/>
    <w:p>
      <w:pPr>
        <w:pStyle w:val="Heading2"/>
      </w:pPr>
      <w:bookmarkStart w:id="20039" w:name="docsec_040"/>
      <w:r>
        <w:t xml:space="preserve">Cabeçalhos de resposta</w:t>
      </w:r>
      <w:bookmarkEnd w:id="20039"/>
    </w:p>
    <w:p>
      <w:pPr>
        <w:pStyle w:val="FirstParagraph"/>
      </w:pPr>
      <w:r>
        <w:rPr>
          <w:rStyle w:val="VerbatimChar"/>
        </w:rPr>
        <w:t xml:space="preserve">applySecurityHeaders</w:t>
      </w:r>
      <w:r>
        <w:t xml:space="preserve"> </w:t>
      </w:r>
      <w:r>
        <w:t xml:space="preserve">define as políticas das respostas Express antes das rotas.</w:t>
      </w:r>
      <w:r>
        <w:t xml:space="preserve"> </w:t>
      </w:r>
      <w:r>
        <w:rPr>
          <w:rStyle w:val="VerbatimChar"/>
        </w:rPr>
        <w:t xml:space="preserve">firebase.json</w:t>
      </w:r>
      <w:r>
        <w:t xml:space="preserve"> </w:t>
      </w:r>
      <w:r>
        <w:t xml:space="preserve">declara os mesmos valores gerais para os recursos entregues pelo Firebase Hosting. São dois pontos de configuração, correspondentes à aplicação Node e à hospedagem estática; os arquivos versionados não comprovam, isoladamente, quais respostas cada domínio está emitindo em produção.</w:t>
      </w:r>
    </w:p>
    <w:p>
      <w:pPr>
        <w:pStyle w:val="TableCaption"/>
        <w:keepNext/>
      </w:pPr>
      <w:r>
        <w:t xml:space="preserve">Tabela </w:t>
      </w:r>
      <w:r>
        <w:rPr>
          <w:rFonts w:ascii="Open Sans" w:hAnsi="Open Sans"/>
          <w:sz w:val="18"/>
        </w:rPr>
        <w:fldChar w:fldCharType="begin"/>
        <w:instrText xml:space="preserve"> SEQ Tabela </w:instrText>
        <w:fldChar w:fldCharType="separate"/>
        <w:t>23</w:t>
        <w:fldChar w:fldCharType="end"/>
      </w:r>
      <w:r>
        <w:t xml:space="preserve"> — Cabeçalhos gerais configurados.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Cabeçalho</w:t>
            </w:r>
          </w:p>
        </w:tc>
        <w:tc>
          <w:tcPr>
            <w:tcW w:type="dxa" w:w="2476"/>
            <w:vAlign w:val="top"/>
            <w:shd w:fill="233B82"/>
          </w:tcPr>
          <w:p>
            <w:pPr>
              <w:pStyle w:val="Compact"/>
              <w:spacing w:before="40" w:after="60" w:line="247" w:lineRule="auto"/>
              <w:jc w:val="left"/>
            </w:pPr>
            <w:r>
              <w:rPr>
                <w:b/>
                <w:color w:val="FFFFFF"/>
                <w:sz w:val="18"/>
              </w:rPr>
              <w:t xml:space="preserve">Valor</w:t>
            </w:r>
          </w:p>
        </w:tc>
        <w:tc>
          <w:tcPr>
            <w:tcW w:type="dxa" w:w="2762"/>
            <w:vAlign w:val="top"/>
            <w:shd w:fill="233B82"/>
          </w:tcPr>
          <w:p>
            <w:pPr>
              <w:pStyle w:val="Compact"/>
              <w:spacing w:before="40" w:after="60" w:line="247" w:lineRule="auto"/>
              <w:jc w:val="left"/>
            </w:pPr>
            <w:r>
              <w:rPr>
                <w:b/>
                <w:color w:val="FFFFFF"/>
                <w:sz w:val="18"/>
              </w:rPr>
              <w:t xml:space="preserve">Finalidade no navegador</w:t>
            </w:r>
          </w:p>
        </w:tc>
        <w:tc>
          <w:tcPr>
            <w:tcW w:type="dxa" w:w="2572"/>
            <w:vAlign w:val="top"/>
            <w:shd w:fill="233B82"/>
          </w:tcPr>
          <w:p>
            <w:pPr>
              <w:pStyle w:val="Compact"/>
              <w:spacing w:before="40" w:after="60" w:line="247" w:lineRule="auto"/>
              <w:jc w:val="left"/>
            </w:pPr>
            <w:r>
              <w:rPr>
                <w:b/>
                <w:color w:val="FFFFFF"/>
                <w:sz w:val="18"/>
              </w:rPr>
              <w:t xml:space="preserve">Origem</w:t>
            </w:r>
          </w:p>
        </w:tc>
      </w:tr>
      <w:tr>
        <w:trPr>
          <w:cantSplit/>
        </w:trPr>
        <w:tc>
          <w:tcPr>
            <w:tcW w:type="dxa" w:w="1714"/>
            <w:vAlign w:val="top"/>
            <w:shd w:fill="FFFFFF"/>
          </w:tcPr>
          <w:p>
            <w:pPr>
              <w:pStyle w:val="Compact"/>
              <w:spacing w:before="40" w:after="60" w:line="247" w:lineRule="auto"/>
              <w:jc w:val="left"/>
            </w:pPr>
            <w:r>
              <w:rPr>
                <w:rStyle w:val="VerbatimChar"/>
                <w:sz w:val="17"/>
              </w:rPr>
              <w:t xml:space="preserve">Strict-Transport-Security</w:t>
            </w:r>
          </w:p>
        </w:tc>
        <w:tc>
          <w:tcPr>
            <w:tcW w:type="dxa" w:w="2476"/>
            <w:vAlign w:val="top"/>
            <w:shd w:fill="FFFFFF"/>
          </w:tcPr>
          <w:p>
            <w:pPr>
              <w:pStyle w:val="Compact"/>
              <w:spacing w:before="40" w:after="60" w:line="247" w:lineRule="auto"/>
              <w:jc w:val="left"/>
            </w:pPr>
            <w:r>
              <w:rPr>
                <w:rStyle w:val="VerbatimChar"/>
                <w:sz w:val="17"/>
              </w:rPr>
              <w:t xml:space="preserve">max-age=63072000; includeSubDomains; preload</w:t>
            </w:r>
          </w:p>
        </w:tc>
        <w:tc>
          <w:tcPr>
            <w:tcW w:type="dxa" w:w="2762"/>
            <w:vAlign w:val="top"/>
            <w:shd w:fill="FFFFFF"/>
          </w:tcPr>
          <w:p>
            <w:pPr>
              <w:pStyle w:val="Compact"/>
              <w:spacing w:before="40" w:after="60" w:line="247" w:lineRule="auto"/>
              <w:jc w:val="left"/>
            </w:pPr>
            <w:r>
              <w:rPr>
                <w:sz w:val="18"/>
              </w:rPr>
              <w:t xml:space="preserve">Solicita uso de HTTPS por dois anos e inclui subdomínios.</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X-Content-Type-Options</w:t>
            </w:r>
          </w:p>
        </w:tc>
        <w:tc>
          <w:tcPr>
            <w:tcW w:type="dxa" w:w="2476"/>
            <w:vAlign w:val="top"/>
            <w:shd w:fill="F5F8FC"/>
          </w:tcPr>
          <w:p>
            <w:pPr>
              <w:pStyle w:val="Compact"/>
              <w:spacing w:before="40" w:after="60" w:line="247" w:lineRule="auto"/>
              <w:jc w:val="left"/>
            </w:pPr>
            <w:r>
              <w:rPr>
                <w:rStyle w:val="VerbatimChar"/>
                <w:sz w:val="17"/>
              </w:rPr>
              <w:t xml:space="preserve">nosniff</w:t>
            </w:r>
          </w:p>
        </w:tc>
        <w:tc>
          <w:tcPr>
            <w:tcW w:type="dxa" w:w="2762"/>
            <w:vAlign w:val="top"/>
            <w:shd w:fill="F5F8FC"/>
          </w:tcPr>
          <w:p>
            <w:pPr>
              <w:pStyle w:val="Compact"/>
              <w:spacing w:before="40" w:after="60" w:line="247" w:lineRule="auto"/>
              <w:jc w:val="left"/>
            </w:pPr>
            <w:r>
              <w:rPr>
                <w:sz w:val="18"/>
              </w:rPr>
              <w:t xml:space="preserve">Restringe interpretação de tipos por detecção de conteúdo.</w:t>
            </w:r>
          </w:p>
        </w:tc>
        <w:tc>
          <w:tcPr>
            <w:tcW w:type="dxa" w:w="2572"/>
            <w:vAlign w:val="top"/>
            <w:shd w:fill="F5F8FC"/>
          </w:tcPr>
          <w:p>
            <w:pPr>
              <w:pStyle w:val="Compact"/>
              <w:spacing w:before="40" w:after="60" w:line="247" w:lineRule="auto"/>
              <w:jc w:val="left"/>
            </w:pPr>
            <w:r>
              <w:rPr>
                <w:sz w:val="18"/>
              </w:rPr>
              <w:t xml:space="preserve">Express e Hosting.</w:t>
            </w:r>
          </w:p>
        </w:tc>
      </w:tr>
      <w:tr>
        <w:trPr>
          <w:cantSplit/>
        </w:trPr>
        <w:tc>
          <w:tcPr>
            <w:tcW w:type="dxa" w:w="1714"/>
            <w:vAlign w:val="top"/>
            <w:shd w:fill="FFFFFF"/>
          </w:tcPr>
          <w:p>
            <w:pPr>
              <w:pStyle w:val="Compact"/>
              <w:spacing w:before="40" w:after="60" w:line="247" w:lineRule="auto"/>
              <w:jc w:val="left"/>
            </w:pPr>
            <w:r>
              <w:rPr>
                <w:rStyle w:val="VerbatimChar"/>
                <w:sz w:val="17"/>
              </w:rPr>
              <w:t xml:space="preserve">Referrer-Policy</w:t>
            </w:r>
          </w:p>
        </w:tc>
        <w:tc>
          <w:tcPr>
            <w:tcW w:type="dxa" w:w="2476"/>
            <w:vAlign w:val="top"/>
            <w:shd w:fill="FFFFFF"/>
          </w:tcPr>
          <w:p>
            <w:pPr>
              <w:pStyle w:val="Compact"/>
              <w:spacing w:before="40" w:after="60" w:line="247" w:lineRule="auto"/>
              <w:jc w:val="left"/>
            </w:pPr>
            <w:r>
              <w:rPr>
                <w:rStyle w:val="VerbatimChar"/>
                <w:sz w:val="17"/>
              </w:rPr>
              <w:t xml:space="preserve">no-referrer</w:t>
            </w:r>
          </w:p>
        </w:tc>
        <w:tc>
          <w:tcPr>
            <w:tcW w:type="dxa" w:w="2762"/>
            <w:vAlign w:val="top"/>
            <w:shd w:fill="FFFFFF"/>
          </w:tcPr>
          <w:p>
            <w:pPr>
              <w:pStyle w:val="Compact"/>
              <w:spacing w:before="40" w:after="60" w:line="247" w:lineRule="auto"/>
              <w:jc w:val="left"/>
            </w:pPr>
            <w:r>
              <w:rPr>
                <w:sz w:val="18"/>
              </w:rPr>
              <w:t xml:space="preserve">Suprime o envio de referência nas requisições abrangidas pela política.</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Cross-Origin-Opener-Policy</w:t>
            </w:r>
          </w:p>
        </w:tc>
        <w:tc>
          <w:tcPr>
            <w:tcW w:type="dxa" w:w="2476"/>
            <w:vAlign w:val="top"/>
            <w:shd w:fill="F5F8FC"/>
          </w:tcPr>
          <w:p>
            <w:pPr>
              <w:pStyle w:val="Compact"/>
              <w:spacing w:before="40" w:after="60" w:line="247" w:lineRule="auto"/>
              <w:jc w:val="left"/>
            </w:pPr>
            <w:r>
              <w:rPr>
                <w:rStyle w:val="VerbatimChar"/>
                <w:sz w:val="17"/>
              </w:rPr>
              <w:t xml:space="preserve">same-origin-allow-popups</w:t>
            </w:r>
          </w:p>
        </w:tc>
        <w:tc>
          <w:tcPr>
            <w:tcW w:type="dxa" w:w="2762"/>
            <w:vAlign w:val="top"/>
            <w:shd w:fill="F5F8FC"/>
          </w:tcPr>
          <w:p>
            <w:pPr>
              <w:pStyle w:val="Compact"/>
              <w:spacing w:before="40" w:after="60" w:line="247" w:lineRule="auto"/>
              <w:jc w:val="left"/>
            </w:pPr>
            <w:r>
              <w:rPr>
                <w:sz w:val="18"/>
              </w:rPr>
              <w:t xml:space="preserve">Define o tratamento da relação com janelas de outras origens.</w:t>
            </w:r>
          </w:p>
        </w:tc>
        <w:tc>
          <w:tcPr>
            <w:tcW w:type="dxa" w:w="2572"/>
            <w:vAlign w:val="top"/>
            <w:shd w:fill="F5F8FC"/>
          </w:tcPr>
          <w:p>
            <w:pPr>
              <w:pStyle w:val="Compact"/>
              <w:spacing w:before="40" w:after="60" w:line="247" w:lineRule="auto"/>
              <w:jc w:val="left"/>
            </w:pPr>
            <w:r>
              <w:rPr>
                <w:sz w:val="18"/>
              </w:rPr>
              <w:t xml:space="preserve">Express e Hosting.</w:t>
            </w:r>
          </w:p>
        </w:tc>
      </w:tr>
      <w:tr>
        <w:trPr>
          <w:cantSplit/>
        </w:trPr>
        <w:tc>
          <w:tcPr>
            <w:tcW w:type="dxa" w:w="1714"/>
            <w:vAlign w:val="top"/>
            <w:shd w:fill="FFFFFF"/>
          </w:tcPr>
          <w:p>
            <w:pPr>
              <w:pStyle w:val="Compact"/>
              <w:spacing w:before="40" w:after="60" w:line="247" w:lineRule="auto"/>
              <w:jc w:val="left"/>
            </w:pPr>
            <w:r>
              <w:rPr>
                <w:rStyle w:val="VerbatimChar"/>
                <w:sz w:val="17"/>
              </w:rPr>
              <w:t xml:space="preserve">Cross-Origin-Embedder-Policy</w:t>
            </w:r>
          </w:p>
        </w:tc>
        <w:tc>
          <w:tcPr>
            <w:tcW w:type="dxa" w:w="2476"/>
            <w:vAlign w:val="top"/>
            <w:shd w:fill="FFFFFF"/>
          </w:tcPr>
          <w:p>
            <w:pPr>
              <w:pStyle w:val="Compact"/>
              <w:spacing w:before="40" w:after="60" w:line="247" w:lineRule="auto"/>
              <w:jc w:val="left"/>
            </w:pPr>
            <w:r>
              <w:rPr>
                <w:rStyle w:val="VerbatimChar"/>
                <w:sz w:val="17"/>
              </w:rPr>
              <w:t xml:space="preserve">credentialless</w:t>
            </w:r>
          </w:p>
        </w:tc>
        <w:tc>
          <w:tcPr>
            <w:tcW w:type="dxa" w:w="2762"/>
            <w:vAlign w:val="top"/>
            <w:shd w:fill="FFFFFF"/>
          </w:tcPr>
          <w:p>
            <w:pPr>
              <w:pStyle w:val="Compact"/>
              <w:spacing w:before="40" w:after="60" w:line="247" w:lineRule="auto"/>
              <w:jc w:val="left"/>
            </w:pPr>
            <w:r>
              <w:rPr>
                <w:sz w:val="18"/>
              </w:rPr>
              <w:t xml:space="preserve">Estabelece o modo de incorporação entre origens com tratamento de credenciais pelo navegador.</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Cross-Origin-Resource-Policy</w:t>
            </w:r>
          </w:p>
        </w:tc>
        <w:tc>
          <w:tcPr>
            <w:tcW w:type="dxa" w:w="2476"/>
            <w:vAlign w:val="top"/>
            <w:shd w:fill="F5F8FC"/>
          </w:tcPr>
          <w:p>
            <w:pPr>
              <w:pStyle w:val="Compact"/>
              <w:spacing w:before="40" w:after="60" w:line="247" w:lineRule="auto"/>
              <w:jc w:val="left"/>
            </w:pPr>
            <w:r>
              <w:rPr>
                <w:rStyle w:val="VerbatimChar"/>
                <w:sz w:val="17"/>
              </w:rPr>
              <w:t xml:space="preserve">same-origin</w:t>
            </w:r>
          </w:p>
        </w:tc>
        <w:tc>
          <w:tcPr>
            <w:tcW w:type="dxa" w:w="2762"/>
            <w:vAlign w:val="top"/>
            <w:shd w:fill="F5F8FC"/>
          </w:tcPr>
          <w:p>
            <w:pPr>
              <w:pStyle w:val="Compact"/>
              <w:spacing w:before="40" w:after="60" w:line="247" w:lineRule="auto"/>
              <w:jc w:val="left"/>
            </w:pPr>
            <w:r>
              <w:rPr>
                <w:sz w:val="18"/>
              </w:rPr>
              <w:t xml:space="preserve">Restringe o consumo dos recursos em contextos abrangidos por CORP.</w:t>
            </w:r>
          </w:p>
        </w:tc>
        <w:tc>
          <w:tcPr>
            <w:tcW w:type="dxa" w:w="2572"/>
            <w:vAlign w:val="top"/>
            <w:shd w:fill="F5F8FC"/>
          </w:tcPr>
          <w:p>
            <w:pPr>
              <w:pStyle w:val="Compact"/>
              <w:spacing w:before="40" w:after="60" w:line="247" w:lineRule="auto"/>
              <w:jc w:val="left"/>
            </w:pPr>
            <w:r>
              <w:rPr>
                <w:sz w:val="18"/>
              </w:rPr>
              <w:t xml:space="preserve">Express e Hosting.</w:t>
            </w:r>
          </w:p>
        </w:tc>
      </w:tr>
      <w:tr>
        <w:trPr>
          <w:cantSplit/>
        </w:trPr>
        <w:tc>
          <w:tcPr>
            <w:tcW w:type="dxa" w:w="1714"/>
            <w:vAlign w:val="top"/>
            <w:shd w:fill="FFFFFF"/>
          </w:tcPr>
          <w:p>
            <w:pPr>
              <w:pStyle w:val="Compact"/>
              <w:spacing w:before="40" w:after="60" w:line="247" w:lineRule="auto"/>
              <w:jc w:val="left"/>
            </w:pPr>
            <w:r>
              <w:rPr>
                <w:rStyle w:val="VerbatimChar"/>
                <w:sz w:val="17"/>
              </w:rPr>
              <w:t xml:space="preserve">Permissions-Policy</w:t>
            </w:r>
          </w:p>
        </w:tc>
        <w:tc>
          <w:tcPr>
            <w:tcW w:type="dxa" w:w="2476"/>
            <w:vAlign w:val="top"/>
            <w:shd w:fill="FFFFFF"/>
          </w:tcPr>
          <w:p>
            <w:pPr>
              <w:pStyle w:val="Compact"/>
              <w:spacing w:before="40" w:after="60" w:line="247" w:lineRule="auto"/>
              <w:jc w:val="left"/>
            </w:pPr>
            <w:r>
              <w:rPr>
                <w:sz w:val="18"/>
              </w:rPr>
              <w:t xml:space="preserve">Câmera, microfone, geolocalização, pagamento, USB e</w:t>
            </w:r>
            <w:r>
              <w:rPr>
                <w:sz w:val="18"/>
              </w:rPr>
              <w:t xml:space="preserve"> </w:t>
            </w:r>
            <w:r>
              <w:rPr>
                <w:rStyle w:val="VerbatimChar"/>
                <w:sz w:val="17"/>
              </w:rPr>
              <w:t xml:space="preserve">browsing-topics</w:t>
            </w:r>
            <w:r>
              <w:rPr>
                <w:sz w:val="18"/>
              </w:rPr>
              <w:t xml:space="preserve"> </w:t>
            </w:r>
            <w:r>
              <w:rPr>
                <w:sz w:val="18"/>
              </w:rPr>
              <w:t xml:space="preserve">com listas vazias.</w:t>
            </w:r>
          </w:p>
        </w:tc>
        <w:tc>
          <w:tcPr>
            <w:tcW w:type="dxa" w:w="2762"/>
            <w:vAlign w:val="top"/>
            <w:shd w:fill="FFFFFF"/>
          </w:tcPr>
          <w:p>
            <w:pPr>
              <w:pStyle w:val="Compact"/>
              <w:spacing w:before="40" w:after="60" w:line="247" w:lineRule="auto"/>
              <w:jc w:val="left"/>
            </w:pPr>
            <w:r>
              <w:rPr>
                <w:sz w:val="18"/>
              </w:rPr>
              <w:t xml:space="preserve">Desabilita essas funcionalidades controladas por política.</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Content-Security-Policy</w:t>
            </w:r>
          </w:p>
        </w:tc>
        <w:tc>
          <w:tcPr>
            <w:tcW w:type="dxa" w:w="2476"/>
            <w:vAlign w:val="top"/>
            <w:shd w:fill="F5F8FC"/>
          </w:tcPr>
          <w:p>
            <w:pPr>
              <w:pStyle w:val="Compact"/>
              <w:spacing w:before="40" w:after="60" w:line="247" w:lineRule="auto"/>
              <w:jc w:val="left"/>
            </w:pPr>
            <w:r>
              <w:rPr>
                <w:sz w:val="18"/>
              </w:rPr>
              <w:t xml:space="preserve">Política principal ou política específica da ponte.</w:t>
            </w:r>
          </w:p>
        </w:tc>
        <w:tc>
          <w:tcPr>
            <w:tcW w:type="dxa" w:w="2762"/>
            <w:vAlign w:val="top"/>
            <w:shd w:fill="F5F8FC"/>
          </w:tcPr>
          <w:p>
            <w:pPr>
              <w:pStyle w:val="Compact"/>
              <w:spacing w:before="40" w:after="60" w:line="247" w:lineRule="auto"/>
              <w:jc w:val="left"/>
            </w:pPr>
            <w:r>
              <w:rPr>
                <w:sz w:val="18"/>
              </w:rPr>
              <w:t xml:space="preserve">Define origens e modalidades de carregamento permitidas.</w:t>
            </w:r>
          </w:p>
        </w:tc>
        <w:tc>
          <w:tcPr>
            <w:tcW w:type="dxa" w:w="2572"/>
            <w:vAlign w:val="top"/>
            <w:shd w:fill="F5F8FC"/>
          </w:tcPr>
          <w:p>
            <w:pPr>
              <w:pStyle w:val="Compact"/>
              <w:spacing w:before="40" w:after="60" w:line="247" w:lineRule="auto"/>
              <w:jc w:val="left"/>
            </w:pPr>
            <w:r>
              <w:rPr>
                <w:sz w:val="18"/>
              </w:rPr>
              <w:t xml:space="preserve">Express e Hosting; exceção da ponte no Express.</w:t>
            </w:r>
          </w:p>
        </w:tc>
      </w:tr>
    </w:tbl>
    <w:p>
      <w:pPr>
        <w:pStyle w:val="BodyText"/>
      </w:pPr>
      <w:r>
        <w:t xml:space="preserve">A presença do token</w:t>
      </w:r>
      <w:r>
        <w:t xml:space="preserve"> </w:t>
      </w:r>
      <w:r>
        <w:rPr>
          <w:rStyle w:val="VerbatimChar"/>
        </w:rPr>
        <w:t xml:space="preserve">preload</w:t>
      </w:r>
      <w:r>
        <w:t xml:space="preserve"> </w:t>
      </w:r>
      <w:r>
        <w:t xml:space="preserve">no HSTS expressa uma configuração; não comprova inclusão em listas externas de preload. O controle de enquadramento utiliza</w:t>
      </w:r>
      <w:r>
        <w:t xml:space="preserve"> </w:t>
      </w:r>
      <w:r>
        <w:rPr>
          <w:rStyle w:val="VerbatimChar"/>
        </w:rPr>
        <w:t xml:space="preserve">frame-ancestors</w:t>
      </w:r>
      <w:r>
        <w:t xml:space="preserve"> </w:t>
      </w:r>
      <w:r>
        <w:t xml:space="preserve">da CSP. Não há</w:t>
      </w:r>
      <w:r>
        <w:t xml:space="preserve"> </w:t>
      </w:r>
      <w:r>
        <w:rPr>
          <w:rStyle w:val="VerbatimChar"/>
        </w:rPr>
        <w:t xml:space="preserve">X-Frame-Options</w:t>
      </w:r>
      <w:r>
        <w:t xml:space="preserve"> </w:t>
      </w:r>
      <w:r>
        <w:t xml:space="preserve">declarado no middleware nem no arquivo de Hosting da revisão documentada.</w:t>
      </w:r>
    </w:p>
    <w:p>
      <w:pPr>
        <w:pStyle w:val="BodyText"/>
      </w:pPr>
      <w:r>
        <w:t xml:space="preserve">O middleware também intercepta futuras chamadas de</w:t>
      </w:r>
      <w:r>
        <w:t xml:space="preserve"> </w:t>
      </w:r>
      <w:r>
        <w:rPr>
          <w:rStyle w:val="VerbatimChar"/>
        </w:rPr>
        <w:t xml:space="preserve">res.setHeader</w:t>
      </w:r>
      <w:r>
        <w:t xml:space="preserve"> </w:t>
      </w:r>
      <w:r>
        <w:t xml:space="preserve">para</w:t>
      </w:r>
      <w:r>
        <w:t xml:space="preserve"> </w:t>
      </w:r>
      <w:r>
        <w:rPr>
          <w:rStyle w:val="VerbatimChar"/>
        </w:rPr>
        <w:t xml:space="preserve">Set-Cookie</w:t>
      </w:r>
      <w:r>
        <w:t xml:space="preserve">.</w:t>
      </w:r>
      <w:r>
        <w:t xml:space="preserve"> </w:t>
      </w:r>
      <w:r>
        <w:rPr>
          <w:rStyle w:val="VerbatimChar"/>
        </w:rPr>
        <w:t xml:space="preserve">formatSecureCookie</w:t>
      </w:r>
      <w:r>
        <w:t xml:space="preserve"> </w:t>
      </w:r>
      <w:r>
        <w:t xml:space="preserve">acrescenta</w:t>
      </w:r>
      <w:r>
        <w:t xml:space="preserve"> </w:t>
      </w:r>
      <w:r>
        <w:rPr>
          <w:rStyle w:val="VerbatimChar"/>
        </w:rPr>
        <w:t xml:space="preserve">Secure</w:t>
      </w:r>
      <w:r>
        <w:t xml:space="preserve">,</w:t>
      </w:r>
      <w:r>
        <w:t xml:space="preserve"> </w:t>
      </w:r>
      <w:r>
        <w:rPr>
          <w:rStyle w:val="VerbatimChar"/>
        </w:rPr>
        <w:t xml:space="preserve">SameSite=Lax</w:t>
      </w:r>
      <w:r>
        <w:t xml:space="preserve"> </w:t>
      </w:r>
      <w:r>
        <w:t xml:space="preserve">e</w:t>
      </w:r>
      <w:r>
        <w:t xml:space="preserve"> </w:t>
      </w:r>
      <w:r>
        <w:rPr>
          <w:rStyle w:val="VerbatimChar"/>
        </w:rPr>
        <w:t xml:space="preserve">HttpOnly</w:t>
      </w:r>
      <w:r>
        <w:t xml:space="preserve"> </w:t>
      </w:r>
      <w:r>
        <w:t xml:space="preserve">quando o respectivo atributo não está presente. Um atributo já declarado é preservado. Essa preparação não cria uma sessão, não emite um cookie por si só e não torna as preferências locais da interface cookies de autenticação.</w:t>
      </w:r>
    </w:p>
    <w:bookmarkEnd w:id="74"/>
    <w:bookmarkStart w:id="75" w:name="content-security-policy-da-aplicação"/>
    <w:p>
      <w:pPr>
        <w:pStyle w:val="Heading2"/>
      </w:pPr>
      <w:bookmarkStart w:id="20040" w:name="docsec_041"/>
      <w:r>
        <w:t xml:space="preserve">Content Security Policy da aplicação</w:t>
      </w:r>
      <w:bookmarkEnd w:id="20040"/>
    </w:p>
    <w:p>
      <w:pPr>
        <w:pStyle w:val="FirstParagraph"/>
      </w:pPr>
      <w:r>
        <w:t xml:space="preserve">A política principal parte de</w:t>
      </w:r>
      <w:r>
        <w:t xml:space="preserve"> </w:t>
      </w:r>
      <w:r>
        <w:rPr>
          <w:rStyle w:val="VerbatimChar"/>
        </w:rPr>
        <w:t xml:space="preserve">default-src 'none'</w:t>
      </w:r>
      <w:r>
        <w:t xml:space="preserve">. As categorias necessárias são liberadas em diretivas específicas. O caminho do jsDelivr está limitado ao repositório VLibras na versão</w:t>
      </w:r>
      <w:r>
        <w:t xml:space="preserve"> </w:t>
      </w:r>
      <w:r>
        <w:rPr>
          <w:rStyle w:val="VerbatimChar"/>
        </w:rPr>
        <w:t xml:space="preserve">v7.12.2</w:t>
      </w:r>
      <w:r>
        <w:t xml:space="preserve">:</w:t>
      </w:r>
      <w:r>
        <w:t xml:space="preserve"> </w:t>
      </w:r>
      <w:r>
        <w:rPr>
          <w:rStyle w:val="VerbatimChar"/>
        </w:rPr>
        <w:t xml:space="preserve">https://cdn.jsdelivr.net/gh/spbgovbr-vlibras/vlibras-portal@v7.12.2/</w:t>
      </w:r>
      <w:r>
        <w:t xml:space="preserve">. A revisão não declara uma permissão geral para o domínio inteiro nem o caminho</w:t>
      </w:r>
      <w:r>
        <w:t xml:space="preserve"> </w:t>
      </w:r>
      <w:r>
        <w:rPr>
          <w:rStyle w:val="VerbatimChar"/>
        </w:rPr>
        <w:t xml:space="preserve">/npm/</w:t>
      </w:r>
      <w:r>
        <w:t xml:space="preserve">.</w:t>
      </w:r>
    </w:p>
    <w:p>
      <w:pPr>
        <w:pStyle w:val="TableCaption"/>
        <w:keepNext/>
      </w:pPr>
      <w:r>
        <w:t xml:space="preserve">Tabela </w:t>
      </w:r>
      <w:r>
        <w:rPr>
          <w:rFonts w:ascii="Open Sans" w:hAnsi="Open Sans"/>
          <w:sz w:val="18"/>
        </w:rPr>
        <w:fldChar w:fldCharType="begin"/>
        <w:instrText xml:space="preserve"> SEQ Tabela </w:instrText>
        <w:fldChar w:fldCharType="separate"/>
        <w:t>24</w:t>
        <w:fldChar w:fldCharType="end"/>
      </w:r>
      <w:r>
        <w:t xml:space="preserve"> — Diretivas da CSP de produção.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Diretiva</w:t>
            </w:r>
          </w:p>
        </w:tc>
        <w:tc>
          <w:tcPr>
            <w:tcW w:type="dxa" w:w="3048"/>
            <w:vAlign w:val="top"/>
            <w:shd w:fill="233B82"/>
          </w:tcPr>
          <w:p>
            <w:pPr>
              <w:pStyle w:val="Compact"/>
              <w:spacing w:before="40" w:after="60" w:line="247" w:lineRule="auto"/>
              <w:jc w:val="left"/>
            </w:pPr>
            <w:r>
              <w:rPr>
                <w:b/>
                <w:color w:val="FFFFFF"/>
                <w:sz w:val="18"/>
              </w:rPr>
              <w:t xml:space="preserve">Fontes ou valor</w:t>
            </w:r>
          </w:p>
        </w:tc>
        <w:tc>
          <w:tcPr>
            <w:tcW w:type="dxa" w:w="4286"/>
            <w:vAlign w:val="top"/>
            <w:shd w:fill="233B82"/>
          </w:tcPr>
          <w:p>
            <w:pPr>
              <w:pStyle w:val="Compact"/>
              <w:spacing w:before="40" w:after="60" w:line="247" w:lineRule="auto"/>
              <w:jc w:val="left"/>
            </w:pPr>
            <w:r>
              <w:rPr>
                <w:b/>
                <w:color w:val="FFFFFF"/>
                <w:sz w:val="18"/>
              </w:rPr>
              <w:t xml:space="preserve">Uso descrito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default-src</w:t>
            </w:r>
          </w:p>
        </w:tc>
        <w:tc>
          <w:tcPr>
            <w:tcW w:type="dxa" w:w="3048"/>
            <w:vAlign w:val="top"/>
            <w:shd w:fill="FFFFFF"/>
          </w:tcPr>
          <w:p>
            <w:pPr>
              <w:pStyle w:val="Compact"/>
              <w:spacing w:before="40" w:after="60" w:line="247" w:lineRule="auto"/>
              <w:jc w:val="left"/>
            </w:pPr>
            <w:r>
              <w:rPr>
                <w:rStyle w:val="VerbatimChar"/>
                <w:sz w:val="17"/>
              </w:rPr>
              <w:t xml:space="preserve">'none'</w:t>
            </w:r>
            <w:r>
              <w:rPr>
                <w:sz w:val="18"/>
              </w:rPr>
              <w:t xml:space="preserve">.</w:t>
            </w:r>
          </w:p>
        </w:tc>
        <w:tc>
          <w:tcPr>
            <w:tcW w:type="dxa" w:w="4286"/>
            <w:vAlign w:val="top"/>
            <w:shd w:fill="FFFFFF"/>
          </w:tcPr>
          <w:p>
            <w:pPr>
              <w:pStyle w:val="Compact"/>
              <w:spacing w:before="40" w:after="60" w:line="247" w:lineRule="auto"/>
              <w:jc w:val="left"/>
            </w:pPr>
            <w:r>
              <w:rPr>
                <w:sz w:val="18"/>
              </w:rPr>
              <w:t xml:space="preserve">Padrão restritivo para categorias sem regra própria.</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script-src</w:t>
            </w:r>
          </w:p>
        </w:tc>
        <w:tc>
          <w:tcPr>
            <w:tcW w:type="dxa" w:w="3048"/>
            <w:vAlign w:val="top"/>
            <w:shd w:fill="F5F8FC"/>
          </w:tcPr>
          <w:p>
            <w:pPr>
              <w:pStyle w:val="Compact"/>
              <w:spacing w:before="40" w:after="60" w:line="247" w:lineRule="auto"/>
              <w:jc w:val="left"/>
            </w:pPr>
            <w:r>
              <w:rPr>
                <w:sz w:val="18"/>
              </w:rPr>
              <w:t xml:space="preserve">Própria origem, um hash SHA-256, domínio oficial e subdomínios VLibras, caminho versionado.</w:t>
            </w:r>
          </w:p>
        </w:tc>
        <w:tc>
          <w:tcPr>
            <w:tcW w:type="dxa" w:w="4286"/>
            <w:vAlign w:val="top"/>
            <w:shd w:fill="F5F8FC"/>
          </w:tcPr>
          <w:p>
            <w:pPr>
              <w:pStyle w:val="Compact"/>
              <w:spacing w:before="40" w:after="60" w:line="247" w:lineRule="auto"/>
              <w:jc w:val="left"/>
            </w:pPr>
            <w:r>
              <w:rPr>
                <w:sz w:val="18"/>
              </w:rPr>
              <w:t xml:space="preserve">Scripts do produto e da integração.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style-src</w:t>
            </w:r>
          </w:p>
        </w:tc>
        <w:tc>
          <w:tcPr>
            <w:tcW w:type="dxa" w:w="3048"/>
            <w:vAlign w:val="top"/>
            <w:shd w:fill="FFFFFF"/>
          </w:tcPr>
          <w:p>
            <w:pPr>
              <w:pStyle w:val="Compact"/>
              <w:spacing w:before="40" w:after="60" w:line="247" w:lineRule="auto"/>
              <w:jc w:val="left"/>
            </w:pPr>
            <w:r>
              <w:rPr>
                <w:sz w:val="18"/>
              </w:rPr>
              <w:t xml:space="preserve">Própria origem, sete hashes SHA-256, Google Fonts, VLibras e caminho versionado.</w:t>
            </w:r>
          </w:p>
        </w:tc>
        <w:tc>
          <w:tcPr>
            <w:tcW w:type="dxa" w:w="4286"/>
            <w:vAlign w:val="top"/>
            <w:shd w:fill="FFFFFF"/>
          </w:tcPr>
          <w:p>
            <w:pPr>
              <w:pStyle w:val="Compact"/>
              <w:spacing w:before="40" w:after="60" w:line="247" w:lineRule="auto"/>
              <w:jc w:val="left"/>
            </w:pPr>
            <w:r>
              <w:rPr>
                <w:sz w:val="18"/>
              </w:rPr>
              <w:t xml:space="preserve">Folhas e blocos de estilo autorizados.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style-src-attr</w:t>
            </w:r>
          </w:p>
        </w:tc>
        <w:tc>
          <w:tcPr>
            <w:tcW w:type="dxa" w:w="3048"/>
            <w:vAlign w:val="top"/>
            <w:shd w:fill="F5F8FC"/>
          </w:tcPr>
          <w:p>
            <w:pPr>
              <w:pStyle w:val="Compact"/>
              <w:spacing w:before="40" w:after="60" w:line="247" w:lineRule="auto"/>
              <w:jc w:val="left"/>
            </w:pPr>
            <w:r>
              <w:rPr>
                <w:rStyle w:val="VerbatimChar"/>
                <w:sz w:val="17"/>
              </w:rPr>
              <w:t xml:space="preserve">'unsafe-inline'</w:t>
            </w:r>
            <w:r>
              <w:rPr>
                <w:sz w:val="18"/>
              </w:rPr>
              <w:t xml:space="preserve">.</w:t>
            </w:r>
          </w:p>
        </w:tc>
        <w:tc>
          <w:tcPr>
            <w:tcW w:type="dxa" w:w="4286"/>
            <w:vAlign w:val="top"/>
            <w:shd w:fill="F5F8FC"/>
          </w:tcPr>
          <w:p>
            <w:pPr>
              <w:pStyle w:val="Compact"/>
              <w:spacing w:before="40" w:after="60" w:line="247" w:lineRule="auto"/>
              <w:jc w:val="left"/>
            </w:pPr>
            <w:r>
              <w:rPr>
                <w:sz w:val="18"/>
              </w:rPr>
              <w:t xml:space="preserve">Atributos de estilo utilizados pela composição visual e integração.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font-src</w:t>
            </w:r>
          </w:p>
        </w:tc>
        <w:tc>
          <w:tcPr>
            <w:tcW w:type="dxa" w:w="3048"/>
            <w:vAlign w:val="top"/>
            <w:shd w:fill="FFFFFF"/>
          </w:tcPr>
          <w:p>
            <w:pPr>
              <w:pStyle w:val="Compact"/>
              <w:spacing w:before="40" w:after="60" w:line="247" w:lineRule="auto"/>
              <w:jc w:val="left"/>
            </w:pPr>
            <w:r>
              <w:rPr>
                <w:sz w:val="18"/>
              </w:rPr>
              <w:t xml:space="preserve">Própria origem,</w:t>
            </w:r>
            <w:r>
              <w:rPr>
                <w:sz w:val="18"/>
              </w:rPr>
              <w:t xml:space="preserve"> </w:t>
            </w:r>
            <w:r>
              <w:rPr>
                <w:rStyle w:val="VerbatimChar"/>
                <w:sz w:val="17"/>
              </w:rPr>
              <w:t xml:space="preserve">fonts.gstatic.com</w:t>
            </w:r>
            <w:r>
              <w:rPr>
                <w:sz w:val="18"/>
              </w:rPr>
              <w:t xml:space="preserve">, VLibras e caminho versionado.</w:t>
            </w:r>
          </w:p>
        </w:tc>
        <w:tc>
          <w:tcPr>
            <w:tcW w:type="dxa" w:w="4286"/>
            <w:vAlign w:val="top"/>
            <w:shd w:fill="FFFFFF"/>
          </w:tcPr>
          <w:p>
            <w:pPr>
              <w:pStyle w:val="Compact"/>
              <w:spacing w:before="40" w:after="60" w:line="247" w:lineRule="auto"/>
              <w:jc w:val="left"/>
            </w:pPr>
            <w:r>
              <w:rPr>
                <w:sz w:val="18"/>
              </w:rPr>
              <w:t xml:space="preserve">Arquivos de fonte.</w:t>
            </w:r>
          </w:p>
        </w:tc>
      </w:tr>
      <w:tr>
        <w:trPr>
          <w:cantSplit/>
        </w:trPr>
        <w:tc>
          <w:tcPr>
            <w:tcW w:type="dxa" w:w="2191"/>
            <w:vAlign w:val="top"/>
            <w:shd w:fill="F5F8FC"/>
          </w:tcPr>
          <w:p>
            <w:pPr>
              <w:pStyle w:val="Compact"/>
              <w:spacing w:before="40" w:after="60" w:line="247" w:lineRule="auto"/>
              <w:jc w:val="left"/>
            </w:pPr>
            <w:r>
              <w:rPr>
                <w:rStyle w:val="VerbatimChar"/>
                <w:sz w:val="17"/>
              </w:rPr>
              <w:t xml:space="preserve">img-src</w:t>
            </w:r>
          </w:p>
        </w:tc>
        <w:tc>
          <w:tcPr>
            <w:tcW w:type="dxa" w:w="3048"/>
            <w:vAlign w:val="top"/>
            <w:shd w:fill="F5F8FC"/>
          </w:tcPr>
          <w:p>
            <w:pPr>
              <w:pStyle w:val="Compact"/>
              <w:spacing w:before="40" w:after="60" w:line="247" w:lineRule="auto"/>
              <w:jc w:val="left"/>
            </w:pPr>
            <w:r>
              <w:rPr>
                <w:sz w:val="18"/>
              </w:rPr>
              <w:t xml:space="preserve">Própria origem,</w:t>
            </w:r>
            <w:r>
              <w:rPr>
                <w:sz w:val="18"/>
              </w:rPr>
              <w:t xml:space="preserve"> </w:t>
            </w:r>
            <w:r>
              <w:rPr>
                <w:rStyle w:val="VerbatimChar"/>
                <w:sz w:val="17"/>
              </w:rPr>
              <w:t xml:space="preserve">blob:</w:t>
            </w:r>
            <w:r>
              <w:rPr>
                <w:sz w:val="18"/>
              </w:rPr>
              <w:t xml:space="preserve">,</w:t>
            </w:r>
            <w:r>
              <w:rPr>
                <w:sz w:val="18"/>
              </w:rPr>
              <w:t xml:space="preserve"> </w:t>
            </w:r>
            <w:r>
              <w:rPr>
                <w:rStyle w:val="VerbatimChar"/>
                <w:sz w:val="17"/>
              </w:rPr>
              <w:t xml:space="preserve">data:</w:t>
            </w:r>
            <w:r>
              <w:rPr>
                <w:sz w:val="18"/>
              </w:rPr>
              <w:t xml:space="preserve"> </w:t>
            </w:r>
            <w:r>
              <w:rPr>
                <w:sz w:val="18"/>
              </w:rPr>
              <w:t xml:space="preserve">e origens externas explícitas.</w:t>
            </w:r>
          </w:p>
        </w:tc>
        <w:tc>
          <w:tcPr>
            <w:tcW w:type="dxa" w:w="4286"/>
            <w:vAlign w:val="top"/>
            <w:shd w:fill="F5F8FC"/>
          </w:tcPr>
          <w:p>
            <w:pPr>
              <w:pStyle w:val="Compact"/>
              <w:spacing w:before="40" w:after="60" w:line="247" w:lineRule="auto"/>
              <w:jc w:val="left"/>
            </w:pPr>
            <w:r>
              <w:rPr>
                <w:sz w:val="18"/>
              </w:rPr>
              <w:t xml:space="preserve">Imagens do produto, parceiros e integração.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connect-src</w:t>
            </w:r>
          </w:p>
        </w:tc>
        <w:tc>
          <w:tcPr>
            <w:tcW w:type="dxa" w:w="3048"/>
            <w:vAlign w:val="top"/>
            <w:shd w:fill="FFFFFF"/>
          </w:tcPr>
          <w:p>
            <w:pPr>
              <w:pStyle w:val="Compact"/>
              <w:spacing w:before="40" w:after="60" w:line="247" w:lineRule="auto"/>
              <w:jc w:val="left"/>
            </w:pPr>
            <w:r>
              <w:rPr>
                <w:sz w:val="18"/>
              </w:rPr>
              <w:t xml:space="preserve">Própria origem, APIs Google, Firebase, VLibras e caminho versionado.</w:t>
            </w:r>
          </w:p>
        </w:tc>
        <w:tc>
          <w:tcPr>
            <w:tcW w:type="dxa" w:w="4286"/>
            <w:vAlign w:val="top"/>
            <w:shd w:fill="FFFFFF"/>
          </w:tcPr>
          <w:p>
            <w:pPr>
              <w:pStyle w:val="Compact"/>
              <w:spacing w:before="40" w:after="60" w:line="247" w:lineRule="auto"/>
              <w:jc w:val="left"/>
            </w:pPr>
            <w:r>
              <w:rPr>
                <w:sz w:val="18"/>
              </w:rPr>
              <w:t xml:space="preserve">Conexões de rede permitidas ao navegador.</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frame-src</w:t>
            </w:r>
          </w:p>
        </w:tc>
        <w:tc>
          <w:tcPr>
            <w:tcW w:type="dxa" w:w="3048"/>
            <w:vAlign w:val="top"/>
            <w:shd w:fill="F5F8FC"/>
          </w:tcPr>
          <w:p>
            <w:pPr>
              <w:pStyle w:val="Compact"/>
              <w:spacing w:before="40" w:after="60" w:line="247" w:lineRule="auto"/>
              <w:jc w:val="left"/>
            </w:pPr>
            <w:r>
              <w:rPr>
                <w:sz w:val="18"/>
              </w:rPr>
              <w:t xml:space="preserve">Própria origem, VLibras e caminho versionado.</w:t>
            </w:r>
          </w:p>
        </w:tc>
        <w:tc>
          <w:tcPr>
            <w:tcW w:type="dxa" w:w="4286"/>
            <w:vAlign w:val="top"/>
            <w:shd w:fill="F5F8FC"/>
          </w:tcPr>
          <w:p>
            <w:pPr>
              <w:pStyle w:val="Compact"/>
              <w:spacing w:before="40" w:after="60" w:line="247" w:lineRule="auto"/>
              <w:jc w:val="left"/>
            </w:pPr>
            <w:r>
              <w:rPr>
                <w:sz w:val="18"/>
              </w:rPr>
              <w:t xml:space="preserve">Documentos incorporados.</w:t>
            </w:r>
          </w:p>
        </w:tc>
      </w:tr>
      <w:tr>
        <w:trPr>
          <w:cantSplit/>
        </w:trPr>
        <w:tc>
          <w:tcPr>
            <w:tcW w:type="dxa" w:w="2191"/>
            <w:vAlign w:val="top"/>
            <w:shd w:fill="FFFFFF"/>
          </w:tcPr>
          <w:p>
            <w:pPr>
              <w:pStyle w:val="Compact"/>
              <w:spacing w:before="40" w:after="60" w:line="247" w:lineRule="auto"/>
              <w:jc w:val="left"/>
            </w:pPr>
            <w:r>
              <w:rPr>
                <w:rStyle w:val="VerbatimChar"/>
                <w:sz w:val="17"/>
              </w:rPr>
              <w:t xml:space="preserve">worker-src</w:t>
            </w:r>
          </w:p>
        </w:tc>
        <w:tc>
          <w:tcPr>
            <w:tcW w:type="dxa" w:w="3048"/>
            <w:vAlign w:val="top"/>
            <w:shd w:fill="FFFFFF"/>
          </w:tcPr>
          <w:p>
            <w:pPr>
              <w:pStyle w:val="Compact"/>
              <w:spacing w:before="40" w:after="60" w:line="247" w:lineRule="auto"/>
              <w:jc w:val="left"/>
            </w:pPr>
            <w:r>
              <w:rPr>
                <w:sz w:val="18"/>
              </w:rPr>
              <w:t xml:space="preserve">Própria origem,</w:t>
            </w:r>
            <w:r>
              <w:rPr>
                <w:sz w:val="18"/>
              </w:rPr>
              <w:t xml:space="preserve"> </w:t>
            </w:r>
            <w:r>
              <w:rPr>
                <w:rStyle w:val="VerbatimChar"/>
                <w:sz w:val="17"/>
              </w:rPr>
              <w:t xml:space="preserve">blob:</w:t>
            </w:r>
            <w:r>
              <w:rPr>
                <w:sz w:val="18"/>
              </w:rPr>
              <w:t xml:space="preserve">, VLibras e caminho versionado.</w:t>
            </w:r>
          </w:p>
        </w:tc>
        <w:tc>
          <w:tcPr>
            <w:tcW w:type="dxa" w:w="4286"/>
            <w:vAlign w:val="top"/>
            <w:shd w:fill="FFFFFF"/>
          </w:tcPr>
          <w:p>
            <w:pPr>
              <w:pStyle w:val="Compact"/>
              <w:spacing w:before="40" w:after="60" w:line="247" w:lineRule="auto"/>
              <w:jc w:val="left"/>
            </w:pPr>
            <w:r>
              <w:rPr>
                <w:sz w:val="18"/>
              </w:rPr>
              <w:t xml:space="preserve">Workers necessários às integrações.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object-src</w:t>
            </w:r>
          </w:p>
        </w:tc>
        <w:tc>
          <w:tcPr>
            <w:tcW w:type="dxa" w:w="3048"/>
            <w:vAlign w:val="top"/>
            <w:shd w:fill="F5F8FC"/>
          </w:tcPr>
          <w:p>
            <w:pPr>
              <w:pStyle w:val="Compact"/>
              <w:spacing w:before="40" w:after="60" w:line="247" w:lineRule="auto"/>
              <w:jc w:val="left"/>
            </w:pPr>
            <w:r>
              <w:rPr>
                <w:rStyle w:val="VerbatimChar"/>
                <w:sz w:val="17"/>
              </w:rPr>
              <w:t xml:space="preserve">'none'</w:t>
            </w:r>
            <w:r>
              <w:rPr>
                <w:sz w:val="18"/>
              </w:rPr>
              <w:t xml:space="preserve">.</w:t>
            </w:r>
          </w:p>
        </w:tc>
        <w:tc>
          <w:tcPr>
            <w:tcW w:type="dxa" w:w="4286"/>
            <w:vAlign w:val="top"/>
            <w:shd w:fill="F5F8FC"/>
          </w:tcPr>
          <w:p>
            <w:pPr>
              <w:pStyle w:val="Compact"/>
              <w:spacing w:before="40" w:after="60" w:line="247" w:lineRule="auto"/>
              <w:jc w:val="left"/>
            </w:pPr>
            <w:r>
              <w:rPr>
                <w:sz w:val="18"/>
              </w:rPr>
              <w:t xml:space="preserve">Bloqueio de objetos incorporados dessa categoria.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base-uri</w:t>
            </w:r>
          </w:p>
        </w:tc>
        <w:tc>
          <w:tcPr>
            <w:tcW w:type="dxa" w:w="3048"/>
            <w:vAlign w:val="top"/>
            <w:shd w:fill="FFFFFF"/>
          </w:tcPr>
          <w:p>
            <w:pPr>
              <w:pStyle w:val="Compact"/>
              <w:spacing w:before="40" w:after="60" w:line="247" w:lineRule="auto"/>
              <w:jc w:val="left"/>
            </w:pPr>
            <w:r>
              <w:rPr>
                <w:rStyle w:val="VerbatimChar"/>
                <w:sz w:val="17"/>
              </w:rPr>
              <w:t xml:space="preserve">'self'</w:t>
            </w:r>
            <w:r>
              <w:rPr>
                <w:sz w:val="18"/>
              </w:rPr>
              <w:t xml:space="preserve">.</w:t>
            </w:r>
          </w:p>
        </w:tc>
        <w:tc>
          <w:tcPr>
            <w:tcW w:type="dxa" w:w="4286"/>
            <w:vAlign w:val="top"/>
            <w:shd w:fill="FFFFFF"/>
          </w:tcPr>
          <w:p>
            <w:pPr>
              <w:pStyle w:val="Compact"/>
              <w:spacing w:before="40" w:after="60" w:line="247" w:lineRule="auto"/>
              <w:jc w:val="left"/>
            </w:pPr>
            <w:r>
              <w:rPr>
                <w:sz w:val="18"/>
              </w:rPr>
              <w:t xml:space="preserve">Restrição do endereço-base na aplicação principal.</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form-action</w:t>
            </w:r>
          </w:p>
        </w:tc>
        <w:tc>
          <w:tcPr>
            <w:tcW w:type="dxa" w:w="3048"/>
            <w:vAlign w:val="top"/>
            <w:shd w:fill="F5F8FC"/>
          </w:tcPr>
          <w:p>
            <w:pPr>
              <w:pStyle w:val="Compact"/>
              <w:spacing w:before="40" w:after="60" w:line="247" w:lineRule="auto"/>
              <w:jc w:val="left"/>
            </w:pPr>
            <w:r>
              <w:rPr>
                <w:rStyle w:val="VerbatimChar"/>
                <w:sz w:val="17"/>
              </w:rPr>
              <w:t xml:space="preserve">'self'</w:t>
            </w:r>
            <w:r>
              <w:rPr>
                <w:sz w:val="18"/>
              </w:rPr>
              <w:t xml:space="preserve">.</w:t>
            </w:r>
          </w:p>
        </w:tc>
        <w:tc>
          <w:tcPr>
            <w:tcW w:type="dxa" w:w="4286"/>
            <w:vAlign w:val="top"/>
            <w:shd w:fill="F5F8FC"/>
          </w:tcPr>
          <w:p>
            <w:pPr>
              <w:pStyle w:val="Compact"/>
              <w:spacing w:before="40" w:after="60" w:line="247" w:lineRule="auto"/>
              <w:jc w:val="left"/>
            </w:pPr>
            <w:r>
              <w:rPr>
                <w:sz w:val="18"/>
              </w:rPr>
              <w:t xml:space="preserve">Destinos de envio de formulários HTML.</w:t>
            </w:r>
          </w:p>
        </w:tc>
      </w:tr>
      <w:tr>
        <w:trPr>
          <w:cantSplit/>
        </w:trPr>
        <w:tc>
          <w:tcPr>
            <w:tcW w:type="dxa" w:w="2191"/>
            <w:vAlign w:val="top"/>
            <w:shd w:fill="FFFFFF"/>
          </w:tcPr>
          <w:p>
            <w:pPr>
              <w:pStyle w:val="Compact"/>
              <w:spacing w:before="40" w:after="60" w:line="247" w:lineRule="auto"/>
              <w:jc w:val="left"/>
            </w:pPr>
            <w:r>
              <w:rPr>
                <w:rStyle w:val="VerbatimChar"/>
                <w:sz w:val="17"/>
              </w:rPr>
              <w:t xml:space="preserve">upgrade-insecure-requests</w:t>
            </w:r>
          </w:p>
        </w:tc>
        <w:tc>
          <w:tcPr>
            <w:tcW w:type="dxa" w:w="3048"/>
            <w:vAlign w:val="top"/>
            <w:shd w:fill="FFFFFF"/>
          </w:tcPr>
          <w:p>
            <w:pPr>
              <w:pStyle w:val="Compact"/>
              <w:spacing w:before="40" w:after="60" w:line="247" w:lineRule="auto"/>
              <w:jc w:val="left"/>
            </w:pPr>
            <w:r>
              <w:rPr>
                <w:sz w:val="18"/>
              </w:rPr>
              <w:t xml:space="preserve">Diretiva sem lista de fontes.</w:t>
            </w:r>
          </w:p>
        </w:tc>
        <w:tc>
          <w:tcPr>
            <w:tcW w:type="dxa" w:w="4286"/>
            <w:vAlign w:val="top"/>
            <w:shd w:fill="FFFFFF"/>
          </w:tcPr>
          <w:p>
            <w:pPr>
              <w:pStyle w:val="Compact"/>
              <w:spacing w:before="40" w:after="60" w:line="247" w:lineRule="auto"/>
              <w:jc w:val="left"/>
            </w:pPr>
            <w:r>
              <w:rPr>
                <w:sz w:val="18"/>
              </w:rPr>
              <w:t xml:space="preserve">Solicita atualização de requisições inseguras.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frame-ancestors</w:t>
            </w:r>
          </w:p>
        </w:tc>
        <w:tc>
          <w:tcPr>
            <w:tcW w:type="dxa" w:w="3048"/>
            <w:vAlign w:val="top"/>
            <w:shd w:fill="F5F8FC"/>
          </w:tcPr>
          <w:p>
            <w:pPr>
              <w:pStyle w:val="Compact"/>
              <w:spacing w:before="40" w:after="60" w:line="247" w:lineRule="auto"/>
              <w:jc w:val="left"/>
            </w:pPr>
            <w:r>
              <w:rPr>
                <w:sz w:val="18"/>
              </w:rPr>
              <w:t xml:space="preserve">Própria origem, AI Studio e origens Google explicitadas.</w:t>
            </w:r>
          </w:p>
        </w:tc>
        <w:tc>
          <w:tcPr>
            <w:tcW w:type="dxa" w:w="4286"/>
            <w:vAlign w:val="top"/>
            <w:shd w:fill="F5F8FC"/>
          </w:tcPr>
          <w:p>
            <w:pPr>
              <w:pStyle w:val="Compact"/>
              <w:spacing w:before="40" w:after="60" w:line="247" w:lineRule="auto"/>
              <w:jc w:val="left"/>
            </w:pPr>
            <w:r>
              <w:rPr>
                <w:sz w:val="18"/>
              </w:rPr>
              <w:t xml:space="preserve">Define quais páginas podem incorporar a aplicação.</w:t>
            </w:r>
          </w:p>
        </w:tc>
      </w:tr>
    </w:tbl>
    <w:p>
      <w:pPr>
        <w:pStyle w:val="BodyText"/>
      </w:pPr>
      <w:r>
        <w:t xml:space="preserve">As origens adicionais de imagens são</w:t>
      </w:r>
      <w:r>
        <w:t xml:space="preserve"> </w:t>
      </w:r>
      <w:r>
        <w:rPr>
          <w:rStyle w:val="VerbatimChar"/>
        </w:rPr>
        <w:t xml:space="preserve">images.unsplash.com</w:t>
      </w:r>
      <w:r>
        <w:t xml:space="preserve">,</w:t>
      </w:r>
      <w:r>
        <w:t xml:space="preserve"> </w:t>
      </w:r>
      <w:r>
        <w:rPr>
          <w:rStyle w:val="VerbatimChar"/>
        </w:rPr>
        <w:t xml:space="preserve">firebasestorage.googleapis.com</w:t>
      </w:r>
      <w:r>
        <w:t xml:space="preserve">,</w:t>
      </w:r>
      <w:r>
        <w:t xml:space="preserve"> </w:t>
      </w:r>
      <w:r>
        <w:rPr>
          <w:rStyle w:val="VerbatimChar"/>
        </w:rPr>
        <w:t xml:space="preserve">crasp-frontend.vercel.app</w:t>
      </w:r>
      <w:r>
        <w:t xml:space="preserve">,</w:t>
      </w:r>
      <w:r>
        <w:t xml:space="preserve"> </w:t>
      </w:r>
      <w:r>
        <w:rPr>
          <w:rStyle w:val="VerbatimChar"/>
        </w:rPr>
        <w:t xml:space="preserve">hackathonenangrad.espm.edu.br</w:t>
      </w:r>
      <w:r>
        <w:t xml:space="preserve">,</w:t>
      </w:r>
      <w:r>
        <w:t xml:space="preserve"> </w:t>
      </w:r>
      <w:r>
        <w:rPr>
          <w:rStyle w:val="VerbatimChar"/>
        </w:rPr>
        <w:t xml:space="preserve">www.ethos.org.br</w:t>
      </w:r>
      <w:r>
        <w:t xml:space="preserve"> </w:t>
      </w:r>
      <w:r>
        <w:t xml:space="preserve">e</w:t>
      </w:r>
      <w:r>
        <w:t xml:space="preserve"> </w:t>
      </w:r>
      <w:r>
        <w:rPr>
          <w:rStyle w:val="VerbatimChar"/>
        </w:rPr>
        <w:t xml:space="preserve">ju.se</w:t>
      </w:r>
      <w:r>
        <w:t xml:space="preserve">. Sua presença é uma autorização de carregamento, não uma comprovação de requisição efetiva em cada visita. Os ancestrais permitidos são</w:t>
      </w:r>
      <w:r>
        <w:t xml:space="preserve"> </w:t>
      </w:r>
      <w:r>
        <w:rPr>
          <w:rStyle w:val="VerbatimChar"/>
        </w:rPr>
        <w:t xml:space="preserve">https://aistudio.google.com</w:t>
      </w:r>
      <w:r>
        <w:t xml:space="preserve">,</w:t>
      </w:r>
      <w:r>
        <w:t xml:space="preserve"> </w:t>
      </w:r>
      <w:r>
        <w:rPr>
          <w:rStyle w:val="VerbatimChar"/>
        </w:rPr>
        <w:t xml:space="preserve">https://*.google.com</w:t>
      </w:r>
      <w:r>
        <w:t xml:space="preserve">,</w:t>
      </w:r>
      <w:r>
        <w:t xml:space="preserve"> </w:t>
      </w:r>
      <w:r>
        <w:rPr>
          <w:rStyle w:val="VerbatimChar"/>
        </w:rPr>
        <w:t xml:space="preserve">https://*.run.app</w:t>
      </w:r>
      <w:r>
        <w:t xml:space="preserve"> </w:t>
      </w:r>
      <w:r>
        <w:t xml:space="preserve">e</w:t>
      </w:r>
      <w:r>
        <w:t xml:space="preserve"> </w:t>
      </w:r>
      <w:r>
        <w:rPr>
          <w:rStyle w:val="VerbatimChar"/>
        </w:rPr>
        <w:t xml:space="preserve">https://ai.studio</w:t>
      </w:r>
      <w:r>
        <w:t xml:space="preserve">, além de</w:t>
      </w:r>
      <w:r>
        <w:t xml:space="preserve"> </w:t>
      </w:r>
      <w:r>
        <w:rPr>
          <w:rStyle w:val="VerbatimChar"/>
        </w:rPr>
        <w:t xml:space="preserve">'self'</w:t>
      </w:r>
      <w:r>
        <w:t xml:space="preserve">.</w:t>
      </w:r>
    </w:p>
    <w:p>
      <w:pPr>
        <w:pStyle w:val="BodyText"/>
      </w:pPr>
      <w:r>
        <w:t xml:space="preserve">A CSP principal de produção não contém</w:t>
      </w:r>
      <w:r>
        <w:t xml:space="preserve"> </w:t>
      </w:r>
      <w:r>
        <w:rPr>
          <w:rStyle w:val="VerbatimChar"/>
        </w:rPr>
        <w:t xml:space="preserve">'unsafe-inline'</w:t>
      </w:r>
      <w:r>
        <w:t xml:space="preserve"> </w:t>
      </w:r>
      <w:r>
        <w:t xml:space="preserve">nem</w:t>
      </w:r>
      <w:r>
        <w:t xml:space="preserve"> </w:t>
      </w:r>
      <w:r>
        <w:rPr>
          <w:rStyle w:val="VerbatimChar"/>
        </w:rPr>
        <w:t xml:space="preserve">'unsafe-eval'</w:t>
      </w:r>
      <w:r>
        <w:t xml:space="preserve"> </w:t>
      </w:r>
      <w:r>
        <w:t xml:space="preserve">em</w:t>
      </w:r>
      <w:r>
        <w:t xml:space="preserve"> </w:t>
      </w:r>
      <w:r>
        <w:rPr>
          <w:rStyle w:val="VerbatimChar"/>
        </w:rPr>
        <w:t xml:space="preserve">script-src</w:t>
      </w:r>
      <w:r>
        <w:t xml:space="preserve">. A autorização de atributos de estilo é separada de scripts. Os hashes SHA-256 da CSP e os hashes SHA-384 de SRI têm objetos distintos: os primeiros autorizam conteúdo específico no contexto da política; os segundos conferem integridade dos recursos que possuem atributo</w:t>
      </w:r>
      <w:r>
        <w:t xml:space="preserve"> </w:t>
      </w:r>
      <w:r>
        <w:rPr>
          <w:rStyle w:val="VerbatimChar"/>
        </w:rPr>
        <w:t xml:space="preserve">integrity</w:t>
      </w:r>
      <w:r>
        <w:t xml:space="preserve">.</w:t>
      </w:r>
    </w:p>
    <w:p>
      <w:pPr>
        <w:pStyle w:val="BodyText"/>
      </w:pPr>
      <w:r>
        <w:rPr>
          <w:rStyle w:val="VerbatimChar"/>
        </w:rPr>
        <w:t xml:space="preserve">getActiveCsp</w:t>
      </w:r>
      <w:r>
        <w:t xml:space="preserve"> </w:t>
      </w:r>
      <w:r>
        <w:t xml:space="preserve">escolhe a política de produção apenas quando</w:t>
      </w:r>
      <w:r>
        <w:t xml:space="preserve"> </w:t>
      </w:r>
      <w:r>
        <w:rPr>
          <w:rStyle w:val="VerbatimChar"/>
        </w:rPr>
        <w:t xml:space="preserve">NODE_ENV</w:t>
      </w:r>
      <w:r>
        <w:t xml:space="preserve"> </w:t>
      </w:r>
      <w:r>
        <w:t xml:space="preserve">é exatamente</w:t>
      </w:r>
      <w:r>
        <w:t xml:space="preserve"> </w:t>
      </w:r>
      <w:r>
        <w:rPr>
          <w:rStyle w:val="VerbatimChar"/>
        </w:rPr>
        <w:t xml:space="preserve">production</w:t>
      </w:r>
      <w:r>
        <w:t xml:space="preserve">. A política de desenvolvimento permite</w:t>
      </w:r>
      <w:r>
        <w:t xml:space="preserve"> </w:t>
      </w:r>
      <w:r>
        <w:rPr>
          <w:rStyle w:val="VerbatimChar"/>
        </w:rPr>
        <w:t xml:space="preserve">'unsafe-inline'</w:t>
      </w:r>
      <w:r>
        <w:t xml:space="preserve"> </w:t>
      </w:r>
      <w:r>
        <w:t xml:space="preserve">e</w:t>
      </w:r>
      <w:r>
        <w:t xml:space="preserve"> </w:t>
      </w:r>
      <w:r>
        <w:rPr>
          <w:rStyle w:val="VerbatimChar"/>
        </w:rPr>
        <w:t xml:space="preserve">'unsafe-eval'</w:t>
      </w:r>
      <w:r>
        <w:t xml:space="preserve"> </w:t>
      </w:r>
      <w:r>
        <w:t xml:space="preserve">em scripts e amplia estilos e conexões, incluindo</w:t>
      </w:r>
      <w:r>
        <w:t xml:space="preserve"> </w:t>
      </w:r>
      <w:r>
        <w:rPr>
          <w:rStyle w:val="VerbatimChar"/>
        </w:rPr>
        <w:t xml:space="preserve">ws:</w:t>
      </w:r>
      <w:r>
        <w:t xml:space="preserve">,</w:t>
      </w:r>
      <w:r>
        <w:t xml:space="preserve"> </w:t>
      </w:r>
      <w:r>
        <w:rPr>
          <w:rStyle w:val="VerbatimChar"/>
        </w:rPr>
        <w:t xml:space="preserve">wss:</w:t>
      </w:r>
      <w:r>
        <w:t xml:space="preserve">,</w:t>
      </w:r>
      <w:r>
        <w:t xml:space="preserve"> </w:t>
      </w:r>
      <w:r>
        <w:rPr>
          <w:rStyle w:val="VerbatimChar"/>
        </w:rPr>
        <w:t xml:space="preserve">http:</w:t>
      </w:r>
      <w:r>
        <w:t xml:space="preserve"> </w:t>
      </w:r>
      <w:r>
        <w:t xml:space="preserve">e</w:t>
      </w:r>
      <w:r>
        <w:t xml:space="preserve"> </w:t>
      </w:r>
      <w:r>
        <w:rPr>
          <w:rStyle w:val="VerbatimChar"/>
        </w:rPr>
        <w:t xml:space="preserve">https:</w:t>
      </w:r>
      <w:r>
        <w:t xml:space="preserve"> </w:t>
      </w:r>
      <w:r>
        <w:t xml:space="preserve">para o ambiente de desenvolvimento. A hospedagem Firebase declara a política de produção em seu arquivo, sem essa seleção dinâmica.</w:t>
      </w:r>
    </w:p>
    <w:bookmarkEnd w:id="75"/>
    <w:bookmarkStart w:id="76" w:name="X11fcbd8ddb17afc53d95a8f730bd6d559aff7d6"/>
    <w:p>
      <w:pPr>
        <w:pStyle w:val="Heading2"/>
      </w:pPr>
      <w:bookmarkStart w:id="20041" w:name="docsec_042"/>
      <w:r>
        <w:t xml:space="preserve">Ponte do VLibras e escopo da política específica</w:t>
      </w:r>
      <w:bookmarkEnd w:id="20041"/>
    </w:p>
    <w:p>
      <w:pPr>
        <w:pStyle w:val="FirstParagraph"/>
      </w:pPr>
      <w:r>
        <w:rPr>
          <w:rStyle w:val="VerbatimChar"/>
        </w:rPr>
        <w:t xml:space="preserve">GET /api/vlibras-unity</w:t>
      </w:r>
      <w:r>
        <w:t xml:space="preserve"> </w:t>
      </w:r>
      <w:r>
        <w:t xml:space="preserve">devolve um documento HTML próprio. A integração do widget remapeia URLs de iframe que contêm</w:t>
      </w:r>
      <w:r>
        <w:t xml:space="preserve"> </w:t>
      </w:r>
      <w:r>
        <w:rPr>
          <w:rStyle w:val="VerbatimChar"/>
        </w:rPr>
        <w:t xml:space="preserve">/unity/index.html</w:t>
      </w:r>
      <w:r>
        <w:t xml:space="preserve"> </w:t>
      </w:r>
      <w:r>
        <w:t xml:space="preserve">para essa rota da mesma origem. O mapeamento é instalado uma vez e cobre tanto a atribuição de</w:t>
      </w:r>
      <w:r>
        <w:t xml:space="preserve"> </w:t>
      </w:r>
      <w:r>
        <w:rPr>
          <w:rStyle w:val="VerbatimChar"/>
        </w:rPr>
        <w:t xml:space="preserve">src</w:t>
      </w:r>
      <w:r>
        <w:t xml:space="preserve"> </w:t>
      </w:r>
      <w:r>
        <w:t xml:space="preserve">como seu uso por</w:t>
      </w:r>
      <w:r>
        <w:t xml:space="preserve"> </w:t>
      </w:r>
      <w:r>
        <w:rPr>
          <w:rStyle w:val="VerbatimChar"/>
        </w:rPr>
        <w:t xml:space="preserve">setAttribute</w:t>
      </w:r>
      <w:r>
        <w:t xml:space="preserve">.</w:t>
      </w:r>
    </w:p>
    <w:p>
      <w:pPr>
        <w:pStyle w:val="BodyText"/>
      </w:pPr>
      <w:r>
        <w:t xml:space="preserve">O HTML mantém</w:t>
      </w:r>
      <w:r>
        <w:t xml:space="preserve"> </w:t>
      </w:r>
      <w:r>
        <w:rPr>
          <w:rStyle w:val="VerbatimChar"/>
        </w:rPr>
        <w:t xml:space="preserve">base</w:t>
      </w:r>
      <w:r>
        <w:t xml:space="preserve"> </w:t>
      </w:r>
      <w:r>
        <w:t xml:space="preserve">no endereço oficial</w:t>
      </w:r>
      <w:r>
        <w:t xml:space="preserve"> </w:t>
      </w:r>
      <w:r>
        <w:rPr>
          <w:rStyle w:val="VerbatimChar"/>
        </w:rPr>
        <w:t xml:space="preserve">https://vlibras.gov.br/app/unity/</w:t>
      </w:r>
      <w:r>
        <w:t xml:space="preserve">, inclui</w:t>
      </w:r>
      <w:r>
        <w:t xml:space="preserve"> </w:t>
      </w:r>
      <w:r>
        <w:rPr>
          <w:rStyle w:val="VerbatimChar"/>
        </w:rPr>
        <w:t xml:space="preserve">unity-loader.js</w:t>
      </w:r>
      <w:r>
        <w:t xml:space="preserve"> </w:t>
      </w:r>
      <w:r>
        <w:t xml:space="preserve">e</w:t>
      </w:r>
      <w:r>
        <w:t xml:space="preserve"> </w:t>
      </w:r>
      <w:r>
        <w:rPr>
          <w:rStyle w:val="VerbatimChar"/>
        </w:rPr>
        <w:t xml:space="preserve">index.js</w:t>
      </w:r>
      <w:r>
        <w:t xml:space="preserve"> </w:t>
      </w:r>
      <w:r>
        <w:t xml:space="preserve">oficiais e ajusta caminhos relativos recebidos por</w:t>
      </w:r>
      <w:r>
        <w:t xml:space="preserve"> </w:t>
      </w:r>
      <w:r>
        <w:rPr>
          <w:rStyle w:val="VerbatimChar"/>
        </w:rPr>
        <w:t xml:space="preserve">UnityLoader.instantiate</w:t>
      </w:r>
      <w:r>
        <w:t xml:space="preserve"> </w:t>
      </w:r>
      <w:r>
        <w:t xml:space="preserve">para a base oficial. A ponte não decifra contatos, não transmite o conteúdo do formulário e não faz gravações no Firestore. Ela entrega a estrutura de incorporação; os recursos da tradução continuam dependendo do serviço VLibras.</w:t>
      </w:r>
    </w:p>
    <w:p>
      <w:pPr>
        <w:pStyle w:val="BodyText"/>
      </w:pPr>
      <w:r>
        <w:t xml:space="preserve">Sua resposta substitui a CSP principal por</w:t>
      </w:r>
      <w:r>
        <w:t xml:space="preserve"> </w:t>
      </w:r>
      <w:r>
        <w:rPr>
          <w:rStyle w:val="VerbatimChar"/>
        </w:rPr>
        <w:t xml:space="preserve">VLIBRAS_UNITY_CSP</w:t>
      </w:r>
      <w:r>
        <w:t xml:space="preserve">, conservando COEP</w:t>
      </w:r>
      <w:r>
        <w:t xml:space="preserve"> </w:t>
      </w:r>
      <w:r>
        <w:rPr>
          <w:rStyle w:val="VerbatimChar"/>
        </w:rPr>
        <w:t xml:space="preserve">credentialless</w:t>
      </w:r>
      <w:r>
        <w:t xml:space="preserve"> </w:t>
      </w:r>
      <w:r>
        <w:t xml:space="preserve">e CORP</w:t>
      </w:r>
      <w:r>
        <w:t xml:space="preserve"> </w:t>
      </w:r>
      <w:r>
        <w:rPr>
          <w:rStyle w:val="VerbatimChar"/>
        </w:rPr>
        <w:t xml:space="preserve">same-origin</w:t>
      </w:r>
      <w:r>
        <w:t xml:space="preserve">. Nesse documento específico,</w:t>
      </w:r>
      <w:r>
        <w:t xml:space="preserve"> </w:t>
      </w:r>
      <w:r>
        <w:rPr>
          <w:rStyle w:val="VerbatimChar"/>
        </w:rPr>
        <w:t xml:space="preserve">script-src</w:t>
      </w:r>
      <w:r>
        <w:t xml:space="preserve"> </w:t>
      </w:r>
      <w:r>
        <w:t xml:space="preserve">inclui</w:t>
      </w:r>
      <w:r>
        <w:t xml:space="preserve"> </w:t>
      </w:r>
      <w:r>
        <w:rPr>
          <w:rStyle w:val="VerbatimChar"/>
        </w:rPr>
        <w:t xml:space="preserve">'unsafe-inline'</w:t>
      </w:r>
      <w:r>
        <w:t xml:space="preserve">,</w:t>
      </w:r>
      <w:r>
        <w:t xml:space="preserve"> </w:t>
      </w:r>
      <w:r>
        <w:rPr>
          <w:rStyle w:val="VerbatimChar"/>
        </w:rPr>
        <w:t xml:space="preserve">'unsafe-eval'</w:t>
      </w:r>
      <w:r>
        <w:t xml:space="preserve"> </w:t>
      </w:r>
      <w:r>
        <w:t xml:space="preserve">e</w:t>
      </w:r>
      <w:r>
        <w:t xml:space="preserve"> </w:t>
      </w:r>
      <w:r>
        <w:rPr>
          <w:rStyle w:val="VerbatimChar"/>
        </w:rPr>
        <w:t xml:space="preserve">blob:</w:t>
      </w:r>
      <w:r>
        <w:t xml:space="preserve">, e</w:t>
      </w:r>
      <w:r>
        <w:t xml:space="preserve"> </w:t>
      </w:r>
      <w:r>
        <w:rPr>
          <w:rStyle w:val="VerbatimChar"/>
        </w:rPr>
        <w:t xml:space="preserve">style-src</w:t>
      </w:r>
      <w:r>
        <w:t xml:space="preserve"> </w:t>
      </w:r>
      <w:r>
        <w:t xml:space="preserve">permite estilos inline. As origens declaradas continuam limitadas à própria origem, VLibras e caminho versionado, com</w:t>
      </w:r>
      <w:r>
        <w:t xml:space="preserve"> </w:t>
      </w:r>
      <w:r>
        <w:rPr>
          <w:rStyle w:val="VerbatimChar"/>
        </w:rPr>
        <w:t xml:space="preserve">blob:</w:t>
      </w:r>
      <w:r>
        <w:t xml:space="preserve"> </w:t>
      </w:r>
      <w:r>
        <w:t xml:space="preserve">e</w:t>
      </w:r>
      <w:r>
        <w:t xml:space="preserve"> </w:t>
      </w:r>
      <w:r>
        <w:rPr>
          <w:rStyle w:val="VerbatimChar"/>
        </w:rPr>
        <w:t xml:space="preserve">data:</w:t>
      </w:r>
      <w:r>
        <w:t xml:space="preserve"> </w:t>
      </w:r>
      <w:r>
        <w:t xml:space="preserve">nas categorias previstas. As permissões pertencem à resposta da ponte; não devem ser descritas como parte de</w:t>
      </w:r>
      <w:r>
        <w:t xml:space="preserve"> </w:t>
      </w:r>
      <w:r>
        <w:rPr>
          <w:rStyle w:val="VerbatimChar"/>
        </w:rPr>
        <w:t xml:space="preserve">script-src</w:t>
      </w:r>
      <w:r>
        <w:t xml:space="preserve"> </w:t>
      </w:r>
      <w:r>
        <w:t xml:space="preserve">da página principal.</w:t>
      </w:r>
    </w:p>
    <w:p>
      <w:pPr>
        <w:pStyle w:val="BodyText"/>
      </w:pPr>
      <w:r>
        <w:t xml:space="preserve">O componente identifica a integração como versão 7.12.2 e carrega o plugin do endereço oficial. A etiqueta de versão e o caminho fixo do dicionário são configurações do produto. O funcionamento do serviço foi informado pelo responsável; a conferência local da resposta HTML da ponte não equivale a uma execução completa da tradução remota.</w:t>
      </w:r>
    </w:p>
    <w:bookmarkEnd w:id="76"/>
    <w:bookmarkStart w:id="77" w:name="integridade-e-distribuição-dos-recursos"/>
    <w:p>
      <w:pPr>
        <w:pStyle w:val="Heading2"/>
      </w:pPr>
      <w:bookmarkStart w:id="20042" w:name="docsec_043"/>
      <w:r>
        <w:t xml:space="preserve">Integridade e distribuição dos recursos</w:t>
      </w:r>
      <w:bookmarkEnd w:id="20042"/>
    </w:p>
    <w:p>
      <w:pPr>
        <w:pStyle w:val="FirstParagraph"/>
      </w:pPr>
      <w:r>
        <w:t xml:space="preserve">O build executa Vite e, em seguida,</w:t>
      </w:r>
      <w:r>
        <w:t xml:space="preserve"> </w:t>
      </w:r>
      <w:r>
        <w:rPr>
          <w:rStyle w:val="VerbatimChar"/>
        </w:rPr>
        <w:t xml:space="preserve">scripts/inject-sri.ts</w:t>
      </w:r>
      <w:r>
        <w:t xml:space="preserve">. O script lê</w:t>
      </w:r>
      <w:r>
        <w:t xml:space="preserve"> </w:t>
      </w:r>
      <w:r>
        <w:rPr>
          <w:rStyle w:val="VerbatimChar"/>
        </w:rPr>
        <w:t xml:space="preserve">dist/index.html</w:t>
      </w:r>
      <w:r>
        <w:t xml:space="preserve">, encontra scripts e links com caminhos</w:t>
      </w:r>
      <w:r>
        <w:t xml:space="preserve"> </w:t>
      </w:r>
      <w:r>
        <w:rPr>
          <w:rStyle w:val="VerbatimChar"/>
        </w:rPr>
        <w:t xml:space="preserve">/assets/</w:t>
      </w:r>
      <w:r>
        <w:t xml:space="preserve">, calcula SHA-384 dos respectivos arquivos e acrescenta ou atualiza</w:t>
      </w:r>
      <w:r>
        <w:t xml:space="preserve"> </w:t>
      </w:r>
      <w:r>
        <w:rPr>
          <w:rStyle w:val="VerbatimChar"/>
        </w:rPr>
        <w:t xml:space="preserve">integrity</w:t>
      </w:r>
      <w:r>
        <w:t xml:space="preserve">. O valor possui o formato</w:t>
      </w:r>
      <w:r>
        <w:t xml:space="preserve"> </w:t>
      </w:r>
      <w:r>
        <w:rPr>
          <w:rStyle w:val="VerbatimChar"/>
        </w:rPr>
        <w:t xml:space="preserve">sha384-</w:t>
      </w:r>
      <w:r>
        <w:t xml:space="preserve"> </w:t>
      </w:r>
      <w:r>
        <w:t xml:space="preserve">seguido do digest em Base64. A leitura usa os arquivos efetivamente presentes em</w:t>
      </w:r>
      <w:r>
        <w:t xml:space="preserve"> </w:t>
      </w:r>
      <w:r>
        <w:rPr>
          <w:rStyle w:val="VerbatimChar"/>
        </w:rPr>
        <w:t xml:space="preserve">dist</w:t>
      </w:r>
      <w:r>
        <w:t xml:space="preserve">, após a compilação.</w:t>
      </w:r>
    </w:p>
    <w:p>
      <w:pPr>
        <w:pStyle w:val="BodyText"/>
      </w:pPr>
      <w:r>
        <w:t xml:space="preserve">Quando um recurso referenciado não é encontrado, o script lança erro. Se</w:t>
      </w:r>
      <w:r>
        <w:t xml:space="preserve"> </w:t>
      </w:r>
      <w:r>
        <w:rPr>
          <w:rStyle w:val="VerbatimChar"/>
        </w:rPr>
        <w:t xml:space="preserve">dist/index.html</w:t>
      </w:r>
      <w:r>
        <w:t xml:space="preserve"> </w:t>
      </w:r>
      <w:r>
        <w:t xml:space="preserve">não existir, registra o aviso e o executável encerra com código de falha. Os padrões processam as tags referenciadas naquele HTML; não constituem um manifesto de integridade de todo arquivo público nem atribuem SRI automaticamente a todos os chunks carregados posteriormente.</w:t>
      </w:r>
    </w:p>
    <w:p>
      <w:pPr>
        <w:pStyle w:val="BodyText"/>
      </w:pPr>
      <w:r>
        <w:t xml:space="preserve">O plugin VLibras recebe um SRI próprio em</w:t>
      </w:r>
      <w:r>
        <w:t xml:space="preserve"> </w:t>
      </w:r>
      <w:r>
        <w:rPr>
          <w:rStyle w:val="VerbatimChar"/>
        </w:rPr>
        <w:t xml:space="preserve">VLibrasWidget.tsx</w:t>
      </w:r>
      <w:r>
        <w:t xml:space="preserve">, com algoritmo SHA-384,</w:t>
      </w:r>
      <w:r>
        <w:t xml:space="preserve"> </w:t>
      </w:r>
      <w:r>
        <w:rPr>
          <w:rStyle w:val="VerbatimChar"/>
        </w:rPr>
        <w:t xml:space="preserve">crossOrigin='anonymous'</w:t>
      </w:r>
      <w:r>
        <w:t xml:space="preserve"> </w:t>
      </w:r>
      <w:r>
        <w:t xml:space="preserve">e carregamento assíncrono. O endereço permanece</w:t>
      </w:r>
      <w:r>
        <w:t xml:space="preserve"> </w:t>
      </w:r>
      <w:r>
        <w:rPr>
          <w:rStyle w:val="VerbatimChar"/>
        </w:rPr>
        <w:t xml:space="preserve">https://vlibras.gov.br/app/vlibras-plugin.js</w:t>
      </w:r>
      <w:r>
        <w:t xml:space="preserve">. O componente define callbacks de carga e erro, limite de espera e novas tentativas. O hash configurado é um valor de integridade, não uma credencial; a conferência local do atributo não é apresentada como validação dos bytes atuais do serviço remoto.</w:t>
      </w:r>
    </w:p>
    <w:p>
      <w:pPr>
        <w:pStyle w:val="BodyText"/>
      </w:pPr>
      <w:r>
        <w:t xml:space="preserve">As verificações anteriores registradas para</w:t>
      </w:r>
      <w:r>
        <w:t xml:space="preserve"> </w:t>
      </w:r>
      <w:r>
        <w:rPr>
          <w:rStyle w:val="VerbatimChar"/>
        </w:rPr>
        <w:t xml:space="preserve">1d05eb6</w:t>
      </w:r>
      <w:r>
        <w:t xml:space="preserve"> </w:t>
      </w:r>
      <w:r>
        <w:t xml:space="preserve">confirmaram o build e a integridade dos dois recursos de entrada examinados localmente. O resultado se refere aos arquivos gerados naquele ambiente, não a uma demonstração de identidade entre o build local e todos os arquivos publicados nos domínios externos.</w:t>
      </w:r>
    </w:p>
    <w:bookmarkEnd w:id="77"/>
    <w:bookmarkStart w:id="78" w:name="metadados-indexação-e-catálogos-públicos"/>
    <w:p>
      <w:pPr>
        <w:pStyle w:val="Heading2"/>
      </w:pPr>
      <w:bookmarkStart w:id="20043" w:name="docsec_044"/>
      <w:r>
        <w:t xml:space="preserve">Metadados, indexação e catálogos públicos</w:t>
      </w:r>
      <w:bookmarkEnd w:id="20043"/>
    </w:p>
    <w:p>
      <w:pPr>
        <w:pStyle w:val="FirstParagraph"/>
      </w:pPr>
      <w:r>
        <w:rPr>
          <w:rStyle w:val="VerbatimChar"/>
        </w:rPr>
        <w:t xml:space="preserve">index.html</w:t>
      </w:r>
      <w:r>
        <w:t xml:space="preserve"> </w:t>
      </w:r>
      <w:r>
        <w:t xml:space="preserve">declara idioma</w:t>
      </w:r>
      <w:r>
        <w:t xml:space="preserve"> </w:t>
      </w:r>
      <w:r>
        <w:rPr>
          <w:rStyle w:val="VerbatimChar"/>
        </w:rPr>
        <w:t xml:space="preserve">pt-BR</w:t>
      </w:r>
      <w:r>
        <w:t xml:space="preserve">, viewport responsivo, descrição institucional, título inicial, Open Graph de título, descrição e URL, além de canonical. Na revisão documentada, canonical e</w:t>
      </w:r>
      <w:r>
        <w:t xml:space="preserve"> </w:t>
      </w:r>
      <w:r>
        <w:rPr>
          <w:rStyle w:val="VerbatimChar"/>
        </w:rPr>
        <w:t xml:space="preserve">og:url</w:t>
      </w:r>
      <w:r>
        <w:t xml:space="preserve"> </w:t>
      </w:r>
      <w:r>
        <w:t xml:space="preserve">apontam para</w:t>
      </w:r>
      <w:r>
        <w:t xml:space="preserve"> </w:t>
      </w:r>
      <w:r>
        <w:rPr>
          <w:rStyle w:val="VerbatimChar"/>
        </w:rPr>
        <w:t xml:space="preserve">https://asg-ods.ai.studio/</w:t>
      </w:r>
      <w:r>
        <w:t xml:space="preserve">. O endereço final informado pelo responsável é</w:t>
      </w:r>
      <w:r>
        <w:t xml:space="preserve"> </w:t>
      </w:r>
      <w:r>
        <w:rPr>
          <w:rStyle w:val="VerbatimChar"/>
        </w:rPr>
        <w:t xml:space="preserve">https://asg.ods.crasp.org.br/</w:t>
      </w:r>
      <w:r>
        <w:t xml:space="preserve">; registrar os dois endereços não significa que todos os metadados já utilizem o domínio final.</w:t>
      </w:r>
    </w:p>
    <w:p>
      <w:pPr>
        <w:pStyle w:val="BodyText"/>
      </w:pPr>
      <w:r>
        <w:t xml:space="preserve">Há favicon SVG, links para os documentos ARD e catálogo de IA e otimização de descoberta DNS para VLibras. Duas imagens principais WebP possuem preload condicionado à largura da tela:</w:t>
      </w:r>
      <w:r>
        <w:t xml:space="preserve"> </w:t>
      </w:r>
      <w:r>
        <w:rPr>
          <w:rStyle w:val="VerbatimChar"/>
        </w:rPr>
        <w:t xml:space="preserve">image1.webp</w:t>
      </w:r>
      <w:r>
        <w:t xml:space="preserve"> </w:t>
      </w:r>
      <w:r>
        <w:t xml:space="preserve">a partir de 768 px e</w:t>
      </w:r>
      <w:r>
        <w:t xml:space="preserve"> </w:t>
      </w:r>
      <w:r>
        <w:rPr>
          <w:rStyle w:val="VerbatimChar"/>
        </w:rPr>
        <w:t xml:space="preserve">image2.webp</w:t>
      </w:r>
      <w:r>
        <w:t xml:space="preserve"> </w:t>
      </w:r>
      <w:r>
        <w:t xml:space="preserve">até 767 px, com prioridade alta. O HTML inicial contém um</w:t>
      </w:r>
      <w:r>
        <w:t xml:space="preserve"> </w:t>
      </w:r>
      <w:r>
        <w:rPr>
          <w:rStyle w:val="VerbatimChar"/>
        </w:rPr>
        <w:t xml:space="preserve">main</w:t>
      </w:r>
      <w:r>
        <w:t xml:space="preserve"> </w:t>
      </w:r>
      <w:r>
        <w:t xml:space="preserve">visualmente oculto com título e identificação institucional enquanto o React assume a composição da interface.</w:t>
      </w:r>
    </w:p>
    <w:p>
      <w:pPr>
        <w:pStyle w:val="TableCaption"/>
        <w:keepNext/>
      </w:pPr>
      <w:r>
        <w:t xml:space="preserve">Tabela </w:t>
      </w:r>
      <w:r>
        <w:rPr>
          <w:rFonts w:ascii="Open Sans" w:hAnsi="Open Sans"/>
          <w:sz w:val="18"/>
        </w:rPr>
        <w:fldChar w:fldCharType="begin"/>
        <w:instrText xml:space="preserve"> SEQ Tabela </w:instrText>
        <w:fldChar w:fldCharType="separate"/>
        <w:t>25</w:t>
        <w:fldChar w:fldCharType="end"/>
      </w:r>
      <w:r>
        <w:t xml:space="preserve"> — Recursos públicos de descoberta.</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Recurso</w:t>
            </w:r>
          </w:p>
        </w:tc>
        <w:tc>
          <w:tcPr>
            <w:tcW w:type="dxa" w:w="3048"/>
            <w:vAlign w:val="top"/>
            <w:shd w:fill="233B82"/>
          </w:tcPr>
          <w:p>
            <w:pPr>
              <w:pStyle w:val="Compact"/>
              <w:spacing w:before="40" w:after="60" w:line="247" w:lineRule="auto"/>
              <w:jc w:val="left"/>
            </w:pPr>
            <w:r>
              <w:rPr>
                <w:b/>
                <w:color w:val="FFFFFF"/>
                <w:sz w:val="18"/>
              </w:rPr>
              <w:t xml:space="preserve">Conteúdo versionado</w:t>
            </w:r>
          </w:p>
        </w:tc>
        <w:tc>
          <w:tcPr>
            <w:tcW w:type="dxa" w:w="4286"/>
            <w:vAlign w:val="top"/>
            <w:shd w:fill="233B82"/>
          </w:tcPr>
          <w:p>
            <w:pPr>
              <w:pStyle w:val="Compact"/>
              <w:spacing w:before="40" w:after="60" w:line="247" w:lineRule="auto"/>
              <w:jc w:val="left"/>
            </w:pPr>
            <w:r>
              <w:rPr>
                <w:b/>
                <w:color w:val="FFFFFF"/>
                <w:sz w:val="18"/>
              </w:rPr>
              <w:t xml:space="preserve">Endereço ou alcance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robots.txt</w:t>
            </w:r>
          </w:p>
        </w:tc>
        <w:tc>
          <w:tcPr>
            <w:tcW w:type="dxa" w:w="3048"/>
            <w:vAlign w:val="top"/>
            <w:shd w:fill="FFFFFF"/>
          </w:tcPr>
          <w:p>
            <w:pPr>
              <w:pStyle w:val="Compact"/>
              <w:spacing w:before="40" w:after="60" w:line="247" w:lineRule="auto"/>
              <w:jc w:val="left"/>
            </w:pPr>
            <w:r>
              <w:rPr>
                <w:sz w:val="18"/>
              </w:rPr>
              <w:t xml:space="preserve">Permite rastreamento geral e solicita não rastrear</w:t>
            </w:r>
            <w:r>
              <w:rPr>
                <w:sz w:val="18"/>
              </w:rPr>
              <w:t xml:space="preserve"> </w:t>
            </w:r>
            <w:r>
              <w:rPr>
                <w:rStyle w:val="VerbatimChar"/>
                <w:sz w:val="17"/>
              </w:rPr>
              <w:t xml:space="preserve">/api/</w:t>
            </w:r>
            <w:r>
              <w:rPr>
                <w:sz w:val="18"/>
              </w:rPr>
              <w:t xml:space="preserve">.</w:t>
            </w:r>
          </w:p>
        </w:tc>
        <w:tc>
          <w:tcPr>
            <w:tcW w:type="dxa" w:w="4286"/>
            <w:vAlign w:val="top"/>
            <w:shd w:fill="FFFFFF"/>
          </w:tcPr>
          <w:p>
            <w:pPr>
              <w:pStyle w:val="Compact"/>
              <w:spacing w:before="40" w:after="60" w:line="247" w:lineRule="auto"/>
              <w:jc w:val="left"/>
            </w:pPr>
            <w:r>
              <w:rPr>
                <w:sz w:val="18"/>
              </w:rPr>
              <w:t xml:space="preserve">Referencia sitemaps dos domínios institucional e AI Studio.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sitemap.xml</w:t>
            </w:r>
          </w:p>
        </w:tc>
        <w:tc>
          <w:tcPr>
            <w:tcW w:type="dxa" w:w="3048"/>
            <w:vAlign w:val="top"/>
            <w:shd w:fill="F5F8FC"/>
          </w:tcPr>
          <w:p>
            <w:pPr>
              <w:pStyle w:val="Compact"/>
              <w:spacing w:before="40" w:after="60" w:line="247" w:lineRule="auto"/>
              <w:jc w:val="left"/>
            </w:pPr>
            <w:r>
              <w:rPr>
                <w:sz w:val="18"/>
              </w:rPr>
              <w:t xml:space="preserve">Cinco páginas, frequências e prioridades.</w:t>
            </w:r>
          </w:p>
        </w:tc>
        <w:tc>
          <w:tcPr>
            <w:tcW w:type="dxa" w:w="4286"/>
            <w:vAlign w:val="top"/>
            <w:shd w:fill="F5F8FC"/>
          </w:tcPr>
          <w:p>
            <w:pPr>
              <w:pStyle w:val="Compact"/>
              <w:spacing w:before="40" w:after="60" w:line="247" w:lineRule="auto"/>
              <w:jc w:val="left"/>
            </w:pPr>
            <w:r>
              <w:rPr>
                <w:sz w:val="18"/>
              </w:rPr>
              <w:t xml:space="preserve">URLs de</w:t>
            </w:r>
            <w:r>
              <w:rPr>
                <w:sz w:val="18"/>
              </w:rPr>
              <w:t xml:space="preserve"> </w:t>
            </w:r>
            <w:r>
              <w:rPr>
                <w:rStyle w:val="VerbatimChar"/>
                <w:sz w:val="17"/>
              </w:rPr>
              <w:t xml:space="preserve">asg-ods.ai.studio</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llms.txt</w:t>
            </w:r>
          </w:p>
        </w:tc>
        <w:tc>
          <w:tcPr>
            <w:tcW w:type="dxa" w:w="3048"/>
            <w:vAlign w:val="top"/>
            <w:shd w:fill="FFFFFF"/>
          </w:tcPr>
          <w:p>
            <w:pPr>
              <w:pStyle w:val="Compact"/>
              <w:spacing w:before="40" w:after="60" w:line="247" w:lineRule="auto"/>
              <w:jc w:val="left"/>
            </w:pPr>
            <w:r>
              <w:rPr>
                <w:sz w:val="18"/>
              </w:rPr>
              <w:t xml:space="preserve">Apresentação breve e links das cinco páginas.</w:t>
            </w:r>
          </w:p>
        </w:tc>
        <w:tc>
          <w:tcPr>
            <w:tcW w:type="dxa" w:w="4286"/>
            <w:vAlign w:val="top"/>
            <w:shd w:fill="FFFFFF"/>
          </w:tcPr>
          <w:p>
            <w:pPr>
              <w:pStyle w:val="Compact"/>
              <w:spacing w:before="40" w:after="60" w:line="247" w:lineRule="auto"/>
              <w:jc w:val="left"/>
            </w:pPr>
            <w:r>
              <w:rPr>
                <w:sz w:val="18"/>
              </w:rPr>
              <w:t xml:space="preserve">Documento público descritivo.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/.well-known/ard.json</w:t>
            </w:r>
          </w:p>
        </w:tc>
        <w:tc>
          <w:tcPr>
            <w:tcW w:type="dxa" w:w="3048"/>
            <w:vAlign w:val="top"/>
            <w:shd w:fill="F5F8FC"/>
          </w:tcPr>
          <w:p>
            <w:pPr>
              <w:pStyle w:val="Compact"/>
              <w:spacing w:before="40" w:after="60" w:line="247" w:lineRule="auto"/>
              <w:jc w:val="left"/>
            </w:pPr>
            <w:r>
              <w:rPr>
                <w:sz w:val="18"/>
              </w:rPr>
              <w:t xml:space="preserve">Entrada de identificação e capacidades do portal.</w:t>
            </w:r>
          </w:p>
        </w:tc>
        <w:tc>
          <w:tcPr>
            <w:tcW w:type="dxa" w:w="4286"/>
            <w:vAlign w:val="top"/>
            <w:shd w:fill="F5F8FC"/>
          </w:tcPr>
          <w:p>
            <w:pPr>
              <w:pStyle w:val="Compact"/>
              <w:spacing w:before="40" w:after="60" w:line="247" w:lineRule="auto"/>
              <w:jc w:val="left"/>
            </w:pPr>
            <w:r>
              <w:rPr>
                <w:sz w:val="18"/>
              </w:rPr>
              <w:t xml:space="preserve">Manifesto público JSON.</w:t>
            </w:r>
          </w:p>
        </w:tc>
      </w:tr>
      <w:tr>
        <w:trPr>
          <w:cantSplit/>
        </w:trPr>
        <w:tc>
          <w:tcPr>
            <w:tcW w:type="dxa" w:w="2191"/>
            <w:vAlign w:val="top"/>
            <w:shd w:fill="FFFFFF"/>
          </w:tcPr>
          <w:p>
            <w:pPr>
              <w:pStyle w:val="Compact"/>
              <w:spacing w:before="40" w:after="60" w:line="247" w:lineRule="auto"/>
              <w:jc w:val="left"/>
            </w:pPr>
            <w:r>
              <w:rPr>
                <w:rStyle w:val="VerbatimChar"/>
                <w:sz w:val="17"/>
              </w:rPr>
              <w:t xml:space="preserve">/.well-known/ai-catalog.json</w:t>
            </w:r>
          </w:p>
        </w:tc>
        <w:tc>
          <w:tcPr>
            <w:tcW w:type="dxa" w:w="3048"/>
            <w:vAlign w:val="top"/>
            <w:shd w:fill="FFFFFF"/>
          </w:tcPr>
          <w:p>
            <w:pPr>
              <w:pStyle w:val="Compact"/>
              <w:spacing w:before="40" w:after="60" w:line="247" w:lineRule="auto"/>
              <w:jc w:val="left"/>
            </w:pPr>
            <w:r>
              <w:rPr>
                <w:sz w:val="18"/>
              </w:rPr>
              <w:t xml:space="preserve">Mesma entrada de catálogo da revisão.</w:t>
            </w:r>
          </w:p>
        </w:tc>
        <w:tc>
          <w:tcPr>
            <w:tcW w:type="dxa" w:w="4286"/>
            <w:vAlign w:val="top"/>
            <w:shd w:fill="FFFFFF"/>
          </w:tcPr>
          <w:p>
            <w:pPr>
              <w:pStyle w:val="Compact"/>
              <w:spacing w:before="40" w:after="60" w:line="247" w:lineRule="auto"/>
              <w:jc w:val="left"/>
            </w:pPr>
            <w:r>
              <w:rPr>
                <w:sz w:val="18"/>
              </w:rPr>
              <w:t xml:space="preserve">Manifesto público JSON.</w:t>
            </w:r>
          </w:p>
        </w:tc>
      </w:tr>
      <w:tr>
        <w:trPr>
          <w:cantSplit/>
        </w:trPr>
        <w:tc>
          <w:tcPr>
            <w:tcW w:type="dxa" w:w="2191"/>
            <w:vAlign w:val="top"/>
            <w:shd w:fill="F5F8FC"/>
          </w:tcPr>
          <w:p>
            <w:pPr>
              <w:pStyle w:val="Compact"/>
              <w:spacing w:before="40" w:after="60" w:line="247" w:lineRule="auto"/>
              <w:jc w:val="left"/>
            </w:pPr>
            <w:r>
              <w:rPr>
                <w:rStyle w:val="VerbatimChar"/>
                <w:sz w:val="17"/>
              </w:rPr>
              <w:t xml:space="preserve">/ai-catalog.json</w:t>
            </w:r>
          </w:p>
        </w:tc>
        <w:tc>
          <w:tcPr>
            <w:tcW w:type="dxa" w:w="3048"/>
            <w:vAlign w:val="top"/>
            <w:shd w:fill="F5F8FC"/>
          </w:tcPr>
          <w:p>
            <w:pPr>
              <w:pStyle w:val="Compact"/>
              <w:spacing w:before="40" w:after="60" w:line="247" w:lineRule="auto"/>
              <w:jc w:val="left"/>
            </w:pPr>
            <w:r>
              <w:rPr>
                <w:sz w:val="18"/>
              </w:rPr>
              <w:t xml:space="preserve">Cópia pública do catálogo.</w:t>
            </w:r>
          </w:p>
        </w:tc>
        <w:tc>
          <w:tcPr>
            <w:tcW w:type="dxa" w:w="4286"/>
            <w:vAlign w:val="top"/>
            <w:shd w:fill="F5F8FC"/>
          </w:tcPr>
          <w:p>
            <w:pPr>
              <w:pStyle w:val="Compact"/>
              <w:spacing w:before="40" w:after="60" w:line="247" w:lineRule="auto"/>
              <w:jc w:val="left"/>
            </w:pPr>
            <w:r>
              <w:rPr>
                <w:sz w:val="18"/>
              </w:rPr>
              <w:t xml:space="preserve">Entrega estática.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metadata.json</w:t>
            </w:r>
          </w:p>
        </w:tc>
        <w:tc>
          <w:tcPr>
            <w:tcW w:type="dxa" w:w="3048"/>
            <w:vAlign w:val="top"/>
            <w:shd w:fill="FFFFFF"/>
          </w:tcPr>
          <w:p>
            <w:pPr>
              <w:pStyle w:val="Compact"/>
              <w:spacing w:before="40" w:after="60" w:line="247" w:lineRule="auto"/>
              <w:jc w:val="left"/>
            </w:pPr>
            <w:r>
              <w:rPr>
                <w:sz w:val="18"/>
              </w:rPr>
              <w:t xml:space="preserve">Nome, descrição e lista vazia de permissões de frame solicitadas.</w:t>
            </w:r>
          </w:p>
        </w:tc>
        <w:tc>
          <w:tcPr>
            <w:tcW w:type="dxa" w:w="4286"/>
            <w:vAlign w:val="top"/>
            <w:shd w:fill="FFFFFF"/>
          </w:tcPr>
          <w:p>
            <w:pPr>
              <w:pStyle w:val="Compact"/>
              <w:spacing w:before="40" w:after="60" w:line="247" w:lineRule="auto"/>
              <w:jc w:val="left"/>
            </w:pPr>
            <w:r>
              <w:rPr>
                <w:sz w:val="18"/>
              </w:rPr>
              <w:t xml:space="preserve">Metadado do projeto no repositório.</w:t>
            </w:r>
          </w:p>
        </w:tc>
      </w:tr>
    </w:tbl>
    <w:p>
      <w:pPr>
        <w:pStyle w:val="BodyText"/>
      </w:pPr>
      <w:r>
        <w:t xml:space="preserve">Os três JSON de descoberta possuem</w:t>
      </w:r>
      <w:r>
        <w:t xml:space="preserve"> </w:t>
      </w:r>
      <w:r>
        <w:rPr>
          <w:rStyle w:val="VerbatimChar"/>
        </w:rPr>
        <w:t xml:space="preserve">specVersion: '1.0'</w:t>
      </w:r>
      <w:r>
        <w:t xml:space="preserve">, uma entrada com identificador</w:t>
      </w:r>
      <w:r>
        <w:t xml:space="preserve"> </w:t>
      </w:r>
      <w:r>
        <w:rPr>
          <w:rStyle w:val="VerbatimChar"/>
        </w:rPr>
        <w:t xml:space="preserve">urn:air:crasp.org.br:portal:asg-ods</w:t>
      </w:r>
      <w:r>
        <w:t xml:space="preserve">, tipo declarado</w:t>
      </w:r>
      <w:r>
        <w:t xml:space="preserve"> </w:t>
      </w:r>
      <w:r>
        <w:rPr>
          <w:rStyle w:val="VerbatimChar"/>
        </w:rPr>
        <w:t xml:space="preserve">application/agent-card+json</w:t>
      </w:r>
      <w:r>
        <w:t xml:space="preserve">, nome do portal e URL AI Studio. As capacidades listadas são</w:t>
      </w:r>
      <w:r>
        <w:t xml:space="preserve"> </w:t>
      </w:r>
      <w:r>
        <w:rPr>
          <w:rStyle w:val="VerbatimChar"/>
        </w:rPr>
        <w:t xml:space="preserve">EducacaoCorporativa</w:t>
      </w:r>
      <w:r>
        <w:t xml:space="preserve">,</w:t>
      </w:r>
      <w:r>
        <w:t xml:space="preserve"> </w:t>
      </w:r>
      <w:r>
        <w:rPr>
          <w:rStyle w:val="VerbatimChar"/>
        </w:rPr>
        <w:t xml:space="preserve">GestaoASG</w:t>
      </w:r>
      <w:r>
        <w:t xml:space="preserve">,</w:t>
      </w:r>
      <w:r>
        <w:t xml:space="preserve"> </w:t>
      </w:r>
      <w:r>
        <w:rPr>
          <w:rStyle w:val="VerbatimChar"/>
        </w:rPr>
        <w:t xml:space="preserve">ODS</w:t>
      </w:r>
      <w:r>
        <w:t xml:space="preserve"> </w:t>
      </w:r>
      <w:r>
        <w:t xml:space="preserve">e</w:t>
      </w:r>
      <w:r>
        <w:t xml:space="preserve"> </w:t>
      </w:r>
      <w:r>
        <w:rPr>
          <w:rStyle w:val="VerbatimChar"/>
        </w:rPr>
        <w:t xml:space="preserve">AdesaoIES</w:t>
      </w:r>
      <w:r>
        <w:t xml:space="preserve">, acompanhadas de descrição e consultas representativas. São descritores do conteúdo do site; não estabelecem um agente autônomo, uma API adicional ou autenticação de terceiros.</w:t>
      </w:r>
    </w:p>
    <w:p>
      <w:pPr>
        <w:pStyle w:val="BodyText"/>
      </w:pPr>
      <w:r>
        <w:rPr>
          <w:rStyle w:val="VerbatimChar"/>
        </w:rPr>
        <w:t xml:space="preserve">robots.txt</w:t>
      </w:r>
      <w:r>
        <w:t xml:space="preserve"> </w:t>
      </w:r>
      <w:r>
        <w:t xml:space="preserve">orienta rastreadores e não funciona como controle de acesso. As regras efetivas da API, do Firestore e da entrega de arquivos permanecem nas respectivas camadas. O sitemap e os catálogos tornam as páginas descobríveis, sem comprovar sua indexação por um motor de busca específico.</w:t>
      </w:r>
    </w:p>
    <w:bookmarkEnd w:id="78"/>
    <w:bookmarkStart w:id="79" w:name="Xd5425af7877f2ec79ebc2e37195b0a3b00a6159"/>
    <w:p>
      <w:pPr>
        <w:pStyle w:val="Heading2"/>
      </w:pPr>
      <w:bookmarkStart w:id="20044" w:name="docsec_045"/>
      <w:r>
        <w:t xml:space="preserve">Configuração de entrega e alcance das evidências</w:t>
      </w:r>
      <w:bookmarkEnd w:id="20044"/>
    </w:p>
    <w:p>
      <w:pPr>
        <w:pStyle w:val="FirstParagraph"/>
      </w:pPr>
      <w:r>
        <w:t xml:space="preserve">O Hosting declara</w:t>
      </w:r>
      <w:r>
        <w:t xml:space="preserve"> </w:t>
      </w:r>
      <w:r>
        <w:rPr>
          <w:rStyle w:val="VerbatimChar"/>
        </w:rPr>
        <w:t xml:space="preserve">dist</w:t>
      </w:r>
      <w:r>
        <w:t xml:space="preserve"> </w:t>
      </w:r>
      <w:r>
        <w:t xml:space="preserve">como raiz pública e um rewrite de</w:t>
      </w:r>
      <w:r>
        <w:t xml:space="preserve"> </w:t>
      </w:r>
      <w:r>
        <w:rPr>
          <w:rStyle w:val="VerbatimChar"/>
        </w:rPr>
        <w:t xml:space="preserve">/api/**</w:t>
      </w:r>
      <w:r>
        <w:t xml:space="preserve"> </w:t>
      </w:r>
      <w:r>
        <w:t xml:space="preserve">para o serviço Cloud Run</w:t>
      </w:r>
      <w:r>
        <w:t xml:space="preserve"> </w:t>
      </w:r>
      <w:r>
        <w:rPr>
          <w:rStyle w:val="VerbatimChar"/>
        </w:rPr>
        <w:t xml:space="preserve">asg-ods</w:t>
      </w:r>
      <w:r>
        <w:t xml:space="preserve">, região</w:t>
      </w:r>
      <w:r>
        <w:t xml:space="preserve"> </w:t>
      </w:r>
      <w:r>
        <w:rPr>
          <w:rStyle w:val="VerbatimChar"/>
        </w:rPr>
        <w:t xml:space="preserve">southamerica-east1</w:t>
      </w:r>
      <w:r>
        <w:t xml:space="preserve">. As rotas de manifestos e arquivos de descoberta são explicitadas antes do fallback geral para</w:t>
      </w:r>
      <w:r>
        <w:t xml:space="preserve"> </w:t>
      </w:r>
      <w:r>
        <w:rPr>
          <w:rStyle w:val="VerbatimChar"/>
        </w:rPr>
        <w:t xml:space="preserve">/index.html</w:t>
      </w:r>
      <w:r>
        <w:t xml:space="preserve">. No caminho Node, o Express também dispõe de entrega estática e fallback próprios. A configuração estabelece como cada modalidade foi preparada no repositório; não comprova qual delas atende cada domínio em todos os instantes.</w:t>
      </w:r>
    </w:p>
    <w:p>
      <w:pPr>
        <w:pStyle w:val="BodyText"/>
      </w:pPr>
      <w:r>
        <w:t xml:space="preserve">As avaliações externas fornecidas pelo responsável descrevem as respostas observadas nas datas e URLs dos relatórios. Seus resultados constam do capítulo de evidências e não substituem a identificação da revisão do código. Cabeçalhos configurados, integridade conferida em build local e observações de scanners são fontes complementares, com escopos diferentes.</w:t>
      </w:r>
    </w:p>
    <w:p>
      <w:pPr>
        <w:pStyle w:val="BodyText"/>
      </w:pPr>
      <w:r>
        <w:t xml:space="preserve">Fontes de implementação:</w:t>
      </w:r>
      <w:r>
        <w:t xml:space="preserve"> </w:t>
      </w:r>
      <w:r>
        <w:rPr>
          <w:rStyle w:val="VerbatimChar"/>
        </w:rPr>
        <w:t xml:space="preserve">src/server/securityHeaders.ts</w:t>
      </w:r>
      <w:r>
        <w:t xml:space="preserve"> </w:t>
      </w:r>
      <w:r>
        <w:t xml:space="preserve">— políticas principal, de desenvolvimento e Unity, cookies e cabeçalhos;</w:t>
      </w:r>
      <w:r>
        <w:t xml:space="preserve"> </w:t>
      </w:r>
      <w:r>
        <w:rPr>
          <w:rStyle w:val="VerbatimChar"/>
        </w:rPr>
        <w:t xml:space="preserve">src/components/accessibility/VLibrasWidget.tsx</w:t>
      </w:r>
      <w:r>
        <w:t xml:space="preserve"> </w:t>
      </w:r>
      <w:r>
        <w:t xml:space="preserve">— SRI e remapeamento do iframe;</w:t>
      </w:r>
      <w:r>
        <w:t xml:space="preserve"> </w:t>
      </w:r>
      <w:r>
        <w:rPr>
          <w:rStyle w:val="VerbatimChar"/>
        </w:rPr>
        <w:t xml:space="preserve">scripts/inject-sri.ts</w:t>
      </w:r>
      <w:r>
        <w:t xml:space="preserve">;</w:t>
      </w:r>
      <w:r>
        <w:t xml:space="preserve"> </w:t>
      </w:r>
      <w:r>
        <w:rPr>
          <w:rStyle w:val="VerbatimChar"/>
        </w:rPr>
        <w:t xml:space="preserve">index.html</w:t>
      </w:r>
      <w:r>
        <w:t xml:space="preserve">;</w:t>
      </w:r>
      <w:r>
        <w:t xml:space="preserve"> </w:t>
      </w:r>
      <w:r>
        <w:rPr>
          <w:rStyle w:val="VerbatimChar"/>
        </w:rPr>
        <w:t xml:space="preserve">firebase.json</w:t>
      </w:r>
      <w:r>
        <w:t xml:space="preserve">;</w:t>
      </w:r>
      <w:r>
        <w:t xml:space="preserve"> </w:t>
      </w:r>
      <w:r>
        <w:rPr>
          <w:rStyle w:val="VerbatimChar"/>
        </w:rPr>
        <w:t xml:space="preserve">public/robots.txt</w:t>
      </w:r>
      <w:r>
        <w:t xml:space="preserve">,</w:t>
      </w:r>
      <w:r>
        <w:t xml:space="preserve"> </w:t>
      </w:r>
      <w:r>
        <w:rPr>
          <w:rStyle w:val="VerbatimChar"/>
        </w:rPr>
        <w:t xml:space="preserve">sitemap.xml</w:t>
      </w:r>
      <w:r>
        <w:t xml:space="preserve">,</w:t>
      </w:r>
      <w:r>
        <w:t xml:space="preserve"> </w:t>
      </w:r>
      <w:r>
        <w:rPr>
          <w:rStyle w:val="VerbatimChar"/>
        </w:rPr>
        <w:t xml:space="preserve">llms.txt</w:t>
      </w:r>
      <w:r>
        <w:t xml:space="preserve"> </w:t>
      </w:r>
      <w:r>
        <w:t xml:space="preserve">e JSON de descoberta;</w:t>
      </w:r>
      <w:r>
        <w:t xml:space="preserve"> </w:t>
      </w:r>
      <w:r>
        <w:rPr>
          <w:rStyle w:val="VerbatimChar"/>
        </w:rPr>
        <w:t xml:space="preserve">metadata.json</w:t>
      </w:r>
      <w:r>
        <w:t xml:space="preserve">. Revisão</w:t>
      </w:r>
      <w:r>
        <w:t xml:space="preserve"> </w:t>
      </w:r>
      <w:r>
        <w:rPr>
          <w:rStyle w:val="VerbatimChar"/>
        </w:rPr>
        <w:t xml:space="preserve">1d05eb64bfdb9f7f579221a144165a66f1ba25e4</w:t>
      </w:r>
      <w:r>
        <w:t xml:space="preserve">. Evidência local anterior: resumo de verificações da revisão, com build, SRI e resposta da ponte.</w:t>
      </w:r>
    </w:p>
    <w:bookmarkEnd w:id="79"/>
    <w:bookmarkEnd w:id="80"/>
    <w:bookmarkStart w:id="93" w:name="operação-configuração-e-testes"/>
    <w:p>
      <w:pPr>
        <w:pStyle w:val="Heading1"/>
      </w:pPr>
      <w:bookmarkStart w:id="20045" w:name="docsec_046"/>
      <w:r>
        <w:t xml:space="preserve">Operação, configuração e testes</w:t>
      </w:r>
      <w:bookmarkEnd w:id="20045"/>
    </w:p>
    <w:bookmarkStart w:id="81" w:name="runtime-e-instalação"/>
    <w:p>
      <w:pPr>
        <w:pStyle w:val="Heading2"/>
      </w:pPr>
      <w:bookmarkStart w:id="20046" w:name="docsec_047"/>
      <w:r>
        <w:t xml:space="preserve">Runtime e instalação</w:t>
      </w:r>
      <w:bookmarkEnd w:id="20046"/>
    </w:p>
    <w:p>
      <w:pPr>
        <w:pStyle w:val="FirstParagraph"/>
      </w:pPr>
      <w:r>
        <w:t xml:space="preserve">O projeto declara Node.js</w:t>
      </w:r>
      <w:r>
        <w:t xml:space="preserve"> </w:t>
      </w:r>
      <w:r>
        <w:rPr>
          <w:b/>
          <w:bCs/>
        </w:rPr>
        <w:t xml:space="preserve">22.18.0 ou superior</w:t>
      </w:r>
      <w:r>
        <w:t xml:space="preserve"> </w:t>
      </w:r>
      <w:r>
        <w:t xml:space="preserve">em</w:t>
      </w:r>
      <w:r>
        <w:t xml:space="preserve"> </w:t>
      </w:r>
      <w:r>
        <w:rPr>
          <w:rStyle w:val="VerbatimChar"/>
        </w:rPr>
        <w:t xml:space="preserve">package.json</w:t>
      </w:r>
      <w:r>
        <w:t xml:space="preserve">. Essa versão permite executar o ponto de entrada TypeScript com o comando de produção declarado,</w:t>
      </w:r>
      <w:r>
        <w:t xml:space="preserve"> </w:t>
      </w:r>
      <w:r>
        <w:rPr>
          <w:rStyle w:val="VerbatimChar"/>
        </w:rPr>
        <w:t xml:space="preserve">node server.ts</w:t>
      </w:r>
      <w:r>
        <w:t xml:space="preserve">. O repositório utiliza módulos ECMAScript, React e Vite no frontend, Express no servidor e Firebase Admin SDK na persistência. O manifesto reúne oito dependências de produção e dezoito de desenvolvimento; estas últimas incluem compilação, análise estática e testes.</w:t>
      </w:r>
    </w:p>
    <w:p>
      <w:pPr>
        <w:pStyle w:val="BodyText"/>
      </w:pPr>
      <w:r>
        <w:t xml:space="preserve">Há dois arquivos de resolução de dependências:</w:t>
      </w:r>
      <w:r>
        <w:t xml:space="preserve"> </w:t>
      </w:r>
      <w:r>
        <w:rPr>
          <w:rStyle w:val="VerbatimChar"/>
        </w:rPr>
        <w:t xml:space="preserve">package-lock.json</w:t>
      </w:r>
      <w:r>
        <w:t xml:space="preserve">, para npm, e</w:t>
      </w:r>
      <w:r>
        <w:t xml:space="preserve"> </w:t>
      </w:r>
      <w:r>
        <w:rPr>
          <w:rStyle w:val="VerbatimChar"/>
        </w:rPr>
        <w:t xml:space="preserve">bun.lock</w:t>
      </w:r>
      <w:r>
        <w:t xml:space="preserve">, para Bun. Na revisão documentada, as dependências diretas concordam entre ambos. A referência operacional demonstrada nesta entrega é a instalação por npm. Os intervalos do manifesto descrevem versões admitidas; o lockfile registra as versões efetivamente resolvidas. Preservar essa associação permite reproduzir a instalação de uma revisão específica.</w:t>
      </w:r>
    </w:p>
    <w:p>
      <w:pPr>
        <w:pStyle w:val="BodyText"/>
      </w:pPr>
      <w:r>
        <w:t xml:space="preserve">Na verificação registrada de</w:t>
      </w:r>
      <w:r>
        <w:t xml:space="preserve"> </w:t>
      </w:r>
      <w:r>
        <w:rPr>
          <w:rStyle w:val="VerbatimChar"/>
        </w:rPr>
        <w:t xml:space="preserve">1d05eb6</w:t>
      </w:r>
      <w:r>
        <w:t xml:space="preserve">,</w:t>
      </w:r>
      <w:r>
        <w:t xml:space="preserve"> </w:t>
      </w:r>
      <w:r>
        <w:rPr>
          <w:rStyle w:val="VerbatimChar"/>
        </w:rPr>
        <w:t xml:space="preserve">npm ci --ignore-scripts</w:t>
      </w:r>
      <w:r>
        <w:t xml:space="preserve"> </w:t>
      </w:r>
      <w:r>
        <w:t xml:space="preserve">instalou 478 pacotes, com código de saída zero. A instalação ocorreu em Node 24.19.0; as verificações subsequentes de aplicação foram executadas com</w:t>
      </w:r>
      <w:r>
        <w:t xml:space="preserve"> </w:t>
      </w:r>
      <w:r>
        <w:rPr>
          <w:b/>
          <w:bCs/>
        </w:rPr>
        <w:t xml:space="preserve">Node 22.18.0</w:t>
      </w:r>
      <w:r>
        <w:t xml:space="preserve">. O uso de</w:t>
      </w:r>
      <w:r>
        <w:t xml:space="preserve"> </w:t>
      </w:r>
      <w:r>
        <w:rPr>
          <w:rStyle w:val="VerbatimChar"/>
        </w:rPr>
        <w:t xml:space="preserve">--ignore-scripts</w:t>
      </w:r>
      <w:r>
        <w:t xml:space="preserve"> </w:t>
      </w:r>
      <w:r>
        <w:t xml:space="preserve">é uma condição dessa evidência: ela não equivale à execução dos scripts de ciclo de vida de todos os pacotes. Foram emitidos dois avisos de depreciação, relativos a</w:t>
      </w:r>
      <w:r>
        <w:t xml:space="preserve"> </w:t>
      </w:r>
      <w:r>
        <w:rPr>
          <w:rStyle w:val="VerbatimChar"/>
        </w:rPr>
        <w:t xml:space="preserve">node-domexception</w:t>
      </w:r>
      <w:r>
        <w:t xml:space="preserve"> </w:t>
      </w:r>
      <w:r>
        <w:t xml:space="preserve">e</w:t>
      </w:r>
      <w:r>
        <w:t xml:space="preserve"> </w:t>
      </w:r>
      <w:r>
        <w:rPr>
          <w:rStyle w:val="VerbatimChar"/>
        </w:rPr>
        <w:t xml:space="preserve">glob</w:t>
      </w:r>
      <w:r>
        <w:t xml:space="preserve">; portanto, o resultado não deve ser descrito como instalação sem avisos.</w:t>
      </w:r>
    </w:p>
    <w:bookmarkEnd w:id="81"/>
    <w:bookmarkStart w:id="82" w:name="comandos-disponíveis"/>
    <w:p>
      <w:pPr>
        <w:pStyle w:val="Heading2"/>
      </w:pPr>
      <w:bookmarkStart w:id="20047" w:name="docsec_048"/>
      <w:r>
        <w:t xml:space="preserve">Comandos disponíveis</w:t>
      </w:r>
      <w:bookmarkEnd w:id="20047"/>
    </w:p>
    <w:p>
      <w:pPr>
        <w:pStyle w:val="FirstParagraph"/>
      </w:pPr>
      <w:r>
        <w:t xml:space="preserve">Os comandos abaixo estão declarados no manifesto. A execução pressupõe o diretório raiz do projeto e dependências instaladas.</w:t>
      </w:r>
    </w:p>
    <w:p>
      <w:pPr>
        <w:pStyle w:val="TableCaption"/>
        <w:keepNext/>
      </w:pPr>
      <w:r>
        <w:t xml:space="preserve">Tabela </w:t>
      </w:r>
      <w:r>
        <w:rPr>
          <w:rFonts w:ascii="Open Sans" w:hAnsi="Open Sans"/>
          <w:sz w:val="18"/>
        </w:rPr>
        <w:fldChar w:fldCharType="begin"/>
        <w:instrText xml:space="preserve"> SEQ Tabela </w:instrText>
        <w:fldChar w:fldCharType="separate"/>
        <w:t>26</w:t>
        <w:fldChar w:fldCharType="end"/>
      </w:r>
      <w:r>
        <w:t xml:space="preserve"> — Comandos disponíveis.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Comando</w:t>
            </w:r>
          </w:p>
        </w:tc>
        <w:tc>
          <w:tcPr>
            <w:tcW w:type="dxa" w:w="3048"/>
            <w:vAlign w:val="top"/>
            <w:shd w:fill="233B82"/>
          </w:tcPr>
          <w:p>
            <w:pPr>
              <w:pStyle w:val="Compact"/>
              <w:spacing w:before="40" w:after="60" w:line="247" w:lineRule="auto"/>
              <w:jc w:val="left"/>
            </w:pPr>
            <w:r>
              <w:rPr>
                <w:b/>
                <w:color w:val="FFFFFF"/>
                <w:sz w:val="18"/>
              </w:rPr>
              <w:t xml:space="preserve">Implementação declarada</w:t>
            </w:r>
          </w:p>
        </w:tc>
        <w:tc>
          <w:tcPr>
            <w:tcW w:type="dxa" w:w="4286"/>
            <w:vAlign w:val="top"/>
            <w:shd w:fill="233B82"/>
          </w:tcPr>
          <w:p>
            <w:pPr>
              <w:pStyle w:val="Compact"/>
              <w:spacing w:before="40" w:after="60" w:line="247" w:lineRule="auto"/>
              <w:jc w:val="left"/>
            </w:pPr>
            <w:r>
              <w:rPr>
                <w:b/>
                <w:color w:val="FFFFFF"/>
                <w:sz w:val="18"/>
              </w:rPr>
              <w:t xml:space="preserve">Finalidade e efeito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dev</w:t>
            </w:r>
          </w:p>
        </w:tc>
        <w:tc>
          <w:tcPr>
            <w:tcW w:type="dxa" w:w="3048"/>
            <w:vAlign w:val="top"/>
            <w:shd w:fill="FFFFFF"/>
          </w:tcPr>
          <w:p>
            <w:pPr>
              <w:pStyle w:val="Compact"/>
              <w:spacing w:before="40" w:after="60" w:line="247" w:lineRule="auto"/>
              <w:jc w:val="left"/>
            </w:pPr>
            <w:r>
              <w:rPr>
                <w:rStyle w:val="VerbatimChar"/>
                <w:sz w:val="17"/>
              </w:rPr>
              <w:t xml:space="preserve">tsx server.ts</w:t>
            </w:r>
          </w:p>
        </w:tc>
        <w:tc>
          <w:tcPr>
            <w:tcW w:type="dxa" w:w="4286"/>
            <w:vAlign w:val="top"/>
            <w:shd w:fill="FFFFFF"/>
          </w:tcPr>
          <w:p>
            <w:pPr>
              <w:pStyle w:val="Compact"/>
              <w:spacing w:before="40" w:after="60" w:line="247" w:lineRule="auto"/>
              <w:jc w:val="left"/>
            </w:pPr>
            <w:r>
              <w:rPr>
                <w:sz w:val="18"/>
              </w:rPr>
              <w:t xml:space="preserve">Executa Express com integração de desenvolvimento do Vite.</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build</w:t>
            </w:r>
          </w:p>
        </w:tc>
        <w:tc>
          <w:tcPr>
            <w:tcW w:type="dxa" w:w="3048"/>
            <w:vAlign w:val="top"/>
            <w:shd w:fill="F5F8FC"/>
          </w:tcPr>
          <w:p>
            <w:pPr>
              <w:pStyle w:val="Compact"/>
              <w:spacing w:before="40" w:after="60" w:line="247" w:lineRule="auto"/>
              <w:jc w:val="left"/>
            </w:pPr>
            <w:r>
              <w:rPr>
                <w:rStyle w:val="VerbatimChar"/>
                <w:sz w:val="17"/>
              </w:rPr>
              <w:t xml:space="preserve">vite build &amp;&amp; tsx scripts/inject-sri.ts</w:t>
            </w:r>
          </w:p>
        </w:tc>
        <w:tc>
          <w:tcPr>
            <w:tcW w:type="dxa" w:w="4286"/>
            <w:vAlign w:val="top"/>
            <w:shd w:fill="F5F8FC"/>
          </w:tcPr>
          <w:p>
            <w:pPr>
              <w:pStyle w:val="Compact"/>
              <w:spacing w:before="40" w:after="60" w:line="247" w:lineRule="auto"/>
              <w:jc w:val="left"/>
            </w:pPr>
            <w:r>
              <w:rPr>
                <w:sz w:val="18"/>
              </w:rPr>
              <w:t xml:space="preserve">Produz</w:t>
            </w:r>
            <w:r>
              <w:rPr>
                <w:sz w:val="18"/>
              </w:rPr>
              <w:t xml:space="preserve"> </w:t>
            </w:r>
            <w:r>
              <w:rPr>
                <w:rStyle w:val="VerbatimChar"/>
                <w:sz w:val="17"/>
              </w:rPr>
              <w:t xml:space="preserve">dist</w:t>
            </w:r>
            <w:r>
              <w:rPr>
                <w:sz w:val="18"/>
              </w:rPr>
              <w:t xml:space="preserve"> </w:t>
            </w:r>
            <w:r>
              <w:rPr>
                <w:sz w:val="18"/>
              </w:rPr>
              <w:t xml:space="preserve">e acrescenta integridade aos recursos referenciados no HTML.</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preview</w:t>
            </w:r>
          </w:p>
        </w:tc>
        <w:tc>
          <w:tcPr>
            <w:tcW w:type="dxa" w:w="3048"/>
            <w:vAlign w:val="top"/>
            <w:shd w:fill="FFFFFF"/>
          </w:tcPr>
          <w:p>
            <w:pPr>
              <w:pStyle w:val="Compact"/>
              <w:spacing w:before="40" w:after="60" w:line="247" w:lineRule="auto"/>
              <w:jc w:val="left"/>
            </w:pPr>
            <w:r>
              <w:rPr>
                <w:rStyle w:val="VerbatimChar"/>
                <w:sz w:val="17"/>
              </w:rPr>
              <w:t xml:space="preserve">vite preview</w:t>
            </w:r>
          </w:p>
        </w:tc>
        <w:tc>
          <w:tcPr>
            <w:tcW w:type="dxa" w:w="4286"/>
            <w:vAlign w:val="top"/>
            <w:shd w:fill="FFFFFF"/>
          </w:tcPr>
          <w:p>
            <w:pPr>
              <w:pStyle w:val="Compact"/>
              <w:spacing w:before="40" w:after="60" w:line="247" w:lineRule="auto"/>
              <w:jc w:val="left"/>
            </w:pPr>
            <w:r>
              <w:rPr>
                <w:sz w:val="18"/>
              </w:rPr>
              <w:t xml:space="preserve">Visualiza o frontend compilado; não substitui o servidor da API.</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start</w:t>
            </w:r>
          </w:p>
        </w:tc>
        <w:tc>
          <w:tcPr>
            <w:tcW w:type="dxa" w:w="3048"/>
            <w:vAlign w:val="top"/>
            <w:shd w:fill="F5F8FC"/>
          </w:tcPr>
          <w:p>
            <w:pPr>
              <w:pStyle w:val="Compact"/>
              <w:spacing w:before="40" w:after="60" w:line="247" w:lineRule="auto"/>
              <w:jc w:val="left"/>
            </w:pPr>
            <w:r>
              <w:rPr>
                <w:rStyle w:val="VerbatimChar"/>
                <w:sz w:val="17"/>
              </w:rPr>
              <w:t xml:space="preserve">node server.ts</w:t>
            </w:r>
          </w:p>
        </w:tc>
        <w:tc>
          <w:tcPr>
            <w:tcW w:type="dxa" w:w="4286"/>
            <w:vAlign w:val="top"/>
            <w:shd w:fill="F5F8FC"/>
          </w:tcPr>
          <w:p>
            <w:pPr>
              <w:pStyle w:val="Compact"/>
              <w:spacing w:before="40" w:after="60" w:line="247" w:lineRule="auto"/>
              <w:jc w:val="left"/>
            </w:pPr>
            <w:r>
              <w:rPr>
                <w:sz w:val="18"/>
              </w:rPr>
              <w:t xml:space="preserve">Inicia o servidor; o modo depende de</w:t>
            </w:r>
            <w:r>
              <w:rPr>
                <w:sz w:val="18"/>
              </w:rPr>
              <w:t xml:space="preserve"> </w:t>
            </w:r>
            <w:r>
              <w:rPr>
                <w:rStyle w:val="VerbatimChar"/>
                <w:sz w:val="17"/>
              </w:rPr>
              <w:t xml:space="preserve">NODE_ENV</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test</w:t>
            </w:r>
          </w:p>
        </w:tc>
        <w:tc>
          <w:tcPr>
            <w:tcW w:type="dxa" w:w="3048"/>
            <w:vAlign w:val="top"/>
            <w:shd w:fill="FFFFFF"/>
          </w:tcPr>
          <w:p>
            <w:pPr>
              <w:pStyle w:val="Compact"/>
              <w:spacing w:before="40" w:after="60" w:line="247" w:lineRule="auto"/>
              <w:jc w:val="left"/>
            </w:pPr>
            <w:r>
              <w:rPr>
                <w:rStyle w:val="VerbatimChar"/>
                <w:sz w:val="17"/>
              </w:rPr>
              <w:t xml:space="preserve">vitest run</w:t>
            </w:r>
          </w:p>
        </w:tc>
        <w:tc>
          <w:tcPr>
            <w:tcW w:type="dxa" w:w="4286"/>
            <w:vAlign w:val="top"/>
            <w:shd w:fill="FFFFFF"/>
          </w:tcPr>
          <w:p>
            <w:pPr>
              <w:pStyle w:val="Compact"/>
              <w:spacing w:before="40" w:after="60" w:line="247" w:lineRule="auto"/>
              <w:jc w:val="left"/>
            </w:pPr>
            <w:r>
              <w:rPr>
                <w:sz w:val="18"/>
              </w:rPr>
              <w:t xml:space="preserve">Executa a suíte em uma passagem.</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typecheck</w:t>
            </w:r>
          </w:p>
        </w:tc>
        <w:tc>
          <w:tcPr>
            <w:tcW w:type="dxa" w:w="3048"/>
            <w:vAlign w:val="top"/>
            <w:shd w:fill="F5F8FC"/>
          </w:tcPr>
          <w:p>
            <w:pPr>
              <w:pStyle w:val="Compact"/>
              <w:spacing w:before="40" w:after="60" w:line="247" w:lineRule="auto"/>
              <w:jc w:val="left"/>
            </w:pPr>
            <w:r>
              <w:rPr>
                <w:rStyle w:val="VerbatimChar"/>
                <w:sz w:val="17"/>
              </w:rPr>
              <w:t xml:space="preserve">tsc --noEmit</w:t>
            </w:r>
          </w:p>
        </w:tc>
        <w:tc>
          <w:tcPr>
            <w:tcW w:type="dxa" w:w="4286"/>
            <w:vAlign w:val="top"/>
            <w:shd w:fill="F5F8FC"/>
          </w:tcPr>
          <w:p>
            <w:pPr>
              <w:pStyle w:val="Compact"/>
              <w:spacing w:before="40" w:after="60" w:line="247" w:lineRule="auto"/>
              <w:jc w:val="left"/>
            </w:pPr>
            <w:r>
              <w:rPr>
                <w:sz w:val="18"/>
              </w:rPr>
              <w:t xml:space="preserve">Verifica tipos sem emitir JavaScript.</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lint</w:t>
            </w:r>
          </w:p>
        </w:tc>
        <w:tc>
          <w:tcPr>
            <w:tcW w:type="dxa" w:w="3048"/>
            <w:vAlign w:val="top"/>
            <w:shd w:fill="FFFFFF"/>
          </w:tcPr>
          <w:p>
            <w:pPr>
              <w:pStyle w:val="Compact"/>
              <w:spacing w:before="40" w:after="60" w:line="247" w:lineRule="auto"/>
              <w:jc w:val="left"/>
            </w:pPr>
            <w:r>
              <w:rPr>
                <w:sz w:val="18"/>
              </w:rPr>
              <w:t xml:space="preserve">ESLint, TypeScript e métricas, em sequência</w:t>
            </w:r>
          </w:p>
        </w:tc>
        <w:tc>
          <w:tcPr>
            <w:tcW w:type="dxa" w:w="4286"/>
            <w:vAlign w:val="top"/>
            <w:shd w:fill="FFFFFF"/>
          </w:tcPr>
          <w:p>
            <w:pPr>
              <w:pStyle w:val="Compact"/>
              <w:spacing w:before="40" w:after="60" w:line="247" w:lineRule="auto"/>
              <w:jc w:val="left"/>
            </w:pPr>
            <w:r>
              <w:rPr>
                <w:sz w:val="18"/>
              </w:rPr>
              <w:t xml:space="preserve">Interrompe na primeira falha e regenera o relatório de métricas quando chega à última etapa.</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check:metrics</w:t>
            </w:r>
          </w:p>
        </w:tc>
        <w:tc>
          <w:tcPr>
            <w:tcW w:type="dxa" w:w="3048"/>
            <w:vAlign w:val="top"/>
            <w:shd w:fill="F5F8FC"/>
          </w:tcPr>
          <w:p>
            <w:pPr>
              <w:pStyle w:val="Compact"/>
              <w:spacing w:before="40" w:after="60" w:line="247" w:lineRule="auto"/>
              <w:jc w:val="left"/>
            </w:pPr>
            <w:r>
              <w:rPr>
                <w:rStyle w:val="VerbatimChar"/>
                <w:sz w:val="17"/>
              </w:rPr>
              <w:t xml:space="preserve">tsx scripts/check-metrics.ts</w:t>
            </w:r>
          </w:p>
        </w:tc>
        <w:tc>
          <w:tcPr>
            <w:tcW w:type="dxa" w:w="4286"/>
            <w:vAlign w:val="top"/>
            <w:shd w:fill="F5F8FC"/>
          </w:tcPr>
          <w:p>
            <w:pPr>
              <w:pStyle w:val="Compact"/>
              <w:spacing w:before="40" w:after="60" w:line="247" w:lineRule="auto"/>
              <w:jc w:val="left"/>
            </w:pPr>
            <w:r>
              <w:rPr>
                <w:sz w:val="18"/>
              </w:rPr>
              <w:t xml:space="preserve">Mede o código e grava</w:t>
            </w:r>
            <w:r>
              <w:rPr>
                <w:sz w:val="18"/>
              </w:rPr>
              <w:t xml:space="preserve"> </w:t>
            </w:r>
            <w:r>
              <w:rPr>
                <w:rStyle w:val="VerbatimChar"/>
                <w:sz w:val="17"/>
              </w:rPr>
              <w:t xml:space="preserve">RELATORIO-CONFORMIDADE-METRICAS.md</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codigofonte</w:t>
            </w:r>
          </w:p>
        </w:tc>
        <w:tc>
          <w:tcPr>
            <w:tcW w:type="dxa" w:w="3048"/>
            <w:vAlign w:val="top"/>
            <w:shd w:fill="FFFFFF"/>
          </w:tcPr>
          <w:p>
            <w:pPr>
              <w:pStyle w:val="Compact"/>
              <w:spacing w:before="40" w:after="60" w:line="247" w:lineRule="auto"/>
              <w:jc w:val="left"/>
            </w:pPr>
            <w:r>
              <w:rPr>
                <w:rStyle w:val="VerbatimChar"/>
                <w:sz w:val="17"/>
              </w:rPr>
              <w:t xml:space="preserve">tsx scripts/generate-codigofonte.ts</w:t>
            </w:r>
          </w:p>
        </w:tc>
        <w:tc>
          <w:tcPr>
            <w:tcW w:type="dxa" w:w="4286"/>
            <w:vAlign w:val="top"/>
            <w:shd w:fill="FFFFFF"/>
          </w:tcPr>
          <w:p>
            <w:pPr>
              <w:pStyle w:val="Compact"/>
              <w:spacing w:before="40" w:after="60" w:line="247" w:lineRule="auto"/>
              <w:jc w:val="left"/>
            </w:pPr>
            <w:r>
              <w:rPr>
                <w:sz w:val="18"/>
              </w:rPr>
              <w:t xml:space="preserve">Regenera o consolidado textual selecionado.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clean</w:t>
            </w:r>
          </w:p>
        </w:tc>
        <w:tc>
          <w:tcPr>
            <w:tcW w:type="dxa" w:w="3048"/>
            <w:vAlign w:val="top"/>
            <w:shd w:fill="F5F8FC"/>
          </w:tcPr>
          <w:p>
            <w:pPr>
              <w:pStyle w:val="Compact"/>
              <w:spacing w:before="40" w:after="60" w:line="247" w:lineRule="auto"/>
              <w:jc w:val="left"/>
            </w:pPr>
            <w:r>
              <w:rPr>
                <w:rStyle w:val="VerbatimChar"/>
                <w:sz w:val="17"/>
              </w:rPr>
              <w:t xml:space="preserve">rm -rf dist</w:t>
            </w:r>
          </w:p>
        </w:tc>
        <w:tc>
          <w:tcPr>
            <w:tcW w:type="dxa" w:w="4286"/>
            <w:vAlign w:val="top"/>
            <w:shd w:fill="F5F8FC"/>
          </w:tcPr>
          <w:p>
            <w:pPr>
              <w:pStyle w:val="Compact"/>
              <w:spacing w:before="40" w:after="60" w:line="247" w:lineRule="auto"/>
              <w:jc w:val="left"/>
            </w:pPr>
            <w:r>
              <w:rPr>
                <w:sz w:val="18"/>
              </w:rPr>
              <w:t xml:space="preserve">Remove a saída de compilação em ambiente compatível com esse comando.</w:t>
            </w:r>
          </w:p>
        </w:tc>
      </w:tr>
    </w:tbl>
    <w:p>
      <w:pPr>
        <w:pStyle w:val="BodyText"/>
      </w:pPr>
      <w:r>
        <w:t xml:space="preserve">O lint completo não é somente uma leitura: sua etapa final escreve o relatório. A limpeza também modifica o diretório de trabalho. Esses efeitos devem ser considerados ao escolher comandos para conferência documental ou integração contínua.</w:t>
      </w:r>
    </w:p>
    <w:bookmarkEnd w:id="82"/>
    <w:bookmarkStart w:id="86" w:name="desenvolvimento-build-e-produção"/>
    <w:p>
      <w:pPr>
        <w:pStyle w:val="Heading2"/>
      </w:pPr>
      <w:bookmarkStart w:id="20048" w:name="docsec_049"/>
      <w:r>
        <w:t xml:space="preserve">Desenvolvimento, build e produção</w:t>
      </w:r>
      <w:bookmarkEnd w:id="20048"/>
    </w:p>
    <w:p>
      <w:pPr>
        <w:pStyle w:val="FirstParagraph"/>
      </w:pPr>
      <w:r>
        <w:t xml:space="preserve">Em desenvolvimento,</w:t>
      </w:r>
      <w:r>
        <w:t xml:space="preserve"> </w:t>
      </w:r>
      <w:r>
        <w:rPr>
          <w:rStyle w:val="VerbatimChar"/>
        </w:rPr>
        <w:t xml:space="preserve">server.ts</w:t>
      </w:r>
      <w:r>
        <w:t xml:space="preserve"> </w:t>
      </w:r>
      <w:r>
        <w:t xml:space="preserve">carrega o Vite dinamicamente e o utiliza como middleware da mesma aplicação Express. A porta é</w:t>
      </w:r>
      <w:r>
        <w:t xml:space="preserve"> </w:t>
      </w:r>
      <w:r>
        <w:rPr>
          <w:rStyle w:val="VerbatimChar"/>
        </w:rPr>
        <w:t xml:space="preserve">PORT</w:t>
      </w:r>
      <w:r>
        <w:t xml:space="preserve">, quando convertida em número válido e não zero, ou 3000. O servidor escuta em</w:t>
      </w:r>
      <w:r>
        <w:t xml:space="preserve"> </w:t>
      </w:r>
      <w:r>
        <w:rPr>
          <w:rStyle w:val="VerbatimChar"/>
        </w:rPr>
        <w:t xml:space="preserve">0.0.0.0</w:t>
      </w:r>
      <w:r>
        <w:t xml:space="preserve">. Os hosts admitidos pelo Vite incluem</w:t>
      </w:r>
      <w:r>
        <w:t xml:space="preserve"> </w:t>
      </w:r>
      <w:r>
        <w:rPr>
          <w:rStyle w:val="VerbatimChar"/>
        </w:rPr>
        <w:t xml:space="preserve">.ai.studio</w:t>
      </w:r>
      <w:r>
        <w:t xml:space="preserve">,</w:t>
      </w:r>
      <w:r>
        <w:t xml:space="preserve"> </w:t>
      </w:r>
      <w:r>
        <w:rPr>
          <w:rStyle w:val="VerbatimChar"/>
        </w:rPr>
        <w:t xml:space="preserve">.run.app</w:t>
      </w:r>
      <w:r>
        <w:t xml:space="preserve">,</w:t>
      </w:r>
      <w:r>
        <w:t xml:space="preserve"> </w:t>
      </w:r>
      <w:r>
        <w:rPr>
          <w:rStyle w:val="VerbatimChar"/>
        </w:rPr>
        <w:t xml:space="preserve">localhost</w:t>
      </w:r>
      <w:r>
        <w:t xml:space="preserve"> </w:t>
      </w:r>
      <w:r>
        <w:t xml:space="preserve">e</w:t>
      </w:r>
      <w:r>
        <w:t xml:space="preserve"> </w:t>
      </w:r>
      <w:r>
        <w:rPr>
          <w:rStyle w:val="VerbatimChar"/>
        </w:rPr>
        <w:t xml:space="preserve">127.0.0.1</w:t>
      </w:r>
      <w:r>
        <w:t xml:space="preserve">. O alias</w:t>
      </w:r>
      <w:r>
        <w:t xml:space="preserve"> </w:t>
      </w:r>
      <w:r>
        <w:rPr>
          <w:rStyle w:val="VerbatimChar"/>
        </w:rPr>
        <w:t xml:space="preserve">@</w:t>
      </w:r>
      <w:r>
        <w:t xml:space="preserve"> </w:t>
      </w:r>
      <w:r>
        <w:t xml:space="preserve">aponta para a raiz do projeto, não exclusivamente para</w:t>
      </w:r>
      <w:r>
        <w:t xml:space="preserve"> </w:t>
      </w:r>
      <w:r>
        <w:rPr>
          <w:rStyle w:val="VerbatimChar"/>
        </w:rPr>
        <w:t xml:space="preserve">src</w:t>
      </w:r>
      <w:r>
        <w:t xml:space="preserve">.</w:t>
      </w:r>
    </w:p>
    <w:p>
      <w:pPr>
        <w:pStyle w:val="BodyText"/>
      </w:pPr>
      <w:r>
        <w:t xml:space="preserve">A configuração estática do Vite condiciona o HMR à variável</w:t>
      </w:r>
      <w:r>
        <w:t xml:space="preserve"> </w:t>
      </w:r>
      <w:r>
        <w:rPr>
          <w:rStyle w:val="VerbatimChar"/>
        </w:rPr>
        <w:t xml:space="preserve">DISABLE_HMR</w:t>
      </w:r>
      <w:r>
        <w:t xml:space="preserve">. Esse mecanismo atualiza módulos durante o desenvolvimento. Na produção,</w:t>
      </w:r>
      <w:r>
        <w:t xml:space="preserve"> </w:t>
      </w:r>
      <w:r>
        <w:rPr>
          <w:rStyle w:val="VerbatimChar"/>
        </w:rPr>
        <w:t xml:space="preserve">NODE_ENV=production</w:t>
      </w:r>
      <w:r>
        <w:t xml:space="preserve"> </w:t>
      </w:r>
      <w:r>
        <w:t xml:space="preserve">seleciona recursos compilados e a política de cabeçalhos correspondente; não carrega o middleware de desenvolvimento.</w:t>
      </w:r>
    </w:p>
    <w:p>
      <w:pPr>
        <w:pStyle w:val="BodyText"/>
      </w:pPr>
      <w:r>
        <w:t xml:space="preserve">O build gera o frontend e, depois, calcula SHA-384 dos arquivos locais referenciados pelas tags de recursos em</w:t>
      </w:r>
      <w:r>
        <w:t xml:space="preserve"> </w:t>
      </w:r>
      <w:r>
        <w:rPr>
          <w:rStyle w:val="VerbatimChar"/>
        </w:rPr>
        <w:t xml:space="preserve">dist/index.html</w:t>
      </w:r>
      <w:r>
        <w:t xml:space="preserve">. O injetor falha quando encontra referência a um recurso inexistente. A integridade das duas referências verificadas foi recalculada independentemente na evidência operacional desta revisão. Os módulos de páginas são carregados sob demanda pelo navegador, conforme a divisão de código produzida pelo Vite.</w:t>
      </w:r>
    </w:p>
    <w:p>
      <w:pPr>
        <w:pStyle w:val="BodyText"/>
      </w:pPr>
      <w:r>
        <w:t xml:space="preserve">Uma execução local de produção requer primeiro o build e, depois, o início do servidor com</w:t>
      </w:r>
      <w:r>
        <w:t xml:space="preserve"> </w:t>
      </w:r>
      <w:r>
        <w:rPr>
          <w:rStyle w:val="VerbatimChar"/>
        </w:rPr>
        <w:t xml:space="preserve">NODE_ENV</w:t>
      </w:r>
      <w:r>
        <w:t xml:space="preserve"> </w:t>
      </w:r>
      <w:r>
        <w:t xml:space="preserve">definido como</w:t>
      </w:r>
      <w:r>
        <w:t xml:space="preserve"> </w:t>
      </w:r>
      <w:r>
        <w:rPr>
          <w:rStyle w:val="VerbatimChar"/>
        </w:rPr>
        <w:t xml:space="preserve">production</w:t>
      </w:r>
      <w:r>
        <w:t xml:space="preserve">. Em shell POSIX, a forma correspondente é</w:t>
      </w:r>
      <w:r>
        <w:t xml:space="preserve"> </w:t>
      </w:r>
      <w:r>
        <w:rPr>
          <w:rStyle w:val="VerbatimChar"/>
        </w:rPr>
        <w:t xml:space="preserve">NODE_ENV=production npm start</w:t>
      </w:r>
      <w:r>
        <w:t xml:space="preserve">. O pacote compilado não substitui os arquivos TypeScript do backend: eles continuam necessários à execução do ponto de entrada. A rota de manifestos também consulta</w:t>
      </w:r>
      <w:r>
        <w:t xml:space="preserve"> </w:t>
      </w:r>
      <w:r>
        <w:rPr>
          <w:rStyle w:val="VerbatimChar"/>
        </w:rPr>
        <w:t xml:space="preserve">public/.well-known</w:t>
      </w:r>
      <w:r>
        <w:t xml:space="preserve"> </w:t>
      </w:r>
      <w:r>
        <w:t xml:space="preserve">no diretório de trabalho.</w:t>
      </w:r>
    </w:p>
    <w:p>
      <w:pPr>
        <w:pStyle w:val="CaptionedFigure"/>
        <w:keepNext/>
        <w:jc w:val="center"/>
      </w:pPr>
      <w:r>
        <w:drawing>
          <wp:inline>
            <wp:extent cx="4980687" cy="6480000"/>
            <wp:effectExtent b="0" l="0" r="0" t="0"/>
            <wp:docPr descr="Build, distribuição e encaminhamento das requisições" title="" id="84" name="Picture"/>
            <a:graphic>
              <a:graphicData uri="http://schemas.openxmlformats.org/drawingml/2006/picture">
                <pic:pic>
                  <pic:nvPicPr>
                    <pic:cNvPr descr="diagrams/04_entrega.png" id="85" name="Picture"/>
                    <pic:cNvPicPr>
                      <a:picLocks noChangeArrowheads="1" noChangeAspect="1"/>
                    </pic:cNvPicPr>
                  </pic:nvPicPr>
                  <pic:blipFill>
                    <a:blip r:embed="rId83"/>
                    <a:stretch>
                      <a:fillRect/>
                    </a:stretch>
                  </pic:blipFill>
                  <pic:spPr bwMode="auto">
                    <a:xfrm>
                      <a:off x="0" y="0"/>
                      <a:ext cx="4980687" cy="6480000"/>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4</w:t>
        <w:fldChar w:fldCharType="end"/>
      </w:r>
      <w:r>
        <w:t xml:space="preserve"> — Build, distribuição e encaminhamento das requisições.</w:t>
      </w:r>
    </w:p>
    <w:bookmarkEnd w:id="86"/>
    <w:bookmarkStart w:id="87" w:name="hospedagem-e-infraestrutura"/>
    <w:p>
      <w:pPr>
        <w:pStyle w:val="Heading2"/>
      </w:pPr>
      <w:bookmarkStart w:id="20049" w:name="docsec_050"/>
      <w:r>
        <w:t xml:space="preserve">Hospedagem e infraestrutura</w:t>
      </w:r>
      <w:bookmarkEnd w:id="20049"/>
    </w:p>
    <w:p>
      <w:pPr>
        <w:pStyle w:val="FirstParagraph"/>
      </w:pPr>
      <w:r>
        <w:t xml:space="preserve">O</w:t>
      </w:r>
      <w:r>
        <w:t xml:space="preserve"> </w:t>
      </w:r>
      <w:r>
        <w:rPr>
          <w:rStyle w:val="VerbatimChar"/>
        </w:rPr>
        <w:t xml:space="preserve">firebase.json</w:t>
      </w:r>
      <w:r>
        <w:t xml:space="preserve"> </w:t>
      </w:r>
      <w:r>
        <w:t xml:space="preserve">configura Firebase Hosting com diretório público</w:t>
      </w:r>
      <w:r>
        <w:t xml:space="preserve"> </w:t>
      </w:r>
      <w:r>
        <w:rPr>
          <w:rStyle w:val="VerbatimChar"/>
        </w:rPr>
        <w:t xml:space="preserve">dist</w:t>
      </w:r>
      <w:r>
        <w:t xml:space="preserve">. Requisições</w:t>
      </w:r>
      <w:r>
        <w:t xml:space="preserve"> </w:t>
      </w:r>
      <w:r>
        <w:rPr>
          <w:rStyle w:val="VerbatimChar"/>
        </w:rPr>
        <w:t xml:space="preserve">/api/**</w:t>
      </w:r>
      <w:r>
        <w:t xml:space="preserve"> </w:t>
      </w:r>
      <w:r>
        <w:t xml:space="preserve">são encaminhadas ao serviço Cloud Run</w:t>
      </w:r>
      <w:r>
        <w:t xml:space="preserve"> </w:t>
      </w:r>
      <w:r>
        <w:rPr>
          <w:rStyle w:val="VerbatimChar"/>
          <w:b/>
          <w:bCs/>
        </w:rPr>
        <w:t xml:space="preserve">asg-ods</w:t>
      </w:r>
      <w:r>
        <w:t xml:space="preserve">, na região</w:t>
      </w:r>
      <w:r>
        <w:t xml:space="preserve"> </w:t>
      </w:r>
      <w:r>
        <w:rPr>
          <w:rStyle w:val="VerbatimChar"/>
          <w:b/>
          <w:bCs/>
        </w:rPr>
        <w:t xml:space="preserve">southamerica-east1</w:t>
      </w:r>
      <w:r>
        <w:t xml:space="preserve">. O padrão geral restante entrega</w:t>
      </w:r>
      <w:r>
        <w:t xml:space="preserve"> </w:t>
      </w:r>
      <w:r>
        <w:rPr>
          <w:rStyle w:val="VerbatimChar"/>
        </w:rPr>
        <w:t xml:space="preserve">/index.html</w:t>
      </w:r>
      <w:r>
        <w:t xml:space="preserve">, permitindo a resolução das rotas da SPA pelo navegador. Há também entradas explícitas para manifestos, catálogos, sitemap, robots e</w:t>
      </w:r>
      <w:r>
        <w:t xml:space="preserve"> </w:t>
      </w:r>
      <w:r>
        <w:rPr>
          <w:rStyle w:val="VerbatimChar"/>
        </w:rPr>
        <w:t xml:space="preserve">llms.txt</w:t>
      </w:r>
      <w:r>
        <w:t xml:space="preserve">.</w:t>
      </w:r>
    </w:p>
    <w:p>
      <w:pPr>
        <w:pStyle w:val="BodyText"/>
      </w:pPr>
      <w:r>
        <w:t xml:space="preserve">A configuração de Firestore associa</w:t>
      </w:r>
      <w:r>
        <w:t xml:space="preserve"> </w:t>
      </w:r>
      <w:r>
        <w:rPr>
          <w:rStyle w:val="VerbatimChar"/>
        </w:rPr>
        <w:t xml:space="preserve">firestore.rules</w:t>
      </w:r>
      <w:r>
        <w:t xml:space="preserve"> </w:t>
      </w:r>
      <w:r>
        <w:t xml:space="preserve">ao banco nomeado</w:t>
      </w:r>
      <w:r>
        <w:t xml:space="preserve"> </w:t>
      </w:r>
      <w:r>
        <w:rPr>
          <w:rStyle w:val="VerbatimChar"/>
        </w:rPr>
        <w:t xml:space="preserve">ai-studio-componenteasgods-8ee576da-afbc-43cb-932c-778d3594fd2f</w:t>
      </w:r>
      <w:r>
        <w:t xml:space="preserve">;</w:t>
      </w:r>
      <w:r>
        <w:t xml:space="preserve"> </w:t>
      </w:r>
      <w:r>
        <w:rPr>
          <w:rStyle w:val="VerbatimChar"/>
        </w:rPr>
        <w:t xml:space="preserve">.firebaserc</w:t>
      </w:r>
      <w:r>
        <w:t xml:space="preserve"> </w:t>
      </w:r>
      <w:r>
        <w:t xml:space="preserve">aponta o projeto padrão para</w:t>
      </w:r>
      <w:r>
        <w:t xml:space="preserve"> </w:t>
      </w:r>
      <w:r>
        <w:rPr>
          <w:rStyle w:val="VerbatimChar"/>
        </w:rPr>
        <w:t xml:space="preserve">asg-ods</w:t>
      </w:r>
      <w:r>
        <w:t xml:space="preserve">. O arquivo de regras bloqueia leitura e escrita de clientes. O servidor utiliza Admin SDK e depende da identidade e das permissões IAM do ambiente, que constituem uma camada distinta dessas regras.</w:t>
      </w:r>
    </w:p>
    <w:p>
      <w:pPr>
        <w:pStyle w:val="BodyText"/>
      </w:pPr>
      <w:r>
        <w:t xml:space="preserve">Hosting e Express declaram cabeçalhos de entrega. A ponte</w:t>
      </w:r>
      <w:r>
        <w:t xml:space="preserve"> </w:t>
      </w:r>
      <w:r>
        <w:rPr>
          <w:rStyle w:val="VerbatimChar"/>
        </w:rPr>
        <w:t xml:space="preserve">/api/vlibras-unity</w:t>
      </w:r>
      <w:r>
        <w:t xml:space="preserve"> </w:t>
      </w:r>
      <w:r>
        <w:t xml:space="preserve">possui resposta e política próprias, necessárias à integração descrita no capítulo de controles técnicos. Em operação, manter frontend, API, ponte e configuração de cabeçalhos associados à mesma revisão evita combinar artefatos de origens diferentes.</w:t>
      </w:r>
    </w:p>
    <w:p>
      <w:pPr>
        <w:pStyle w:val="BodyText"/>
      </w:pPr>
      <w:r>
        <w:t xml:space="preserve">O responsável informou</w:t>
      </w:r>
      <w:r>
        <w:t xml:space="preserve"> </w:t>
      </w:r>
      <w:r>
        <w:rPr>
          <w:rStyle w:val="VerbatimChar"/>
        </w:rPr>
        <w:t xml:space="preserve">https://asg-ods.ai.studio/</w:t>
      </w:r>
      <w:r>
        <w:t xml:space="preserve"> </w:t>
      </w:r>
      <w:r>
        <w:t xml:space="preserve">como ambiente de desenvolvimento e</w:t>
      </w:r>
      <w:r>
        <w:t xml:space="preserve"> </w:t>
      </w:r>
      <w:r>
        <w:rPr>
          <w:rStyle w:val="VerbatimChar"/>
        </w:rPr>
        <w:t xml:space="preserve">https://asg.ods.crasp.org.br/</w:t>
      </w:r>
      <w:r>
        <w:t xml:space="preserve"> </w:t>
      </w:r>
      <w:r>
        <w:t xml:space="preserve">como endereço final. Esses endereços identificam o contexto do projeto. A equipe declarou a implantação das regras no Firebase; esta documentação distingue essa informação da configuração versionada e das respostas locais verificadas. Não há, no conjunto examinado, Dockerfile, pipeline GitHub Actions ou arquivo Cloud Build que descreva toda a publicação do serviço Cloud Run.</w:t>
      </w:r>
    </w:p>
    <w:bookmarkEnd w:id="87"/>
    <w:bookmarkStart w:id="88" w:name="variáveis-e-credenciais"/>
    <w:p>
      <w:pPr>
        <w:pStyle w:val="Heading2"/>
      </w:pPr>
      <w:bookmarkStart w:id="20050" w:name="docsec_051"/>
      <w:r>
        <w:t xml:space="preserve">Variáveis e credenciais</w:t>
      </w:r>
      <w:bookmarkEnd w:id="20050"/>
    </w:p>
    <w:p>
      <w:pPr>
        <w:pStyle w:val="FirstParagraph"/>
      </w:pPr>
      <w:r>
        <w:t xml:space="preserve">O servidor lê variáveis do processo. Não há carregamento explícito de</w:t>
      </w:r>
      <w:r>
        <w:t xml:space="preserve"> </w:t>
      </w:r>
      <w:r>
        <w:rPr>
          <w:rStyle w:val="VerbatimChar"/>
        </w:rPr>
        <w:t xml:space="preserve">.env</w:t>
      </w:r>
      <w:r>
        <w:t xml:space="preserve"> </w:t>
      </w:r>
      <w:r>
        <w:t xml:space="preserve">por</w:t>
      </w:r>
      <w:r>
        <w:t xml:space="preserve"> </w:t>
      </w:r>
      <w:r>
        <w:rPr>
          <w:rStyle w:val="VerbatimChar"/>
        </w:rPr>
        <w:t xml:space="preserve">dotenv</w:t>
      </w:r>
      <w:r>
        <w:t xml:space="preserve"> </w:t>
      </w:r>
      <w:r>
        <w:t xml:space="preserve">ou mecanismo equivalente no código de autoria. Um arquivo local com valores, por si só, não demonstra que o processo os recebeu: a plataforma ou a forma de execução precisa fornecê-los.</w:t>
      </w:r>
    </w:p>
    <w:p>
      <w:pPr>
        <w:pStyle w:val="TableCaption"/>
        <w:keepNext/>
      </w:pPr>
      <w:r>
        <w:t xml:space="preserve">Tabela </w:t>
      </w:r>
      <w:r>
        <w:rPr>
          <w:rFonts w:ascii="Open Sans" w:hAnsi="Open Sans"/>
          <w:sz w:val="18"/>
        </w:rPr>
        <w:fldChar w:fldCharType="begin"/>
        <w:instrText xml:space="preserve"> SEQ Tabela </w:instrText>
        <w:fldChar w:fldCharType="separate"/>
        <w:t>27</w:t>
        <w:fldChar w:fldCharType="end"/>
      </w:r>
      <w:r>
        <w:t xml:space="preserve"> — Variáveis e credenciais.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Variável consumida</w:t>
            </w:r>
          </w:p>
        </w:tc>
        <w:tc>
          <w:tcPr>
            <w:tcW w:type="dxa" w:w="3048"/>
            <w:vAlign w:val="top"/>
            <w:shd w:fill="233B82"/>
          </w:tcPr>
          <w:p>
            <w:pPr>
              <w:pStyle w:val="Compact"/>
              <w:spacing w:before="40" w:after="60" w:line="247" w:lineRule="auto"/>
              <w:jc w:val="left"/>
            </w:pPr>
            <w:r>
              <w:rPr>
                <w:b/>
                <w:color w:val="FFFFFF"/>
                <w:sz w:val="18"/>
              </w:rPr>
              <w:t xml:space="preserve">Local de leitura</w:t>
            </w:r>
          </w:p>
        </w:tc>
        <w:tc>
          <w:tcPr>
            <w:tcW w:type="dxa" w:w="4286"/>
            <w:vAlign w:val="top"/>
            <w:shd w:fill="233B82"/>
          </w:tcPr>
          <w:p>
            <w:pPr>
              <w:pStyle w:val="Compact"/>
              <w:spacing w:before="40" w:after="60" w:line="247" w:lineRule="auto"/>
              <w:jc w:val="left"/>
            </w:pPr>
            <w:r>
              <w:rPr>
                <w:b/>
                <w:color w:val="FFFFFF"/>
                <w:sz w:val="18"/>
              </w:rPr>
              <w:t xml:space="preserve">Função e condição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NODE_ENV</w:t>
            </w:r>
          </w:p>
        </w:tc>
        <w:tc>
          <w:tcPr>
            <w:tcW w:type="dxa" w:w="3048"/>
            <w:vAlign w:val="top"/>
            <w:shd w:fill="FFFFFF"/>
          </w:tcPr>
          <w:p>
            <w:pPr>
              <w:pStyle w:val="Compact"/>
              <w:spacing w:before="40" w:after="60" w:line="247" w:lineRule="auto"/>
              <w:jc w:val="left"/>
            </w:pPr>
            <w:r>
              <w:rPr>
                <w:rStyle w:val="VerbatimChar"/>
                <w:sz w:val="17"/>
              </w:rPr>
              <w:t xml:space="preserve">server.ts</w:t>
            </w:r>
            <w:r>
              <w:rPr>
                <w:sz w:val="18"/>
              </w:rPr>
              <w:t xml:space="preserve">, cabeçalhos e injetor SRI</w:t>
            </w:r>
          </w:p>
        </w:tc>
        <w:tc>
          <w:tcPr>
            <w:tcW w:type="dxa" w:w="4286"/>
            <w:vAlign w:val="top"/>
            <w:shd w:fill="FFFFFF"/>
          </w:tcPr>
          <w:p>
            <w:pPr>
              <w:pStyle w:val="Compact"/>
              <w:spacing w:before="40" w:after="60" w:line="247" w:lineRule="auto"/>
              <w:jc w:val="left"/>
            </w:pPr>
            <w:r>
              <w:rPr>
                <w:sz w:val="18"/>
              </w:rPr>
              <w:t xml:space="preserve">Seleciona produção;</w:t>
            </w:r>
            <w:r>
              <w:rPr>
                <w:sz w:val="18"/>
              </w:rPr>
              <w:t xml:space="preserve"> </w:t>
            </w:r>
            <w:r>
              <w:rPr>
                <w:rStyle w:val="VerbatimChar"/>
                <w:sz w:val="17"/>
              </w:rPr>
              <w:t xml:space="preserve">test</w:t>
            </w:r>
            <w:r>
              <w:rPr>
                <w:sz w:val="18"/>
              </w:rPr>
              <w:t xml:space="preserve"> </w:t>
            </w:r>
            <w:r>
              <w:rPr>
                <w:sz w:val="18"/>
              </w:rPr>
              <w:t xml:space="preserve">evita o início automático do servidor.</w:t>
            </w:r>
          </w:p>
        </w:tc>
      </w:tr>
      <w:tr>
        <w:trPr>
          <w:cantSplit/>
        </w:trPr>
        <w:tc>
          <w:tcPr>
            <w:tcW w:type="dxa" w:w="2191"/>
            <w:vAlign w:val="top"/>
            <w:shd w:fill="F5F8FC"/>
          </w:tcPr>
          <w:p>
            <w:pPr>
              <w:pStyle w:val="Compact"/>
              <w:spacing w:before="40" w:after="60" w:line="247" w:lineRule="auto"/>
              <w:jc w:val="left"/>
            </w:pPr>
            <w:r>
              <w:rPr>
                <w:rStyle w:val="VerbatimChar"/>
                <w:sz w:val="17"/>
              </w:rPr>
              <w:t xml:space="preserve">PORT</w:t>
            </w:r>
          </w:p>
        </w:tc>
        <w:tc>
          <w:tcPr>
            <w:tcW w:type="dxa" w:w="3048"/>
            <w:vAlign w:val="top"/>
            <w:shd w:fill="F5F8FC"/>
          </w:tcPr>
          <w:p>
            <w:pPr>
              <w:pStyle w:val="Compact"/>
              <w:spacing w:before="40" w:after="60" w:line="247" w:lineRule="auto"/>
              <w:jc w:val="left"/>
            </w:pPr>
            <w:r>
              <w:rPr>
                <w:rStyle w:val="VerbatimChar"/>
                <w:sz w:val="17"/>
              </w:rPr>
              <w:t xml:space="preserve">server.ts</w:t>
            </w:r>
          </w:p>
        </w:tc>
        <w:tc>
          <w:tcPr>
            <w:tcW w:type="dxa" w:w="4286"/>
            <w:vAlign w:val="top"/>
            <w:shd w:fill="F5F8FC"/>
          </w:tcPr>
          <w:p>
            <w:pPr>
              <w:pStyle w:val="Compact"/>
              <w:spacing w:before="40" w:after="60" w:line="247" w:lineRule="auto"/>
              <w:jc w:val="left"/>
            </w:pPr>
            <w:r>
              <w:rPr>
                <w:sz w:val="18"/>
              </w:rPr>
              <w:t xml:space="preserve">Define a porta; padrão 3000.</w:t>
            </w:r>
          </w:p>
        </w:tc>
      </w:tr>
      <w:tr>
        <w:trPr>
          <w:cantSplit/>
        </w:trPr>
        <w:tc>
          <w:tcPr>
            <w:tcW w:type="dxa" w:w="2191"/>
            <w:vAlign w:val="top"/>
            <w:shd w:fill="FFFFFF"/>
          </w:tcPr>
          <w:p>
            <w:pPr>
              <w:pStyle w:val="Compact"/>
              <w:spacing w:before="40" w:after="60" w:line="247" w:lineRule="auto"/>
              <w:jc w:val="left"/>
            </w:pPr>
            <w:r>
              <w:rPr>
                <w:rStyle w:val="VerbatimChar"/>
                <w:sz w:val="17"/>
              </w:rPr>
              <w:t xml:space="preserve">DISABLE_HMR</w:t>
            </w:r>
          </w:p>
        </w:tc>
        <w:tc>
          <w:tcPr>
            <w:tcW w:type="dxa" w:w="3048"/>
            <w:vAlign w:val="top"/>
            <w:shd w:fill="FFFFFF"/>
          </w:tcPr>
          <w:p>
            <w:pPr>
              <w:pStyle w:val="Compact"/>
              <w:spacing w:before="40" w:after="60" w:line="247" w:lineRule="auto"/>
              <w:jc w:val="left"/>
            </w:pPr>
            <w:r>
              <w:rPr>
                <w:rStyle w:val="VerbatimChar"/>
                <w:sz w:val="17"/>
              </w:rPr>
              <w:t xml:space="preserve">vite.config.ts</w:t>
            </w:r>
          </w:p>
        </w:tc>
        <w:tc>
          <w:tcPr>
            <w:tcW w:type="dxa" w:w="4286"/>
            <w:vAlign w:val="top"/>
            <w:shd w:fill="FFFFFF"/>
          </w:tcPr>
          <w:p>
            <w:pPr>
              <w:pStyle w:val="Compact"/>
              <w:spacing w:before="40" w:after="60" w:line="247" w:lineRule="auto"/>
              <w:jc w:val="left"/>
            </w:pPr>
            <w:r>
              <w:rPr>
                <w:sz w:val="18"/>
              </w:rPr>
              <w:t xml:space="preserve">O valor textual</w:t>
            </w:r>
            <w:r>
              <w:rPr>
                <w:sz w:val="18"/>
              </w:rPr>
              <w:t xml:space="preserve"> </w:t>
            </w:r>
            <w:r>
              <w:rPr>
                <w:rStyle w:val="VerbatimChar"/>
                <w:sz w:val="17"/>
              </w:rPr>
              <w:t xml:space="preserve">true</w:t>
            </w:r>
            <w:r>
              <w:rPr>
                <w:sz w:val="18"/>
              </w:rPr>
              <w:t xml:space="preserve"> </w:t>
            </w:r>
            <w:r>
              <w:rPr>
                <w:sz w:val="18"/>
              </w:rPr>
              <w:t xml:space="preserve">desativa HMR nessa configuração.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FIREBASE_PROJECT_ID</w:t>
            </w:r>
          </w:p>
        </w:tc>
        <w:tc>
          <w:tcPr>
            <w:tcW w:type="dxa" w:w="3048"/>
            <w:vAlign w:val="top"/>
            <w:shd w:fill="F5F8FC"/>
          </w:tcPr>
          <w:p>
            <w:pPr>
              <w:pStyle w:val="Compact"/>
              <w:spacing w:before="40" w:after="60" w:line="247" w:lineRule="auto"/>
              <w:jc w:val="left"/>
            </w:pPr>
            <w:r>
              <w:rPr>
                <w:rStyle w:val="VerbatimChar"/>
                <w:sz w:val="17"/>
              </w:rPr>
              <w:t xml:space="preserve">firestoreClient.ts</w:t>
            </w:r>
          </w:p>
        </w:tc>
        <w:tc>
          <w:tcPr>
            <w:tcW w:type="dxa" w:w="4286"/>
            <w:vAlign w:val="top"/>
            <w:shd w:fill="F5F8FC"/>
          </w:tcPr>
          <w:p>
            <w:pPr>
              <w:pStyle w:val="Compact"/>
              <w:spacing w:before="40" w:after="60" w:line="247" w:lineRule="auto"/>
              <w:jc w:val="left"/>
            </w:pPr>
            <w:r>
              <w:rPr>
                <w:sz w:val="18"/>
              </w:rPr>
              <w:t xml:space="preserve">Precede o projeto do arquivo de configuração; fallback final</w:t>
            </w:r>
            <w:r>
              <w:rPr>
                <w:sz w:val="18"/>
              </w:rPr>
              <w:t xml:space="preserve"> </w:t>
            </w:r>
            <w:r>
              <w:rPr>
                <w:rStyle w:val="VerbatimChar"/>
                <w:sz w:val="17"/>
              </w:rPr>
              <w:t xml:space="preserve">asg-ods</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FIRESTORE_DATABASE_ID</w:t>
            </w:r>
          </w:p>
        </w:tc>
        <w:tc>
          <w:tcPr>
            <w:tcW w:type="dxa" w:w="3048"/>
            <w:vAlign w:val="top"/>
            <w:shd w:fill="FFFFFF"/>
          </w:tcPr>
          <w:p>
            <w:pPr>
              <w:pStyle w:val="Compact"/>
              <w:spacing w:before="40" w:after="60" w:line="247" w:lineRule="auto"/>
              <w:jc w:val="left"/>
            </w:pPr>
            <w:r>
              <w:rPr>
                <w:rStyle w:val="VerbatimChar"/>
                <w:sz w:val="17"/>
              </w:rPr>
              <w:t xml:space="preserve">firestoreClient.ts</w:t>
            </w:r>
          </w:p>
        </w:tc>
        <w:tc>
          <w:tcPr>
            <w:tcW w:type="dxa" w:w="4286"/>
            <w:vAlign w:val="top"/>
            <w:shd w:fill="FFFFFF"/>
          </w:tcPr>
          <w:p>
            <w:pPr>
              <w:pStyle w:val="Compact"/>
              <w:spacing w:before="40" w:after="60" w:line="247" w:lineRule="auto"/>
              <w:jc w:val="left"/>
            </w:pPr>
            <w:r>
              <w:rPr>
                <w:sz w:val="18"/>
              </w:rPr>
              <w:t xml:space="preserve">Um valor não vazio e diferente de</w:t>
            </w:r>
            <w:r>
              <w:rPr>
                <w:sz w:val="18"/>
              </w:rPr>
              <w:t xml:space="preserve"> </w:t>
            </w:r>
            <w:r>
              <w:rPr>
                <w:rStyle w:val="VerbatimChar"/>
                <w:sz w:val="17"/>
              </w:rPr>
              <w:t xml:space="preserve">(default)</w:t>
            </w:r>
            <w:r>
              <w:rPr>
                <w:sz w:val="18"/>
              </w:rPr>
              <w:t xml:space="preserve"> </w:t>
            </w:r>
            <w:r>
              <w:rPr>
                <w:sz w:val="18"/>
              </w:rPr>
              <w:t xml:space="preserve">precede o banco nomeado do arquivo.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HMAC_PEPPER_KEY</w:t>
            </w:r>
          </w:p>
        </w:tc>
        <w:tc>
          <w:tcPr>
            <w:tcW w:type="dxa" w:w="3048"/>
            <w:vAlign w:val="top"/>
            <w:shd w:fill="F5F8FC"/>
          </w:tcPr>
          <w:p>
            <w:pPr>
              <w:pStyle w:val="Compact"/>
              <w:spacing w:before="40" w:after="60" w:line="247" w:lineRule="auto"/>
              <w:jc w:val="left"/>
            </w:pPr>
            <w:r>
              <w:rPr>
                <w:rStyle w:val="VerbatimChar"/>
                <w:sz w:val="17"/>
              </w:rPr>
              <w:t xml:space="preserve">leadBucketService.ts</w:t>
            </w:r>
          </w:p>
        </w:tc>
        <w:tc>
          <w:tcPr>
            <w:tcW w:type="dxa" w:w="4286"/>
            <w:vAlign w:val="top"/>
            <w:shd w:fill="F5F8FC"/>
          </w:tcPr>
          <w:p>
            <w:pPr>
              <w:pStyle w:val="Compact"/>
              <w:spacing w:before="40" w:after="60" w:line="247" w:lineRule="auto"/>
              <w:jc w:val="left"/>
            </w:pPr>
            <w:r>
              <w:rPr>
                <w:sz w:val="18"/>
              </w:rPr>
              <w:t xml:space="preserve">Segredo exigido para produzir o índice HMAC do e-mail.</w:t>
            </w:r>
          </w:p>
        </w:tc>
      </w:tr>
      <w:tr>
        <w:trPr>
          <w:cantSplit/>
        </w:trPr>
        <w:tc>
          <w:tcPr>
            <w:tcW w:type="dxa" w:w="2191"/>
            <w:vAlign w:val="top"/>
            <w:shd w:fill="FFFFFF"/>
          </w:tcPr>
          <w:p>
            <w:pPr>
              <w:pStyle w:val="Compact"/>
              <w:spacing w:before="40" w:after="60" w:line="247" w:lineRule="auto"/>
              <w:jc w:val="left"/>
            </w:pPr>
            <w:r>
              <w:rPr>
                <w:rStyle w:val="VerbatimChar"/>
                <w:sz w:val="17"/>
              </w:rPr>
              <w:t xml:space="preserve">VAULT_ENCRYPTION_KEY</w:t>
            </w:r>
          </w:p>
        </w:tc>
        <w:tc>
          <w:tcPr>
            <w:tcW w:type="dxa" w:w="3048"/>
            <w:vAlign w:val="top"/>
            <w:shd w:fill="FFFFFF"/>
          </w:tcPr>
          <w:p>
            <w:pPr>
              <w:pStyle w:val="Compact"/>
              <w:spacing w:before="40" w:after="60" w:line="247" w:lineRule="auto"/>
              <w:jc w:val="left"/>
            </w:pPr>
            <w:r>
              <w:rPr>
                <w:rStyle w:val="VerbatimChar"/>
                <w:sz w:val="17"/>
              </w:rPr>
              <w:t xml:space="preserve">vaultService.ts</w:t>
            </w:r>
          </w:p>
        </w:tc>
        <w:tc>
          <w:tcPr>
            <w:tcW w:type="dxa" w:w="4286"/>
            <w:vAlign w:val="top"/>
            <w:shd w:fill="FFFFFF"/>
          </w:tcPr>
          <w:p>
            <w:pPr>
              <w:pStyle w:val="Compact"/>
              <w:spacing w:before="40" w:after="60" w:line="247" w:lineRule="auto"/>
              <w:jc w:val="left"/>
            </w:pPr>
            <w:r>
              <w:rPr>
                <w:sz w:val="18"/>
              </w:rPr>
              <w:t xml:space="preserve">Segredo exigido pela cifragem e decifragem do cofre.</w:t>
            </w:r>
          </w:p>
        </w:tc>
      </w:tr>
    </w:tbl>
    <w:p>
      <w:pPr>
        <w:pStyle w:val="BodyText"/>
      </w:pPr>
      <w:r>
        <w:t xml:space="preserve">A resolução do banco merece leitura precisa:</w:t>
      </w:r>
      <w:r>
        <w:t xml:space="preserve"> </w:t>
      </w:r>
      <w:r>
        <w:rPr>
          <w:rStyle w:val="VerbatimChar"/>
        </w:rPr>
        <w:t xml:space="preserve">FIRESTORE_DATABASE_ID=(default)</w:t>
      </w:r>
      <w:r>
        <w:t xml:space="preserve"> </w:t>
      </w:r>
      <w:r>
        <w:t xml:space="preserve">não força o banco padrão quando o arquivo contém um banco nomeado; nesse caso, o código prossegue para o valor do arquivo. Se nenhuma dessas fontes fornece banco nomeado, utiliza a seleção padrão do Admin SDK. O arquivo consultado é</w:t>
      </w:r>
      <w:r>
        <w:t xml:space="preserve"> </w:t>
      </w:r>
      <w:r>
        <w:rPr>
          <w:rStyle w:val="VerbatimChar"/>
        </w:rPr>
        <w:t xml:space="preserve">firebase-applet-config.json</w:t>
      </w:r>
      <w:r>
        <w:t xml:space="preserve">, relativo ao diretório de execução.</w:t>
      </w:r>
    </w:p>
    <w:p>
      <w:pPr>
        <w:pStyle w:val="BodyText"/>
      </w:pPr>
      <w:r>
        <w:rPr>
          <w:rStyle w:val="VerbatimChar"/>
        </w:rPr>
        <w:t xml:space="preserve">.env.example</w:t>
      </w:r>
      <w:r>
        <w:t xml:space="preserve"> </w:t>
      </w:r>
      <w:r>
        <w:t xml:space="preserve">também exemplifica</w:t>
      </w:r>
      <w:r>
        <w:t xml:space="preserve"> </w:t>
      </w:r>
      <w:r>
        <w:rPr>
          <w:rStyle w:val="VerbatimChar"/>
        </w:rPr>
        <w:t xml:space="preserve">APP_URL</w:t>
      </w:r>
      <w:r>
        <w:t xml:space="preserve">,</w:t>
      </w:r>
      <w:r>
        <w:t xml:space="preserve"> </w:t>
      </w:r>
      <w:r>
        <w:rPr>
          <w:rStyle w:val="VerbatimChar"/>
        </w:rPr>
        <w:t xml:space="preserve">FIREBASE_API_KEY</w:t>
      </w:r>
      <w:r>
        <w:t xml:space="preserve">,</w:t>
      </w:r>
      <w:r>
        <w:t xml:space="preserve"> </w:t>
      </w:r>
      <w:r>
        <w:rPr>
          <w:rStyle w:val="VerbatimChar"/>
        </w:rPr>
        <w:t xml:space="preserve">FIREBASE_AUTH_DOMAIN</w:t>
      </w:r>
      <w:r>
        <w:t xml:space="preserve">,</w:t>
      </w:r>
      <w:r>
        <w:t xml:space="preserve"> </w:t>
      </w:r>
      <w:r>
        <w:rPr>
          <w:rStyle w:val="VerbatimChar"/>
        </w:rPr>
        <w:t xml:space="preserve">FIREBASE_STORAGE_BUCKET</w:t>
      </w:r>
      <w:r>
        <w:t xml:space="preserve">,</w:t>
      </w:r>
      <w:r>
        <w:t xml:space="preserve"> </w:t>
      </w:r>
      <w:r>
        <w:rPr>
          <w:rStyle w:val="VerbatimChar"/>
        </w:rPr>
        <w:t xml:space="preserve">FIREBASE_MESSAGING_SENDER_ID</w:t>
      </w:r>
      <w:r>
        <w:t xml:space="preserve"> </w:t>
      </w:r>
      <w:r>
        <w:t xml:space="preserve">e</w:t>
      </w:r>
      <w:r>
        <w:t xml:space="preserve"> </w:t>
      </w:r>
      <w:r>
        <w:rPr>
          <w:rStyle w:val="VerbatimChar"/>
        </w:rPr>
        <w:t xml:space="preserve">FIREBASE_APP_ID</w:t>
      </w:r>
      <w:r>
        <w:t xml:space="preserve">. Na revisão documentada, esses nomes não são consumidos diretamente pelo código de autoria. A presença no exemplo não os torna requisitos de inicialização do backend atual.</w:t>
      </w:r>
    </w:p>
    <w:p>
      <w:pPr>
        <w:pStyle w:val="BodyText"/>
      </w:pPr>
      <w:r>
        <w:t xml:space="preserve">A inicialização usa</w:t>
      </w:r>
      <w:r>
        <w:t xml:space="preserve"> </w:t>
      </w:r>
      <w:r>
        <w:rPr>
          <w:rStyle w:val="VerbatimChar"/>
        </w:rPr>
        <w:t xml:space="preserve">initializeApp({ projectId })</w:t>
      </w:r>
      <w:r>
        <w:t xml:space="preserve">, com credenciais padrão do ambiente. Chaves privadas não são fornecidas neste documento. A identidade efetiva, seus papéis IAM e os valores dos dois segredos dependem da administração da plataforma. Não existe procedimento automático de rotação ou migração de segredos no código recebido; sua alteração deve considerar os registros cifrados e os índices já existentes.</w:t>
      </w:r>
    </w:p>
    <w:bookmarkEnd w:id="88"/>
    <w:bookmarkStart w:id="89" w:name="organização-dos-testes"/>
    <w:p>
      <w:pPr>
        <w:pStyle w:val="Heading2"/>
      </w:pPr>
      <w:bookmarkStart w:id="20051" w:name="docsec_052"/>
      <w:r>
        <w:t xml:space="preserve">Organização dos testes</w:t>
      </w:r>
      <w:bookmarkEnd w:id="20051"/>
    </w:p>
    <w:p>
      <w:pPr>
        <w:pStyle w:val="FirstParagraph"/>
      </w:pPr>
      <w:r>
        <w:t xml:space="preserve">A suíte usa Vitest; Supertest exercita o aplicativo Express em memória. Os quatro arquivos têm responsabilidades distintas:</w:t>
      </w:r>
    </w:p>
    <w:p>
      <w:pPr>
        <w:pStyle w:val="TableCaption"/>
        <w:keepNext/>
      </w:pPr>
      <w:r>
        <w:t xml:space="preserve">Tabela </w:t>
      </w:r>
      <w:r>
        <w:rPr>
          <w:rFonts w:ascii="Open Sans" w:hAnsi="Open Sans"/>
          <w:sz w:val="18"/>
        </w:rPr>
        <w:fldChar w:fldCharType="begin"/>
        <w:instrText xml:space="preserve"> SEQ Tabela </w:instrText>
        <w:fldChar w:fldCharType="separate"/>
        <w:t>28</w:t>
        <w:fldChar w:fldCharType="end"/>
      </w:r>
      <w:r>
        <w:t xml:space="preserve"> — Organização dos testes.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Arquivo</w:t>
            </w:r>
          </w:p>
        </w:tc>
        <w:tc>
          <w:tcPr>
            <w:tcW w:type="dxa" w:w="3048"/>
            <w:vAlign w:val="top"/>
            <w:shd w:fill="233B82"/>
          </w:tcPr>
          <w:p>
            <w:pPr>
              <w:pStyle w:val="Compact"/>
              <w:spacing w:before="40" w:after="60" w:line="247" w:lineRule="auto"/>
              <w:jc w:val="left"/>
            </w:pPr>
            <w:r>
              <w:rPr>
                <w:b/>
                <w:color w:val="FFFFFF"/>
                <w:sz w:val="18"/>
              </w:rPr>
              <w:t xml:space="preserve">Cobertura implementada</w:t>
            </w:r>
          </w:p>
        </w:tc>
        <w:tc>
          <w:tcPr>
            <w:tcW w:type="dxa" w:w="4286"/>
            <w:vAlign w:val="top"/>
            <w:shd w:fill="233B82"/>
          </w:tcPr>
          <w:p>
            <w:pPr>
              <w:pStyle w:val="Compact"/>
              <w:spacing w:before="40" w:after="60" w:line="247" w:lineRule="auto"/>
              <w:jc w:val="left"/>
            </w:pPr>
            <w:r>
              <w:rPr>
                <w:b/>
                <w:color w:val="FFFFFF"/>
                <w:sz w:val="18"/>
              </w:rPr>
              <w:t xml:space="preserve">Alcance real</w:t>
            </w:r>
          </w:p>
        </w:tc>
      </w:tr>
      <w:tr>
        <w:trPr>
          <w:cantSplit/>
        </w:trPr>
        <w:tc>
          <w:tcPr>
            <w:tcW w:type="dxa" w:w="2191"/>
            <w:vAlign w:val="top"/>
            <w:shd w:fill="FFFFFF"/>
          </w:tcPr>
          <w:p>
            <w:pPr>
              <w:pStyle w:val="Compact"/>
              <w:spacing w:before="40" w:after="60" w:line="247" w:lineRule="auto"/>
              <w:jc w:val="left"/>
            </w:pPr>
            <w:r>
              <w:rPr>
                <w:rStyle w:val="VerbatimChar"/>
                <w:sz w:val="17"/>
              </w:rPr>
              <w:t xml:space="preserve">tests/leads.test.ts</w:t>
            </w:r>
          </w:p>
        </w:tc>
        <w:tc>
          <w:tcPr>
            <w:tcW w:type="dxa" w:w="3048"/>
            <w:vAlign w:val="top"/>
            <w:shd w:fill="FFFFFF"/>
          </w:tcPr>
          <w:p>
            <w:pPr>
              <w:pStyle w:val="Compact"/>
              <w:spacing w:before="40" w:after="60" w:line="247" w:lineRule="auto"/>
              <w:jc w:val="left"/>
            </w:pPr>
            <w:r>
              <w:rPr>
                <w:sz w:val="18"/>
              </w:rPr>
              <w:t xml:space="preserve">Schema, cliente HTTP, erros, limites, buckets e cabeçalhos</w:t>
            </w:r>
          </w:p>
        </w:tc>
        <w:tc>
          <w:tcPr>
            <w:tcW w:type="dxa" w:w="4286"/>
            <w:vAlign w:val="top"/>
            <w:shd w:fill="FFFFFF"/>
          </w:tcPr>
          <w:p>
            <w:pPr>
              <w:pStyle w:val="Compact"/>
              <w:spacing w:before="40" w:after="60" w:line="247" w:lineRule="auto"/>
              <w:jc w:val="left"/>
            </w:pPr>
            <w:r>
              <w:rPr>
                <w:sz w:val="18"/>
              </w:rPr>
              <w:t xml:space="preserve">Combina funções reais, requisições locais e respostas</w:t>
            </w:r>
            <w:r>
              <w:rPr>
                <w:sz w:val="18"/>
              </w:rPr>
              <w:t xml:space="preserve"> </w:t>
            </w:r>
            <w:r>
              <w:rPr>
                <w:rStyle w:val="VerbatimChar"/>
                <w:sz w:val="17"/>
              </w:rPr>
              <w:t xml:space="preserve">fetch</w:t>
            </w:r>
            <w:r>
              <w:rPr>
                <w:sz w:val="18"/>
              </w:rPr>
              <w:t xml:space="preserve"> </w:t>
            </w:r>
            <w:r>
              <w:rPr>
                <w:sz w:val="18"/>
              </w:rPr>
              <w:t xml:space="preserve">simuladas.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tests/vault.test.ts</w:t>
            </w:r>
          </w:p>
        </w:tc>
        <w:tc>
          <w:tcPr>
            <w:tcW w:type="dxa" w:w="3048"/>
            <w:vAlign w:val="top"/>
            <w:shd w:fill="F5F8FC"/>
          </w:tcPr>
          <w:p>
            <w:pPr>
              <w:pStyle w:val="Compact"/>
              <w:spacing w:before="40" w:after="60" w:line="247" w:lineRule="auto"/>
              <w:jc w:val="left"/>
            </w:pPr>
            <w:r>
              <w:rPr>
                <w:sz w:val="18"/>
              </w:rPr>
              <w:t xml:space="preserve">Ausência de segredos, AES-GCM, HMAC e segregação de dados</w:t>
            </w:r>
          </w:p>
        </w:tc>
        <w:tc>
          <w:tcPr>
            <w:tcW w:type="dxa" w:w="4286"/>
            <w:vAlign w:val="top"/>
            <w:shd w:fill="F5F8FC"/>
          </w:tcPr>
          <w:p>
            <w:pPr>
              <w:pStyle w:val="Compact"/>
              <w:spacing w:before="40" w:after="60" w:line="247" w:lineRule="auto"/>
              <w:jc w:val="left"/>
            </w:pPr>
            <w:r>
              <w:rPr>
                <w:sz w:val="18"/>
              </w:rPr>
              <w:t xml:space="preserve">Executa criptografia com valores exclusivos de teste.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tests/firestore-rules.test.ts</w:t>
            </w:r>
          </w:p>
        </w:tc>
        <w:tc>
          <w:tcPr>
            <w:tcW w:type="dxa" w:w="3048"/>
            <w:vAlign w:val="top"/>
            <w:shd w:fill="FFFFFF"/>
          </w:tcPr>
          <w:p>
            <w:pPr>
              <w:pStyle w:val="Compact"/>
              <w:spacing w:before="40" w:after="60" w:line="247" w:lineRule="auto"/>
              <w:jc w:val="left"/>
            </w:pPr>
            <w:r>
              <w:rPr>
                <w:sz w:val="18"/>
              </w:rPr>
              <w:t xml:space="preserve">Bloqueio textual das regras, precedência e CSP</w:t>
            </w:r>
          </w:p>
        </w:tc>
        <w:tc>
          <w:tcPr>
            <w:tcW w:type="dxa" w:w="4286"/>
            <w:vAlign w:val="top"/>
            <w:shd w:fill="FFFFFF"/>
          </w:tcPr>
          <w:p>
            <w:pPr>
              <w:pStyle w:val="Compact"/>
              <w:spacing w:before="40" w:after="60" w:line="247" w:lineRule="auto"/>
              <w:jc w:val="left"/>
            </w:pPr>
            <w:r>
              <w:rPr>
                <w:sz w:val="18"/>
              </w:rPr>
              <w:t xml:space="preserve">Inspeciona fontes e funções; não implanta regras.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tests/check-metrics.test.ts</w:t>
            </w:r>
          </w:p>
        </w:tc>
        <w:tc>
          <w:tcPr>
            <w:tcW w:type="dxa" w:w="3048"/>
            <w:vAlign w:val="top"/>
            <w:shd w:fill="F5F8FC"/>
          </w:tcPr>
          <w:p>
            <w:pPr>
              <w:pStyle w:val="Compact"/>
              <w:spacing w:before="40" w:after="60" w:line="247" w:lineRule="auto"/>
              <w:jc w:val="left"/>
            </w:pPr>
            <w:r>
              <w:rPr>
                <w:sz w:val="18"/>
              </w:rPr>
              <w:t xml:space="preserve">Classificação AST, complexidades, contagem e limites</w:t>
            </w:r>
          </w:p>
        </w:tc>
        <w:tc>
          <w:tcPr>
            <w:tcW w:type="dxa" w:w="4286"/>
            <w:vAlign w:val="top"/>
            <w:shd w:fill="F5F8FC"/>
          </w:tcPr>
          <w:p>
            <w:pPr>
              <w:pStyle w:val="Compact"/>
              <w:spacing w:before="40" w:after="60" w:line="247" w:lineRule="auto"/>
              <w:jc w:val="left"/>
            </w:pPr>
            <w:r>
              <w:rPr>
                <w:sz w:val="18"/>
              </w:rPr>
              <w:t xml:space="preserve">Executa o analisador sobre exemplos isolados e arquivos locais.</w:t>
            </w:r>
          </w:p>
        </w:tc>
      </w:tr>
    </w:tbl>
    <w:p>
      <w:pPr>
        <w:pStyle w:val="BodyText"/>
      </w:pPr>
      <w:r>
        <w:t xml:space="preserve">Os casos de sucesso 201 e duplicidade 409 do cliente HTTP substituem</w:t>
      </w:r>
      <w:r>
        <w:t xml:space="preserve"> </w:t>
      </w:r>
      <w:r>
        <w:rPr>
          <w:rStyle w:val="VerbatimChar"/>
        </w:rPr>
        <w:t xml:space="preserve">fetch</w:t>
      </w:r>
      <w:r>
        <w:t xml:space="preserve">; não representam gravação real no Firestore. O teste de indisponibilidade injeta uma instância nula e confirma 503. Os testes das regras conferem a única diretiva de bloqueio e os dois blocos</w:t>
      </w:r>
      <w:r>
        <w:t xml:space="preserve"> </w:t>
      </w:r>
      <w:r>
        <w:rPr>
          <w:rStyle w:val="VerbatimChar"/>
        </w:rPr>
        <w:t xml:space="preserve">match</w:t>
      </w:r>
      <w:r>
        <w:t xml:space="preserve"> </w:t>
      </w:r>
      <w:r>
        <w:t xml:space="preserve">esperados, mas não utilizam emulador nem consultam permissões implantadas.</w:t>
      </w:r>
    </w:p>
    <w:p>
      <w:pPr>
        <w:pStyle w:val="BodyText"/>
      </w:pPr>
      <w:r>
        <w:t xml:space="preserve">Na evidência de 15 de outubro de 2026, os</w:t>
      </w:r>
      <w:r>
        <w:t xml:space="preserve"> </w:t>
      </w:r>
      <w:r>
        <w:rPr>
          <w:b/>
          <w:bCs/>
        </w:rPr>
        <w:t xml:space="preserve">33 testes dos quatro arquivos passaram em Node 22.18.0</w:t>
      </w:r>
      <w:r>
        <w:t xml:space="preserve">. TypeScript, ESLint e build também terminaram com saída zero. A conferência operacional acrescentou 20 verificações HTTP locais, recálculo de SRI e resposta 200 da ponte, com COEP</w:t>
      </w:r>
      <w:r>
        <w:t xml:space="preserve"> </w:t>
      </w:r>
      <w:r>
        <w:rPr>
          <w:rStyle w:val="VerbatimChar"/>
        </w:rPr>
        <w:t xml:space="preserve">credentialless</w:t>
      </w:r>
      <w:r>
        <w:t xml:space="preserve">. Não foi executada gravação de produção para demonstrar o percurso completo de persistência e a duplicidade no banco real.</w:t>
      </w:r>
    </w:p>
    <w:p>
      <w:pPr>
        <w:pStyle w:val="BodyText"/>
      </w:pPr>
      <w:r>
        <w:t xml:space="preserve">A consulta de dependências de produção registrou dois apontamentos altos na mesma cadeia</w:t>
      </w:r>
      <w:r>
        <w:t xml:space="preserve"> </w:t>
      </w:r>
      <w:r>
        <w:rPr>
          <w:rStyle w:val="VerbatimChar"/>
        </w:rPr>
        <w:t xml:space="preserve">react-router</w:t>
      </w:r>
      <w:r>
        <w:t xml:space="preserve">/</w:t>
      </w:r>
      <w:r>
        <w:rPr>
          <w:rStyle w:val="VerbatimChar"/>
        </w:rPr>
        <w:t xml:space="preserve">react-router-dom</w:t>
      </w:r>
      <w:r>
        <w:t xml:space="preserve">. A aplicação usa BrowserRouter com rotas e destinos fixos, sem handlers SSR/RSC identificados; a triagem não demonstrou exploração nesse uso. Essa delimitação contextual não equivale a ausência de alertas nem substitui acompanhamento das versões.</w:t>
      </w:r>
    </w:p>
    <w:bookmarkEnd w:id="89"/>
    <w:bookmarkStart w:id="90" w:name="métricas-e-relatórios"/>
    <w:p>
      <w:pPr>
        <w:pStyle w:val="Heading2"/>
      </w:pPr>
      <w:bookmarkStart w:id="20052" w:name="docsec_053"/>
      <w:r>
        <w:t xml:space="preserve">Métricas e relatórios</w:t>
      </w:r>
      <w:bookmarkEnd w:id="20052"/>
    </w:p>
    <w:p>
      <w:pPr>
        <w:pStyle w:val="FirstParagraph"/>
      </w:pPr>
      <w:r>
        <w:t xml:space="preserve">O analisador usa a API de compilação do TypeScript. Percorre</w:t>
      </w:r>
      <w:r>
        <w:t xml:space="preserve"> </w:t>
      </w:r>
      <w:r>
        <w:rPr>
          <w:rStyle w:val="VerbatimChar"/>
        </w:rPr>
        <w:t xml:space="preserve">.ts</w:t>
      </w:r>
      <w:r>
        <w:t xml:space="preserve">,</w:t>
      </w:r>
      <w:r>
        <w:t xml:space="preserve"> </w:t>
      </w:r>
      <w:r>
        <w:rPr>
          <w:rStyle w:val="VerbatimChar"/>
        </w:rPr>
        <w:t xml:space="preserve">.tsx</w:t>
      </w:r>
      <w:r>
        <w:t xml:space="preserve"> </w:t>
      </w:r>
      <w:r>
        <w:t xml:space="preserve">e</w:t>
      </w:r>
      <w:r>
        <w:t xml:space="preserve"> </w:t>
      </w:r>
      <w:r>
        <w:rPr>
          <w:rStyle w:val="VerbatimChar"/>
        </w:rPr>
        <w:t xml:space="preserve">.js</w:t>
      </w:r>
      <w:r>
        <w:t xml:space="preserve">, incluindo scripts e testes, e ignora diretórios chamados</w:t>
      </w:r>
      <w:r>
        <w:t xml:space="preserve"> </w:t>
      </w:r>
      <w:r>
        <w:rPr>
          <w:rStyle w:val="VerbatimChar"/>
        </w:rPr>
        <w:t xml:space="preserve">node_modules</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r>
        <w:t xml:space="preserve"> </w:t>
      </w:r>
      <w:r>
        <w:rPr>
          <w:rStyle w:val="VerbatimChar"/>
        </w:rPr>
        <w:t xml:space="preserve">.git</w:t>
      </w:r>
      <w:r>
        <w:t xml:space="preserve">,</w:t>
      </w:r>
      <w:r>
        <w:t xml:space="preserve"> </w:t>
      </w:r>
      <w:r>
        <w:rPr>
          <w:rStyle w:val="VerbatimChar"/>
        </w:rPr>
        <w:t xml:space="preserve">coverage</w:t>
      </w:r>
      <w:r>
        <w:t xml:space="preserve"> </w:t>
      </w:r>
      <w:r>
        <w:t xml:space="preserve">e</w:t>
      </w:r>
      <w:r>
        <w:t xml:space="preserve"> </w:t>
      </w:r>
      <w:r>
        <w:rPr>
          <w:rStyle w:val="VerbatimChar"/>
        </w:rPr>
        <w:t xml:space="preserve">functions</w:t>
      </w:r>
      <w:r>
        <w:t xml:space="preserve">. CSS, JSON, imagens e documentação não integram essa medição AST.</w:t>
      </w:r>
    </w:p>
    <w:p>
      <w:pPr>
        <w:pStyle w:val="BodyText"/>
      </w:pPr>
      <w:r>
        <w:t xml:space="preserve">Linhas físicas de função abrangem suas posições inicial e final no arquivo. A contagem lógica percorre o corpo e exclui linhas vazias, comentários, determinadas assinaturas e delimitadores isolados. Funções internas são medidas separadamente na análise de complexidade. Para o limite de arquivo, a exceção declarativa depende da ausência das construções imperativas identificadas pelo classificador; ela não elimina a verificação de comprimento das linhas.</w:t>
      </w:r>
    </w:p>
    <w:p>
      <w:pPr>
        <w:pStyle w:val="TableCaption"/>
        <w:keepNext/>
      </w:pPr>
      <w:r>
        <w:t xml:space="preserve">Tabela </w:t>
      </w:r>
      <w:r>
        <w:rPr>
          <w:rFonts w:ascii="Open Sans" w:hAnsi="Open Sans"/>
          <w:sz w:val="18"/>
        </w:rPr>
        <w:fldChar w:fldCharType="begin"/>
        <w:instrText xml:space="preserve"> SEQ Tabela </w:instrText>
        <w:fldChar w:fldCharType="separate"/>
        <w:t>29</w:t>
        <w:fldChar w:fldCharType="end"/>
      </w:r>
      <w:r>
        <w:t xml:space="preserve"> — Métricas e relatórios.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Critério</w:t>
            </w:r>
          </w:p>
        </w:tc>
        <w:tc>
          <w:tcPr>
            <w:tcW w:type="dxa" w:w="3048"/>
            <w:vAlign w:val="top"/>
            <w:shd w:fill="233B82"/>
          </w:tcPr>
          <w:p>
            <w:pPr>
              <w:pStyle w:val="Compact"/>
              <w:spacing w:before="40" w:after="60" w:line="247" w:lineRule="auto"/>
              <w:jc w:val="left"/>
            </w:pPr>
            <w:r>
              <w:rPr>
                <w:b/>
                <w:color w:val="FFFFFF"/>
                <w:sz w:val="18"/>
              </w:rPr>
              <w:t xml:space="preserve">Limite adotado</w:t>
            </w:r>
          </w:p>
        </w:tc>
        <w:tc>
          <w:tcPr>
            <w:tcW w:type="dxa" w:w="4286"/>
            <w:vAlign w:val="top"/>
            <w:shd w:fill="233B82"/>
          </w:tcPr>
          <w:p>
            <w:pPr>
              <w:pStyle w:val="Compact"/>
              <w:spacing w:before="40" w:after="60" w:line="247" w:lineRule="auto"/>
              <w:jc w:val="left"/>
            </w:pPr>
            <w:r>
              <w:rPr>
                <w:b/>
                <w:color w:val="FFFFFF"/>
                <w:sz w:val="18"/>
              </w:rPr>
              <w:t xml:space="preserve">Maior valor registrado</w:t>
            </w:r>
          </w:p>
        </w:tc>
      </w:tr>
      <w:tr>
        <w:trPr>
          <w:cantSplit/>
        </w:trPr>
        <w:tc>
          <w:tcPr>
            <w:tcW w:type="dxa" w:w="2191"/>
            <w:vAlign w:val="top"/>
            <w:shd w:fill="FFFFFF"/>
          </w:tcPr>
          <w:p>
            <w:pPr>
              <w:pStyle w:val="Compact"/>
              <w:spacing w:before="40" w:after="60" w:line="247" w:lineRule="auto"/>
              <w:jc w:val="left"/>
            </w:pPr>
            <w:r>
              <w:rPr>
                <w:sz w:val="18"/>
              </w:rPr>
              <w:t xml:space="preserve">Linhas de arquivo de lógica</w:t>
            </w:r>
          </w:p>
        </w:tc>
        <w:tc>
          <w:tcPr>
            <w:tcW w:type="dxa" w:w="3048"/>
            <w:vAlign w:val="top"/>
            <w:shd w:fill="FFFFFF"/>
          </w:tcPr>
          <w:p>
            <w:pPr>
              <w:pStyle w:val="Compact"/>
              <w:spacing w:before="40" w:after="60" w:line="247" w:lineRule="auto"/>
              <w:jc w:val="left"/>
            </w:pPr>
            <w:r>
              <w:rPr>
                <w:sz w:val="18"/>
              </w:rPr>
              <w:t xml:space="preserve">250</w:t>
            </w:r>
          </w:p>
        </w:tc>
        <w:tc>
          <w:tcPr>
            <w:tcW w:type="dxa" w:w="4286"/>
            <w:vAlign w:val="top"/>
            <w:shd w:fill="FFFFFF"/>
          </w:tcPr>
          <w:p>
            <w:pPr>
              <w:pStyle w:val="Compact"/>
              <w:spacing w:before="40" w:after="60" w:line="247" w:lineRule="auto"/>
              <w:jc w:val="left"/>
            </w:pPr>
            <w:r>
              <w:rPr>
                <w:sz w:val="18"/>
              </w:rPr>
              <w:t xml:space="preserve">246</w:t>
            </w:r>
          </w:p>
        </w:tc>
      </w:tr>
      <w:tr>
        <w:trPr>
          <w:cantSplit/>
        </w:trPr>
        <w:tc>
          <w:tcPr>
            <w:tcW w:type="dxa" w:w="2191"/>
            <w:vAlign w:val="top"/>
            <w:shd w:fill="F5F8FC"/>
          </w:tcPr>
          <w:p>
            <w:pPr>
              <w:pStyle w:val="Compact"/>
              <w:spacing w:before="40" w:after="60" w:line="247" w:lineRule="auto"/>
              <w:jc w:val="left"/>
            </w:pPr>
            <w:r>
              <w:rPr>
                <w:sz w:val="18"/>
              </w:rPr>
              <w:t xml:space="preserve">Caracteres por linha</w:t>
            </w:r>
          </w:p>
        </w:tc>
        <w:tc>
          <w:tcPr>
            <w:tcW w:type="dxa" w:w="3048"/>
            <w:vAlign w:val="top"/>
            <w:shd w:fill="F5F8FC"/>
          </w:tcPr>
          <w:p>
            <w:pPr>
              <w:pStyle w:val="Compact"/>
              <w:spacing w:before="40" w:after="60" w:line="247" w:lineRule="auto"/>
              <w:jc w:val="left"/>
            </w:pPr>
            <w:r>
              <w:rPr>
                <w:sz w:val="18"/>
              </w:rPr>
              <w:t xml:space="preserve">120</w:t>
            </w:r>
          </w:p>
        </w:tc>
        <w:tc>
          <w:tcPr>
            <w:tcW w:type="dxa" w:w="4286"/>
            <w:vAlign w:val="top"/>
            <w:shd w:fill="F5F8FC"/>
          </w:tcPr>
          <w:p>
            <w:pPr>
              <w:pStyle w:val="Compact"/>
              <w:spacing w:before="40" w:after="60" w:line="247" w:lineRule="auto"/>
              <w:jc w:val="left"/>
            </w:pPr>
            <w:r>
              <w:rPr>
                <w:sz w:val="18"/>
              </w:rPr>
              <w:t xml:space="preserve">118</w:t>
            </w:r>
          </w:p>
        </w:tc>
      </w:tr>
      <w:tr>
        <w:trPr>
          <w:cantSplit/>
        </w:trPr>
        <w:tc>
          <w:tcPr>
            <w:tcW w:type="dxa" w:w="2191"/>
            <w:vAlign w:val="top"/>
            <w:shd w:fill="FFFFFF"/>
          </w:tcPr>
          <w:p>
            <w:pPr>
              <w:pStyle w:val="Compact"/>
              <w:spacing w:before="40" w:after="60" w:line="247" w:lineRule="auto"/>
              <w:jc w:val="left"/>
            </w:pPr>
            <w:r>
              <w:rPr>
                <w:sz w:val="18"/>
              </w:rPr>
              <w:t xml:space="preserve">Linhas físicas por função</w:t>
            </w:r>
          </w:p>
        </w:tc>
        <w:tc>
          <w:tcPr>
            <w:tcW w:type="dxa" w:w="3048"/>
            <w:vAlign w:val="top"/>
            <w:shd w:fill="FFFFFF"/>
          </w:tcPr>
          <w:p>
            <w:pPr>
              <w:pStyle w:val="Compact"/>
              <w:spacing w:before="40" w:after="60" w:line="247" w:lineRule="auto"/>
              <w:jc w:val="left"/>
            </w:pPr>
            <w:r>
              <w:rPr>
                <w:sz w:val="18"/>
              </w:rPr>
              <w:t xml:space="preserve">40</w:t>
            </w:r>
          </w:p>
        </w:tc>
        <w:tc>
          <w:tcPr>
            <w:tcW w:type="dxa" w:w="4286"/>
            <w:vAlign w:val="top"/>
            <w:shd w:fill="FFFFFF"/>
          </w:tcPr>
          <w:p>
            <w:pPr>
              <w:pStyle w:val="Compact"/>
              <w:spacing w:before="40" w:after="60" w:line="247" w:lineRule="auto"/>
              <w:jc w:val="left"/>
            </w:pPr>
            <w:r>
              <w:rPr>
                <w:sz w:val="18"/>
              </w:rPr>
              <w:t xml:space="preserve">34</w:t>
            </w:r>
          </w:p>
        </w:tc>
      </w:tr>
      <w:tr>
        <w:trPr>
          <w:cantSplit/>
        </w:trPr>
        <w:tc>
          <w:tcPr>
            <w:tcW w:type="dxa" w:w="2191"/>
            <w:vAlign w:val="top"/>
            <w:shd w:fill="F5F8FC"/>
          </w:tcPr>
          <w:p>
            <w:pPr>
              <w:pStyle w:val="Compact"/>
              <w:spacing w:before="40" w:after="60" w:line="247" w:lineRule="auto"/>
              <w:jc w:val="left"/>
            </w:pPr>
            <w:r>
              <w:rPr>
                <w:sz w:val="18"/>
              </w:rPr>
              <w:t xml:space="preserve">Linhas lógicas por função</w:t>
            </w:r>
          </w:p>
        </w:tc>
        <w:tc>
          <w:tcPr>
            <w:tcW w:type="dxa" w:w="3048"/>
            <w:vAlign w:val="top"/>
            <w:shd w:fill="F5F8FC"/>
          </w:tcPr>
          <w:p>
            <w:pPr>
              <w:pStyle w:val="Compact"/>
              <w:spacing w:before="40" w:after="60" w:line="247" w:lineRule="auto"/>
              <w:jc w:val="left"/>
            </w:pPr>
            <w:r>
              <w:rPr>
                <w:sz w:val="18"/>
              </w:rPr>
              <w:t xml:space="preserve">25</w:t>
            </w:r>
          </w:p>
        </w:tc>
        <w:tc>
          <w:tcPr>
            <w:tcW w:type="dxa" w:w="4286"/>
            <w:vAlign w:val="top"/>
            <w:shd w:fill="F5F8FC"/>
          </w:tcPr>
          <w:p>
            <w:pPr>
              <w:pStyle w:val="Compact"/>
              <w:spacing w:before="40" w:after="60" w:line="247" w:lineRule="auto"/>
              <w:jc w:val="left"/>
            </w:pPr>
            <w:r>
              <w:rPr>
                <w:sz w:val="18"/>
              </w:rPr>
              <w:t xml:space="preserve">25</w:t>
            </w:r>
          </w:p>
        </w:tc>
      </w:tr>
      <w:tr>
        <w:trPr>
          <w:cantSplit/>
        </w:trPr>
        <w:tc>
          <w:tcPr>
            <w:tcW w:type="dxa" w:w="2191"/>
            <w:vAlign w:val="top"/>
            <w:shd w:fill="FFFFFF"/>
          </w:tcPr>
          <w:p>
            <w:pPr>
              <w:pStyle w:val="Compact"/>
              <w:spacing w:before="40" w:after="60" w:line="247" w:lineRule="auto"/>
              <w:jc w:val="left"/>
            </w:pPr>
            <w:r>
              <w:rPr>
                <w:sz w:val="18"/>
              </w:rPr>
              <w:t xml:space="preserve">Complexidade ciclomática</w:t>
            </w:r>
          </w:p>
        </w:tc>
        <w:tc>
          <w:tcPr>
            <w:tcW w:type="dxa" w:w="3048"/>
            <w:vAlign w:val="top"/>
            <w:shd w:fill="FFFFFF"/>
          </w:tcPr>
          <w:p>
            <w:pPr>
              <w:pStyle w:val="Compact"/>
              <w:spacing w:before="40" w:after="60" w:line="247" w:lineRule="auto"/>
              <w:jc w:val="left"/>
            </w:pPr>
            <w:r>
              <w:rPr>
                <w:sz w:val="18"/>
              </w:rPr>
              <w:t xml:space="preserve">7</w:t>
            </w:r>
          </w:p>
        </w:tc>
        <w:tc>
          <w:tcPr>
            <w:tcW w:type="dxa" w:w="4286"/>
            <w:vAlign w:val="top"/>
            <w:shd w:fill="FFFFFF"/>
          </w:tcPr>
          <w:p>
            <w:pPr>
              <w:pStyle w:val="Compact"/>
              <w:spacing w:before="40" w:after="60" w:line="247" w:lineRule="auto"/>
              <w:jc w:val="left"/>
            </w:pPr>
            <w:r>
              <w:rPr>
                <w:sz w:val="18"/>
              </w:rPr>
              <w:t xml:space="preserve">7</w:t>
            </w:r>
          </w:p>
        </w:tc>
      </w:tr>
      <w:tr>
        <w:trPr>
          <w:cantSplit/>
        </w:trPr>
        <w:tc>
          <w:tcPr>
            <w:tcW w:type="dxa" w:w="2191"/>
            <w:vAlign w:val="top"/>
            <w:shd w:fill="F5F8FC"/>
          </w:tcPr>
          <w:p>
            <w:pPr>
              <w:pStyle w:val="Compact"/>
              <w:spacing w:before="40" w:after="60" w:line="247" w:lineRule="auto"/>
              <w:jc w:val="left"/>
            </w:pPr>
            <w:r>
              <w:rPr>
                <w:sz w:val="18"/>
              </w:rPr>
              <w:t xml:space="preserve">Complexidade cognitiva</w:t>
            </w:r>
          </w:p>
        </w:tc>
        <w:tc>
          <w:tcPr>
            <w:tcW w:type="dxa" w:w="3048"/>
            <w:vAlign w:val="top"/>
            <w:shd w:fill="F5F8FC"/>
          </w:tcPr>
          <w:p>
            <w:pPr>
              <w:pStyle w:val="Compact"/>
              <w:spacing w:before="40" w:after="60" w:line="247" w:lineRule="auto"/>
              <w:jc w:val="left"/>
            </w:pPr>
            <w:r>
              <w:rPr>
                <w:sz w:val="18"/>
              </w:rPr>
              <w:t xml:space="preserve">15</w:t>
            </w:r>
          </w:p>
        </w:tc>
        <w:tc>
          <w:tcPr>
            <w:tcW w:type="dxa" w:w="4286"/>
            <w:vAlign w:val="top"/>
            <w:shd w:fill="F5F8FC"/>
          </w:tcPr>
          <w:p>
            <w:pPr>
              <w:pStyle w:val="Compact"/>
              <w:spacing w:before="40" w:after="60" w:line="247" w:lineRule="auto"/>
              <w:jc w:val="left"/>
            </w:pPr>
            <w:r>
              <w:rPr>
                <w:sz w:val="18"/>
              </w:rPr>
              <w:t xml:space="preserve">9</w:t>
            </w:r>
          </w:p>
        </w:tc>
      </w:tr>
      <w:tr>
        <w:trPr>
          <w:cantSplit/>
        </w:trPr>
        <w:tc>
          <w:tcPr>
            <w:tcW w:type="dxa" w:w="2191"/>
            <w:vAlign w:val="top"/>
            <w:shd w:fill="FFFFFF"/>
          </w:tcPr>
          <w:p>
            <w:pPr>
              <w:pStyle w:val="Compact"/>
              <w:spacing w:before="40" w:after="60" w:line="247" w:lineRule="auto"/>
              <w:jc w:val="left"/>
            </w:pPr>
            <w:r>
              <w:rPr>
                <w:sz w:val="18"/>
              </w:rPr>
              <w:t xml:space="preserve">Aninhamento</w:t>
            </w:r>
          </w:p>
        </w:tc>
        <w:tc>
          <w:tcPr>
            <w:tcW w:type="dxa" w:w="3048"/>
            <w:vAlign w:val="top"/>
            <w:shd w:fill="FFFFFF"/>
          </w:tcPr>
          <w:p>
            <w:pPr>
              <w:pStyle w:val="Compact"/>
              <w:spacing w:before="40" w:after="60" w:line="247" w:lineRule="auto"/>
              <w:jc w:val="left"/>
            </w:pPr>
            <w:r>
              <w:rPr>
                <w:sz w:val="18"/>
              </w:rPr>
              <w:t xml:space="preserve">3 níveis</w:t>
            </w:r>
          </w:p>
        </w:tc>
        <w:tc>
          <w:tcPr>
            <w:tcW w:type="dxa" w:w="4286"/>
            <w:vAlign w:val="top"/>
            <w:shd w:fill="FFFFFF"/>
          </w:tcPr>
          <w:p>
            <w:pPr>
              <w:pStyle w:val="Compact"/>
              <w:spacing w:before="40" w:after="60" w:line="247" w:lineRule="auto"/>
              <w:jc w:val="left"/>
            </w:pPr>
            <w:r>
              <w:rPr>
                <w:sz w:val="18"/>
              </w:rPr>
              <w:t xml:space="preserve">3 níveis</w:t>
            </w:r>
          </w:p>
        </w:tc>
      </w:tr>
    </w:tbl>
    <w:p>
      <w:pPr>
        <w:pStyle w:val="BodyText"/>
      </w:pPr>
      <w:r>
        <w:t xml:space="preserve">O resultado corresponde a</w:t>
      </w:r>
      <w:r>
        <w:t xml:space="preserve"> </w:t>
      </w:r>
      <w:r>
        <w:rPr>
          <w:b/>
          <w:bCs/>
        </w:rPr>
        <w:t xml:space="preserve">92 arquivos e 501 membros executáveis</w:t>
      </w:r>
      <w:r>
        <w:t xml:space="preserve">, com zero erros segundo os critérios implementados. O comando escreve o relatório antes de verificar a presença de erros; em caso de violação, encerra com código 1. O título e a expressão de homologação do relatório são produzidos pelo próprio gerador. Seu alcance é a conformidade dessas métricas, sem constituir certificação independente de todo o sistema.</w:t>
      </w:r>
    </w:p>
    <w:bookmarkEnd w:id="90"/>
    <w:bookmarkStart w:id="91" w:name="X21d4aea714be26a9ec9b4c691266f8956244459"/>
    <w:p>
      <w:pPr>
        <w:pStyle w:val="Heading2"/>
      </w:pPr>
      <w:bookmarkStart w:id="20053" w:name="docsec_054"/>
      <w:r>
        <w:t xml:space="preserve">Consolidados de código e recursos públicos</w:t>
      </w:r>
      <w:bookmarkEnd w:id="20053"/>
    </w:p>
    <w:p>
      <w:pPr>
        <w:pStyle w:val="FirstParagraph"/>
      </w:pPr>
      <w:r>
        <w:rPr>
          <w:rStyle w:val="VerbatimChar"/>
        </w:rPr>
        <w:t xml:space="preserve">CODIGOFONTE.txt</w:t>
      </w:r>
      <w:r>
        <w:t xml:space="preserve"> </w:t>
      </w:r>
      <w:r>
        <w:t xml:space="preserve">reúne arquivos textuais selecionados. O exportador admite uma lista explícita de arquivos da raiz e percorre</w:t>
      </w:r>
      <w:r>
        <w:t xml:space="preserve"> </w:t>
      </w:r>
      <w:r>
        <w:rPr>
          <w:rStyle w:val="VerbatimChar"/>
        </w:rPr>
        <w:t xml:space="preserve">src</w:t>
      </w:r>
      <w:r>
        <w:t xml:space="preserve">,</w:t>
      </w:r>
      <w:r>
        <w:t xml:space="preserve"> </w:t>
      </w:r>
      <w:r>
        <w:rPr>
          <w:rStyle w:val="VerbatimChar"/>
        </w:rPr>
        <w:t xml:space="preserve">scripts</w:t>
      </w:r>
      <w:r>
        <w:t xml:space="preserve">,</w:t>
      </w:r>
      <w:r>
        <w:t xml:space="preserve"> </w:t>
      </w:r>
      <w:r>
        <w:rPr>
          <w:rStyle w:val="VerbatimChar"/>
        </w:rPr>
        <w:t xml:space="preserve">tests</w:t>
      </w:r>
      <w:r>
        <w:t xml:space="preserve"> </w:t>
      </w:r>
      <w:r>
        <w:t xml:space="preserve">e</w:t>
      </w:r>
      <w:r>
        <w:t xml:space="preserve"> </w:t>
      </w:r>
      <w:r>
        <w:rPr>
          <w:rStyle w:val="VerbatimChar"/>
        </w:rPr>
        <w:t xml:space="preserve">public</w:t>
      </w:r>
      <w:r>
        <w:t xml:space="preserve">. Evita binários, links simbólicos, entradas ocultas e nomes associados a credenciais; também verifica padrões de conteúdo sensível antes de incluir cada texto.</w:t>
      </w:r>
    </w:p>
    <w:p>
      <w:pPr>
        <w:pStyle w:val="BodyText"/>
      </w:pPr>
      <w:r>
        <w:t xml:space="preserve">Na revisão documentada, os</w:t>
      </w:r>
      <w:r>
        <w:t xml:space="preserve"> </w:t>
      </w:r>
      <w:r>
        <w:rPr>
          <w:b/>
          <w:bCs/>
        </w:rPr>
        <w:t xml:space="preserve">112 arquivos selecionados e incluídos</w:t>
      </w:r>
      <w:r>
        <w:t xml:space="preserve"> </w:t>
      </w:r>
      <w:r>
        <w:t xml:space="preserve">coincidiram byte a byte com o consolidado versionado. Esse número descreve o resultado atual, não uma promessa fixa do gerador. Lockfiles e</w:t>
      </w:r>
      <w:r>
        <w:t xml:space="preserve"> </w:t>
      </w:r>
      <w:r>
        <w:rPr>
          <w:rStyle w:val="VerbatimChar"/>
        </w:rPr>
        <w:t xml:space="preserve">public/.well-known</w:t>
      </w:r>
      <w:r>
        <w:t xml:space="preserve"> </w:t>
      </w:r>
      <w:r>
        <w:t xml:space="preserve">não integram a seleção. O consolidado facilita consulta, mas o repositório continua sendo a referência para instalação, recursos binários e completude.</w:t>
      </w:r>
    </w:p>
    <w:p>
      <w:pPr>
        <w:pStyle w:val="BodyText"/>
      </w:pPr>
      <w:r>
        <w:t xml:space="preserve">Os recursos públicos incluem imagens, favicon,</w:t>
      </w:r>
      <w:r>
        <w:t xml:space="preserve"> </w:t>
      </w:r>
      <w:r>
        <w:rPr>
          <w:rStyle w:val="VerbatimChar"/>
        </w:rPr>
        <w:t xml:space="preserve">robots.txt</w:t>
      </w:r>
      <w:r>
        <w:t xml:space="preserve">,</w:t>
      </w:r>
      <w:r>
        <w:t xml:space="preserve"> </w:t>
      </w:r>
      <w:r>
        <w:rPr>
          <w:rStyle w:val="VerbatimChar"/>
        </w:rPr>
        <w:t xml:space="preserve">sitemap.xml</w:t>
      </w:r>
      <w:r>
        <w:t xml:space="preserve">,</w:t>
      </w:r>
      <w:r>
        <w:t xml:space="preserve"> </w:t>
      </w:r>
      <w:r>
        <w:rPr>
          <w:rStyle w:val="VerbatimChar"/>
        </w:rPr>
        <w:t xml:space="preserve">llms.txt</w:t>
      </w:r>
      <w:r>
        <w:t xml:space="preserve">, catálogos JSON e o manifesto ARD. Os metadados listam páginas e capacidades para descoberta; não executam ações administrativas. As URLs predominantes nesses arquivos são do ambiente</w:t>
      </w:r>
      <w:r>
        <w:t xml:space="preserve"> </w:t>
      </w:r>
      <w:r>
        <w:rPr>
          <w:rStyle w:val="VerbatimChar"/>
        </w:rPr>
        <w:t xml:space="preserve">asg-ods.ai.studio</w:t>
      </w:r>
      <w:r>
        <w:t xml:space="preserve">;</w:t>
      </w:r>
      <w:r>
        <w:t xml:space="preserve"> </w:t>
      </w:r>
      <w:r>
        <w:rPr>
          <w:rStyle w:val="VerbatimChar"/>
        </w:rPr>
        <w:t xml:space="preserve">robots.txt</w:t>
      </w:r>
      <w:r>
        <w:t xml:space="preserve"> </w:t>
      </w:r>
      <w:r>
        <w:t xml:space="preserve">também menciona</w:t>
      </w:r>
      <w:r>
        <w:t xml:space="preserve"> </w:t>
      </w:r>
      <w:r>
        <w:rPr>
          <w:rStyle w:val="VerbatimChar"/>
        </w:rPr>
        <w:t xml:space="preserve">asg.ods.crasp.org.br</w:t>
      </w:r>
      <w:r>
        <w:t xml:space="preserve">. Essa descrição preserva o conteúdo versionado sem presumir uma migração automática de domínio.</w:t>
      </w:r>
    </w:p>
    <w:bookmarkEnd w:id="91"/>
    <w:bookmarkStart w:id="92" w:name="catálogo-operacional-dos-arquivos"/>
    <w:p>
      <w:pPr>
        <w:pStyle w:val="Heading2"/>
      </w:pPr>
      <w:bookmarkStart w:id="20054" w:name="docsec_055"/>
      <w:r>
        <w:t xml:space="preserve">Catálogo operacional dos arquivos</w:t>
      </w:r>
      <w:bookmarkEnd w:id="20054"/>
    </w:p>
    <w:p>
      <w:pPr>
        <w:pStyle w:val="FirstParagraph"/>
      </w:pPr>
      <w:r>
        <w:t xml:space="preserve">O catálogo a seguir orienta a localização das responsabilidades para manutenção e transferência de conhecimento.</w:t>
      </w:r>
    </w:p>
    <w:p>
      <w:pPr>
        <w:pStyle w:val="TableCaption"/>
        <w:keepNext/>
      </w:pPr>
      <w:r>
        <w:t xml:space="preserve">Tabela </w:t>
      </w:r>
      <w:r>
        <w:rPr>
          <w:rFonts w:ascii="Open Sans" w:hAnsi="Open Sans"/>
          <w:sz w:val="18"/>
        </w:rPr>
        <w:fldChar w:fldCharType="begin"/>
        <w:instrText xml:space="preserve"> SEQ Tabela </w:instrText>
        <w:fldChar w:fldCharType="separate"/>
        <w:t>30</w:t>
        <w:fldChar w:fldCharType="end"/>
      </w:r>
      <w:r>
        <w:t xml:space="preserve"> — Catálogo operacional dos arquivos.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Grupo</w:t>
            </w:r>
          </w:p>
        </w:tc>
        <w:tc>
          <w:tcPr>
            <w:tcW w:type="dxa" w:w="3048"/>
            <w:vAlign w:val="top"/>
            <w:shd w:fill="233B82"/>
          </w:tcPr>
          <w:p>
            <w:pPr>
              <w:pStyle w:val="Compact"/>
              <w:spacing w:before="40" w:after="60" w:line="247" w:lineRule="auto"/>
              <w:jc w:val="left"/>
            </w:pPr>
            <w:r>
              <w:rPr>
                <w:b/>
                <w:color w:val="FFFFFF"/>
                <w:sz w:val="18"/>
              </w:rPr>
              <w:t xml:space="preserve">Arquivos ou diretórios</w:t>
            </w:r>
          </w:p>
        </w:tc>
        <w:tc>
          <w:tcPr>
            <w:tcW w:type="dxa" w:w="4286"/>
            <w:vAlign w:val="top"/>
            <w:shd w:fill="233B82"/>
          </w:tcPr>
          <w:p>
            <w:pPr>
              <w:pStyle w:val="Compact"/>
              <w:spacing w:before="40" w:after="60" w:line="247" w:lineRule="auto"/>
              <w:jc w:val="left"/>
            </w:pPr>
            <w:r>
              <w:rPr>
                <w:b/>
                <w:color w:val="FFFFFF"/>
                <w:sz w:val="18"/>
              </w:rPr>
              <w:t xml:space="preserve">Responsabilidade</w:t>
            </w:r>
          </w:p>
        </w:tc>
      </w:tr>
      <w:tr>
        <w:trPr>
          <w:cantSplit/>
        </w:trPr>
        <w:tc>
          <w:tcPr>
            <w:tcW w:type="dxa" w:w="2191"/>
            <w:vAlign w:val="top"/>
            <w:shd w:fill="FFFFFF"/>
          </w:tcPr>
          <w:p>
            <w:pPr>
              <w:pStyle w:val="Compact"/>
              <w:spacing w:before="40" w:after="60" w:line="247" w:lineRule="auto"/>
              <w:jc w:val="left"/>
            </w:pPr>
            <w:r>
              <w:rPr>
                <w:sz w:val="18"/>
              </w:rPr>
              <w:t xml:space="preserve">Inicialização</w:t>
            </w:r>
          </w:p>
        </w:tc>
        <w:tc>
          <w:tcPr>
            <w:tcW w:type="dxa" w:w="3048"/>
            <w:vAlign w:val="top"/>
            <w:shd w:fill="FFFFFF"/>
          </w:tcPr>
          <w:p>
            <w:pPr>
              <w:pStyle w:val="Compact"/>
              <w:spacing w:before="40" w:after="60" w:line="247" w:lineRule="auto"/>
              <w:jc w:val="left"/>
            </w:pPr>
            <w:r>
              <w:rPr>
                <w:rStyle w:val="VerbatimChar"/>
                <w:sz w:val="17"/>
              </w:rPr>
              <w:t xml:space="preserve">index.html</w:t>
            </w:r>
            <w:r>
              <w:rPr>
                <w:sz w:val="18"/>
              </w:rPr>
              <w:t xml:space="preserve">,</w:t>
            </w:r>
            <w:r>
              <w:rPr>
                <w:sz w:val="18"/>
              </w:rPr>
              <w:t xml:space="preserve"> </w:t>
            </w:r>
            <w:r>
              <w:rPr>
                <w:rStyle w:val="VerbatimChar"/>
                <w:sz w:val="17"/>
              </w:rPr>
              <w:t xml:space="preserve">src/main.tsx</w:t>
            </w:r>
            <w:r>
              <w:rPr>
                <w:sz w:val="18"/>
              </w:rPr>
              <w:t xml:space="preserve">,</w:t>
            </w:r>
            <w:r>
              <w:rPr>
                <w:sz w:val="18"/>
              </w:rPr>
              <w:t xml:space="preserve"> </w:t>
            </w:r>
            <w:r>
              <w:rPr>
                <w:rStyle w:val="VerbatimChar"/>
                <w:sz w:val="17"/>
              </w:rPr>
              <w:t xml:space="preserve">server.ts</w:t>
            </w:r>
          </w:p>
        </w:tc>
        <w:tc>
          <w:tcPr>
            <w:tcW w:type="dxa" w:w="4286"/>
            <w:vAlign w:val="top"/>
            <w:shd w:fill="FFFFFF"/>
          </w:tcPr>
          <w:p>
            <w:pPr>
              <w:pStyle w:val="Compact"/>
              <w:spacing w:before="40" w:after="60" w:line="247" w:lineRule="auto"/>
              <w:jc w:val="left"/>
            </w:pPr>
            <w:r>
              <w:rPr>
                <w:sz w:val="18"/>
              </w:rPr>
              <w:t xml:space="preserve">Entrada do navegador e início do servidor.</w:t>
            </w:r>
          </w:p>
        </w:tc>
      </w:tr>
      <w:tr>
        <w:trPr>
          <w:cantSplit/>
        </w:trPr>
        <w:tc>
          <w:tcPr>
            <w:tcW w:type="dxa" w:w="2191"/>
            <w:vAlign w:val="top"/>
            <w:shd w:fill="F5F8FC"/>
          </w:tcPr>
          <w:p>
            <w:pPr>
              <w:pStyle w:val="Compact"/>
              <w:spacing w:before="40" w:after="60" w:line="247" w:lineRule="auto"/>
              <w:jc w:val="left"/>
            </w:pPr>
            <w:r>
              <w:rPr>
                <w:sz w:val="18"/>
              </w:rPr>
              <w:t xml:space="preserve">Interface</w:t>
            </w:r>
          </w:p>
        </w:tc>
        <w:tc>
          <w:tcPr>
            <w:tcW w:type="dxa" w:w="3048"/>
            <w:vAlign w:val="top"/>
            <w:shd w:fill="F5F8FC"/>
          </w:tcPr>
          <w:p>
            <w:pPr>
              <w:pStyle w:val="Compact"/>
              <w:spacing w:before="40" w:after="60" w:line="247" w:lineRule="auto"/>
              <w:jc w:val="left"/>
            </w:pPr>
            <w:r>
              <w:rPr>
                <w:rStyle w:val="VerbatimChar"/>
                <w:sz w:val="17"/>
              </w:rPr>
              <w:t xml:space="preserve">src/routes</w:t>
            </w:r>
            <w:r>
              <w:rPr>
                <w:sz w:val="18"/>
              </w:rPr>
              <w:t xml:space="preserve">,</w:t>
            </w:r>
            <w:r>
              <w:rPr>
                <w:sz w:val="18"/>
              </w:rPr>
              <w:t xml:space="preserve"> </w:t>
            </w:r>
            <w:r>
              <w:rPr>
                <w:rStyle w:val="VerbatimChar"/>
                <w:sz w:val="17"/>
              </w:rPr>
              <w:t xml:space="preserve">src/pages</w:t>
            </w:r>
            <w:r>
              <w:rPr>
                <w:sz w:val="18"/>
              </w:rPr>
              <w:t xml:space="preserve">,</w:t>
            </w:r>
            <w:r>
              <w:rPr>
                <w:sz w:val="18"/>
              </w:rPr>
              <w:t xml:space="preserve"> </w:t>
            </w:r>
            <w:r>
              <w:rPr>
                <w:rStyle w:val="VerbatimChar"/>
                <w:sz w:val="17"/>
              </w:rPr>
              <w:t xml:space="preserve">src/components</w:t>
            </w:r>
            <w:r>
              <w:rPr>
                <w:sz w:val="18"/>
              </w:rPr>
              <w:t xml:space="preserve">,</w:t>
            </w:r>
            <w:r>
              <w:rPr>
                <w:sz w:val="18"/>
              </w:rPr>
              <w:t xml:space="preserve"> </w:t>
            </w:r>
            <w:r>
              <w:rPr>
                <w:rStyle w:val="VerbatimChar"/>
                <w:sz w:val="17"/>
              </w:rPr>
              <w:t xml:space="preserve">src/index.css</w:t>
            </w:r>
          </w:p>
        </w:tc>
        <w:tc>
          <w:tcPr>
            <w:tcW w:type="dxa" w:w="4286"/>
            <w:vAlign w:val="top"/>
            <w:shd w:fill="F5F8FC"/>
          </w:tcPr>
          <w:p>
            <w:pPr>
              <w:pStyle w:val="Compact"/>
              <w:spacing w:before="40" w:after="60" w:line="247" w:lineRule="auto"/>
              <w:jc w:val="left"/>
            </w:pPr>
            <w:r>
              <w:rPr>
                <w:sz w:val="18"/>
              </w:rPr>
              <w:t xml:space="preserve">Navegação, páginas, interações e apresentação.</w:t>
            </w:r>
          </w:p>
        </w:tc>
      </w:tr>
      <w:tr>
        <w:trPr>
          <w:cantSplit/>
        </w:trPr>
        <w:tc>
          <w:tcPr>
            <w:tcW w:type="dxa" w:w="2191"/>
            <w:vAlign w:val="top"/>
            <w:shd w:fill="FFFFFF"/>
          </w:tcPr>
          <w:p>
            <w:pPr>
              <w:pStyle w:val="Compact"/>
              <w:spacing w:before="40" w:after="60" w:line="247" w:lineRule="auto"/>
              <w:jc w:val="left"/>
            </w:pPr>
            <w:r>
              <w:rPr>
                <w:sz w:val="18"/>
              </w:rPr>
              <w:t xml:space="preserve">Comunicação e contrato</w:t>
            </w:r>
          </w:p>
        </w:tc>
        <w:tc>
          <w:tcPr>
            <w:tcW w:type="dxa" w:w="3048"/>
            <w:vAlign w:val="top"/>
            <w:shd w:fill="FFFFFF"/>
          </w:tcPr>
          <w:p>
            <w:pPr>
              <w:pStyle w:val="Compact"/>
              <w:spacing w:before="40" w:after="60" w:line="247" w:lineRule="auto"/>
              <w:jc w:val="left"/>
            </w:pPr>
            <w:r>
              <w:rPr>
                <w:rStyle w:val="VerbatimChar"/>
                <w:sz w:val="17"/>
              </w:rPr>
              <w:t xml:space="preserve">src/api/leadsService.ts</w:t>
            </w:r>
            <w:r>
              <w:rPr>
                <w:sz w:val="18"/>
              </w:rPr>
              <w:t xml:space="preserve">,</w:t>
            </w:r>
            <w:r>
              <w:rPr>
                <w:sz w:val="18"/>
              </w:rPr>
              <w:t xml:space="preserve"> </w:t>
            </w:r>
            <w:r>
              <w:rPr>
                <w:rStyle w:val="VerbatimChar"/>
                <w:sz w:val="17"/>
              </w:rPr>
              <w:t xml:space="preserve">src/types/leads.ts</w:t>
            </w:r>
          </w:p>
        </w:tc>
        <w:tc>
          <w:tcPr>
            <w:tcW w:type="dxa" w:w="4286"/>
            <w:vAlign w:val="top"/>
            <w:shd w:fill="FFFFFF"/>
          </w:tcPr>
          <w:p>
            <w:pPr>
              <w:pStyle w:val="Compact"/>
              <w:spacing w:before="40" w:after="60" w:line="247" w:lineRule="auto"/>
              <w:jc w:val="left"/>
            </w:pPr>
            <w:r>
              <w:rPr>
                <w:sz w:val="18"/>
              </w:rPr>
              <w:t xml:space="preserve">Chamada HTTP e schema compartilhado de manifestação.</w:t>
            </w:r>
          </w:p>
        </w:tc>
      </w:tr>
      <w:tr>
        <w:trPr>
          <w:cantSplit/>
        </w:trPr>
        <w:tc>
          <w:tcPr>
            <w:tcW w:type="dxa" w:w="2191"/>
            <w:vAlign w:val="top"/>
            <w:shd w:fill="F5F8FC"/>
          </w:tcPr>
          <w:p>
            <w:pPr>
              <w:pStyle w:val="Compact"/>
              <w:spacing w:before="40" w:after="60" w:line="247" w:lineRule="auto"/>
              <w:jc w:val="left"/>
            </w:pPr>
            <w:r>
              <w:rPr>
                <w:sz w:val="18"/>
              </w:rPr>
              <w:t xml:space="preserve">Persistência</w:t>
            </w:r>
          </w:p>
        </w:tc>
        <w:tc>
          <w:tcPr>
            <w:tcW w:type="dxa" w:w="3048"/>
            <w:vAlign w:val="top"/>
            <w:shd w:fill="F5F8FC"/>
          </w:tcPr>
          <w:p>
            <w:pPr>
              <w:pStyle w:val="Compact"/>
              <w:spacing w:before="40" w:after="60" w:line="247" w:lineRule="auto"/>
              <w:jc w:val="left"/>
            </w:pPr>
            <w:r>
              <w:rPr>
                <w:rStyle w:val="VerbatimChar"/>
                <w:sz w:val="17"/>
              </w:rPr>
              <w:t xml:space="preserve">src/server/firestoreClient.ts</w:t>
            </w:r>
            <w:r>
              <w:rPr>
                <w:sz w:val="18"/>
              </w:rPr>
              <w:t xml:space="preserve">,</w:t>
            </w:r>
            <w:r>
              <w:rPr>
                <w:sz w:val="18"/>
              </w:rPr>
              <w:t xml:space="preserve"> </w:t>
            </w:r>
            <w:r>
              <w:rPr>
                <w:rStyle w:val="VerbatimChar"/>
                <w:sz w:val="17"/>
              </w:rPr>
              <w:t xml:space="preserve">leadBucketService.ts</w:t>
            </w:r>
            <w:r>
              <w:rPr>
                <w:sz w:val="18"/>
              </w:rPr>
              <w:t xml:space="preserve">,</w:t>
            </w:r>
            <w:r>
              <w:rPr>
                <w:sz w:val="18"/>
              </w:rPr>
              <w:t xml:space="preserve"> </w:t>
            </w:r>
            <w:r>
              <w:rPr>
                <w:rStyle w:val="VerbatimChar"/>
                <w:sz w:val="17"/>
              </w:rPr>
              <w:t xml:space="preserve">vaultService.ts</w:t>
            </w:r>
          </w:p>
        </w:tc>
        <w:tc>
          <w:tcPr>
            <w:tcW w:type="dxa" w:w="4286"/>
            <w:vAlign w:val="top"/>
            <w:shd w:fill="F5F8FC"/>
          </w:tcPr>
          <w:p>
            <w:pPr>
              <w:pStyle w:val="Compact"/>
              <w:spacing w:before="40" w:after="60" w:line="247" w:lineRule="auto"/>
              <w:jc w:val="left"/>
            </w:pPr>
            <w:r>
              <w:rPr>
                <w:sz w:val="18"/>
              </w:rPr>
              <w:t xml:space="preserve">Resolução do banco, transações e segregação criptográfica.</w:t>
            </w:r>
          </w:p>
        </w:tc>
      </w:tr>
      <w:tr>
        <w:trPr>
          <w:cantSplit/>
        </w:trPr>
        <w:tc>
          <w:tcPr>
            <w:tcW w:type="dxa" w:w="2191"/>
            <w:vAlign w:val="top"/>
            <w:shd w:fill="FFFFFF"/>
          </w:tcPr>
          <w:p>
            <w:pPr>
              <w:pStyle w:val="Compact"/>
              <w:spacing w:before="40" w:after="60" w:line="247" w:lineRule="auto"/>
              <w:jc w:val="left"/>
            </w:pPr>
            <w:r>
              <w:rPr>
                <w:sz w:val="18"/>
              </w:rPr>
              <w:t xml:space="preserve">Entrega e infraestrutura</w:t>
            </w:r>
          </w:p>
        </w:tc>
        <w:tc>
          <w:tcPr>
            <w:tcW w:type="dxa" w:w="3048"/>
            <w:vAlign w:val="top"/>
            <w:shd w:fill="FFFFFF"/>
          </w:tcPr>
          <w:p>
            <w:pPr>
              <w:pStyle w:val="Compact"/>
              <w:spacing w:before="40" w:after="60" w:line="247" w:lineRule="auto"/>
              <w:jc w:val="left"/>
            </w:pPr>
            <w:r>
              <w:rPr>
                <w:rStyle w:val="VerbatimChar"/>
                <w:sz w:val="17"/>
              </w:rPr>
              <w:t xml:space="preserve">firebase.json</w:t>
            </w:r>
            <w:r>
              <w:rPr>
                <w:sz w:val="18"/>
              </w:rPr>
              <w:t xml:space="preserve">,</w:t>
            </w:r>
            <w:r>
              <w:rPr>
                <w:sz w:val="18"/>
              </w:rPr>
              <w:t xml:space="preserve"> </w:t>
            </w:r>
            <w:r>
              <w:rPr>
                <w:rStyle w:val="VerbatimChar"/>
                <w:sz w:val="17"/>
              </w:rPr>
              <w:t xml:space="preserve">.firebaserc</w:t>
            </w:r>
            <w:r>
              <w:rPr>
                <w:sz w:val="18"/>
              </w:rPr>
              <w:t xml:space="preserve">,</w:t>
            </w:r>
            <w:r>
              <w:rPr>
                <w:sz w:val="18"/>
              </w:rPr>
              <w:t xml:space="preserve"> </w:t>
            </w:r>
            <w:r>
              <w:rPr>
                <w:rStyle w:val="VerbatimChar"/>
                <w:sz w:val="17"/>
              </w:rPr>
              <w:t xml:space="preserve">firestore.rules</w:t>
            </w:r>
            <w:r>
              <w:rPr>
                <w:sz w:val="18"/>
              </w:rPr>
              <w:t xml:space="preserve">,</w:t>
            </w:r>
            <w:r>
              <w:rPr>
                <w:sz w:val="18"/>
              </w:rPr>
              <w:t xml:space="preserve"> </w:t>
            </w:r>
            <w:r>
              <w:rPr>
                <w:rStyle w:val="VerbatimChar"/>
                <w:sz w:val="17"/>
              </w:rPr>
              <w:t xml:space="preserve">vite.config.ts</w:t>
            </w:r>
          </w:p>
        </w:tc>
        <w:tc>
          <w:tcPr>
            <w:tcW w:type="dxa" w:w="4286"/>
            <w:vAlign w:val="top"/>
            <w:shd w:fill="FFFFFF"/>
          </w:tcPr>
          <w:p>
            <w:pPr>
              <w:pStyle w:val="Compact"/>
              <w:spacing w:before="40" w:after="60" w:line="247" w:lineRule="auto"/>
              <w:jc w:val="left"/>
            </w:pPr>
            <w:r>
              <w:rPr>
                <w:sz w:val="18"/>
              </w:rPr>
              <w:t xml:space="preserve">Hospedagem, encaminhamento, acesso direto e compilação.</w:t>
            </w:r>
          </w:p>
        </w:tc>
      </w:tr>
      <w:tr>
        <w:trPr>
          <w:cantSplit/>
        </w:trPr>
        <w:tc>
          <w:tcPr>
            <w:tcW w:type="dxa" w:w="2191"/>
            <w:vAlign w:val="top"/>
            <w:shd w:fill="F5F8FC"/>
          </w:tcPr>
          <w:p>
            <w:pPr>
              <w:pStyle w:val="Compact"/>
              <w:spacing w:before="40" w:after="60" w:line="247" w:lineRule="auto"/>
              <w:jc w:val="left"/>
            </w:pPr>
            <w:r>
              <w:rPr>
                <w:sz w:val="18"/>
              </w:rPr>
              <w:t xml:space="preserve">Qualidade</w:t>
            </w:r>
          </w:p>
        </w:tc>
        <w:tc>
          <w:tcPr>
            <w:tcW w:type="dxa" w:w="3048"/>
            <w:vAlign w:val="top"/>
            <w:shd w:fill="F5F8FC"/>
          </w:tcPr>
          <w:p>
            <w:pPr>
              <w:pStyle w:val="Compact"/>
              <w:spacing w:before="40" w:after="60" w:line="247" w:lineRule="auto"/>
              <w:jc w:val="left"/>
            </w:pPr>
            <w:r>
              <w:rPr>
                <w:rStyle w:val="VerbatimChar"/>
                <w:sz w:val="17"/>
              </w:rPr>
              <w:t xml:space="preserve">tests</w:t>
            </w:r>
            <w:r>
              <w:rPr>
                <w:sz w:val="18"/>
              </w:rPr>
              <w:t xml:space="preserve">,</w:t>
            </w:r>
            <w:r>
              <w:rPr>
                <w:sz w:val="18"/>
              </w:rPr>
              <w:t xml:space="preserve"> </w:t>
            </w:r>
            <w:r>
              <w:rPr>
                <w:rStyle w:val="VerbatimChar"/>
                <w:sz w:val="17"/>
              </w:rPr>
              <w:t xml:space="preserve">eslint.config.js</w:t>
            </w:r>
            <w:r>
              <w:rPr>
                <w:sz w:val="18"/>
              </w:rPr>
              <w:t xml:space="preserve">,</w:t>
            </w:r>
            <w:r>
              <w:rPr>
                <w:sz w:val="18"/>
              </w:rPr>
              <w:t xml:space="preserve"> </w:t>
            </w:r>
            <w:r>
              <w:rPr>
                <w:rStyle w:val="VerbatimChar"/>
                <w:sz w:val="17"/>
              </w:rPr>
              <w:t xml:space="preserve">tsconfig.json</w:t>
            </w:r>
            <w:r>
              <w:rPr>
                <w:sz w:val="18"/>
              </w:rPr>
              <w:t xml:space="preserve">,</w:t>
            </w:r>
            <w:r>
              <w:rPr>
                <w:sz w:val="18"/>
              </w:rPr>
              <w:t xml:space="preserve"> </w:t>
            </w:r>
            <w:r>
              <w:rPr>
                <w:rStyle w:val="VerbatimChar"/>
                <w:sz w:val="17"/>
              </w:rPr>
              <w:t xml:space="preserve">scripts/metrics-*</w:t>
            </w:r>
          </w:p>
        </w:tc>
        <w:tc>
          <w:tcPr>
            <w:tcW w:type="dxa" w:w="4286"/>
            <w:vAlign w:val="top"/>
            <w:shd w:fill="F5F8FC"/>
          </w:tcPr>
          <w:p>
            <w:pPr>
              <w:pStyle w:val="Compact"/>
              <w:spacing w:before="40" w:after="60" w:line="247" w:lineRule="auto"/>
              <w:jc w:val="left"/>
            </w:pPr>
            <w:r>
              <w:rPr>
                <w:sz w:val="18"/>
              </w:rPr>
              <w:t xml:space="preserve">Testes, tipos, lint e métricas.</w:t>
            </w:r>
          </w:p>
        </w:tc>
      </w:tr>
      <w:tr>
        <w:trPr>
          <w:cantSplit/>
        </w:trPr>
        <w:tc>
          <w:tcPr>
            <w:tcW w:type="dxa" w:w="2191"/>
            <w:vAlign w:val="top"/>
            <w:shd w:fill="FFFFFF"/>
          </w:tcPr>
          <w:p>
            <w:pPr>
              <w:pStyle w:val="Compact"/>
              <w:spacing w:before="40" w:after="60" w:line="247" w:lineRule="auto"/>
              <w:jc w:val="left"/>
            </w:pPr>
            <w:r>
              <w:rPr>
                <w:sz w:val="18"/>
              </w:rPr>
              <w:t xml:space="preserve">Artefatos e governança</w:t>
            </w:r>
          </w:p>
        </w:tc>
        <w:tc>
          <w:tcPr>
            <w:tcW w:type="dxa" w:w="3048"/>
            <w:vAlign w:val="top"/>
            <w:shd w:fill="FFFFFF"/>
          </w:tcPr>
          <w:p>
            <w:pPr>
              <w:pStyle w:val="Compact"/>
              <w:spacing w:before="40" w:after="60" w:line="247" w:lineRule="auto"/>
              <w:jc w:val="left"/>
            </w:pPr>
            <w:r>
              <w:rPr>
                <w:rStyle w:val="VerbatimChar"/>
                <w:sz w:val="17"/>
              </w:rPr>
              <w:t xml:space="preserve">CODIGOFONTE.txt</w:t>
            </w:r>
            <w:r>
              <w:rPr>
                <w:sz w:val="18"/>
              </w:rPr>
              <w:t xml:space="preserve">, relatório de métricas,</w:t>
            </w:r>
            <w:r>
              <w:rPr>
                <w:sz w:val="18"/>
              </w:rPr>
              <w:t xml:space="preserve"> </w:t>
            </w:r>
            <w:r>
              <w:rPr>
                <w:rStyle w:val="VerbatimChar"/>
                <w:sz w:val="17"/>
              </w:rPr>
              <w:t xml:space="preserve">AGENTS.MD</w:t>
            </w:r>
            <w:r>
              <w:rPr>
                <w:sz w:val="18"/>
              </w:rPr>
              <w:t xml:space="preserve">,</w:t>
            </w:r>
            <w:r>
              <w:rPr>
                <w:sz w:val="18"/>
              </w:rPr>
              <w:t xml:space="preserve"> </w:t>
            </w:r>
            <w:r>
              <w:rPr>
                <w:rStyle w:val="VerbatimChar"/>
                <w:sz w:val="17"/>
              </w:rPr>
              <w:t xml:space="preserve">AGENTE-DOCUMENTACAO.md</w:t>
            </w:r>
          </w:p>
        </w:tc>
        <w:tc>
          <w:tcPr>
            <w:tcW w:type="dxa" w:w="4286"/>
            <w:vAlign w:val="top"/>
            <w:shd w:fill="FFFFFF"/>
          </w:tcPr>
          <w:p>
            <w:pPr>
              <w:pStyle w:val="Compact"/>
              <w:spacing w:before="40" w:after="60" w:line="247" w:lineRule="auto"/>
              <w:jc w:val="left"/>
            </w:pPr>
            <w:r>
              <w:rPr>
                <w:sz w:val="18"/>
              </w:rPr>
              <w:t xml:space="preserve">Consulta consolidada, critérios e instruções documentais.</w:t>
            </w:r>
          </w:p>
        </w:tc>
      </w:tr>
    </w:tbl>
    <w:p>
      <w:pPr>
        <w:pStyle w:val="BodyText"/>
      </w:pPr>
      <w:r>
        <w:t xml:space="preserve">As fontes deste capítulo são os arquivos citados na revisão</w:t>
      </w:r>
      <w:r>
        <w:t xml:space="preserve"> </w:t>
      </w:r>
      <w:r>
        <w:rPr>
          <w:rStyle w:val="VerbatimChar"/>
        </w:rPr>
        <w:t xml:space="preserve">1d05eb64bfdb9f7f579221a144165a66f1ba25e4</w:t>
      </w:r>
      <w:r>
        <w:t xml:space="preserve"> </w:t>
      </w:r>
      <w:r>
        <w:t xml:space="preserve">e os registros locais de instalação, build, testes, métricas e HTTP de 15 de outubro de 2026. As verificações existentes foram reutilizadas para documentação; não foram realizadas operações reais de produção para redigir este capítulo.</w:t>
      </w:r>
    </w:p>
    <w:bookmarkEnd w:id="92"/>
    <w:bookmarkEnd w:id="93"/>
    <w:bookmarkStart w:id="109" w:name="glossário-e-referências"/>
    <w:p>
      <w:pPr>
        <w:pStyle w:val="Heading1"/>
      </w:pPr>
      <w:bookmarkStart w:id="20055" w:name="docsec_056"/>
      <w:r>
        <w:t xml:space="preserve">Glossário e referências</w:t>
      </w:r>
      <w:bookmarkEnd w:id="20055"/>
    </w:p>
    <w:bookmarkStart w:id="94" w:name="glossário-técnico-e-institucional"/>
    <w:p>
      <w:pPr>
        <w:pStyle w:val="Heading2"/>
      </w:pPr>
      <w:bookmarkStart w:id="20056" w:name="docsec_057"/>
      <w:r>
        <w:t xml:space="preserve">Glossário técnico e institucional</w:t>
      </w:r>
      <w:bookmarkEnd w:id="20056"/>
    </w:p>
    <w:p>
      <w:pPr>
        <w:pStyle w:val="FirstParagraph"/>
      </w:pPr>
      <w:r>
        <w:t xml:space="preserve">Os termos desta seção são utilizados no contexto do portal. As definições distinguem a apresentação de um componente curricular da implementação de uma plataforma de ensino. O sistema documentado divulga a proposta e recebe manifestações de interesse; as referências a materiais didáticos e à área docente não representam, por si, serviços de distribuição de aulas ou contas autenticadas implementados nesta revisão.</w:t>
      </w:r>
    </w:p>
    <w:p>
      <w:pPr>
        <w:pStyle w:val="TableCaption"/>
        <w:keepNext/>
      </w:pPr>
      <w:r>
        <w:t xml:space="preserve">Tabela </w:t>
      </w:r>
      <w:r>
        <w:rPr>
          <w:rFonts w:ascii="Open Sans" w:hAnsi="Open Sans"/>
          <w:sz w:val="18"/>
        </w:rPr>
        <w:fldChar w:fldCharType="begin"/>
        <w:instrText xml:space="preserve"> SEQ Tabela </w:instrText>
        <w:fldChar w:fldCharType="separate"/>
        <w:t>31</w:t>
        <w:fldChar w:fldCharType="end"/>
      </w:r>
      <w:r>
        <w:t xml:space="preserve"> — Glossário técnico e institucional.</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381"/>
        <w:gridCol w:w="7143"/>
      </w:tblGrid>
      <w:tr>
        <w:trPr>
          <w:tblHeader w:val="on"/>
          <w:cantSplit/>
        </w:trPr>
        <w:tc>
          <w:tcPr>
            <w:tcW w:type="dxa" w:w="2381"/>
            <w:vAlign w:val="top"/>
            <w:shd w:fill="233B82"/>
          </w:tcPr>
          <w:p>
            <w:pPr>
              <w:pStyle w:val="Compact"/>
              <w:spacing w:before="40" w:after="60" w:line="247" w:lineRule="auto"/>
              <w:jc w:val="left"/>
            </w:pPr>
            <w:r>
              <w:rPr>
                <w:b/>
                <w:color w:val="FFFFFF"/>
                <w:sz w:val="18"/>
              </w:rPr>
              <w:t xml:space="preserve">Termo</w:t>
            </w:r>
          </w:p>
        </w:tc>
        <w:tc>
          <w:tcPr>
            <w:tcW w:type="dxa" w:w="7143"/>
            <w:vAlign w:val="top"/>
            <w:shd w:fill="233B82"/>
          </w:tcPr>
          <w:p>
            <w:pPr>
              <w:pStyle w:val="Compact"/>
              <w:spacing w:before="40" w:after="60" w:line="247" w:lineRule="auto"/>
              <w:jc w:val="left"/>
            </w:pPr>
            <w:r>
              <w:rPr>
                <w:b/>
                <w:color w:val="FFFFFF"/>
                <w:sz w:val="18"/>
              </w:rPr>
              <w:t xml:space="preserve">Significado no sistema</w:t>
            </w:r>
          </w:p>
        </w:tc>
      </w:tr>
      <w:tr>
        <w:trPr>
          <w:cantSplit/>
        </w:trPr>
        <w:tc>
          <w:tcPr>
            <w:tcW w:type="dxa" w:w="2381"/>
            <w:vAlign w:val="top"/>
            <w:shd w:fill="FFFFFF"/>
          </w:tcPr>
          <w:p>
            <w:pPr>
              <w:pStyle w:val="Compact"/>
              <w:spacing w:before="40" w:after="60" w:line="247" w:lineRule="auto"/>
              <w:jc w:val="left"/>
            </w:pPr>
            <w:r>
              <w:rPr>
                <w:sz w:val="18"/>
              </w:rPr>
              <w:t xml:space="preserve">ASG</w:t>
            </w:r>
          </w:p>
        </w:tc>
        <w:tc>
          <w:tcPr>
            <w:tcW w:type="dxa" w:w="7143"/>
            <w:vAlign w:val="top"/>
            <w:shd w:fill="FFFFFF"/>
          </w:tcPr>
          <w:p>
            <w:pPr>
              <w:pStyle w:val="Compact"/>
              <w:spacing w:before="40" w:after="60" w:line="247" w:lineRule="auto"/>
              <w:jc w:val="left"/>
            </w:pPr>
            <w:r>
              <w:rPr>
                <w:sz w:val="18"/>
              </w:rPr>
              <w:t xml:space="preserve">Ambiental, Social e Governança. Organiza os temas apresentados pelo componente curricular.</w:t>
            </w:r>
          </w:p>
        </w:tc>
      </w:tr>
      <w:tr>
        <w:trPr>
          <w:cantSplit/>
        </w:trPr>
        <w:tc>
          <w:tcPr>
            <w:tcW w:type="dxa" w:w="2381"/>
            <w:vAlign w:val="top"/>
            <w:shd w:fill="F5F8FC"/>
          </w:tcPr>
          <w:p>
            <w:pPr>
              <w:pStyle w:val="Compact"/>
              <w:spacing w:before="40" w:after="60" w:line="247" w:lineRule="auto"/>
              <w:jc w:val="left"/>
            </w:pPr>
            <w:r>
              <w:rPr>
                <w:sz w:val="18"/>
              </w:rPr>
              <w:t xml:space="preserve">ODS</w:t>
            </w:r>
          </w:p>
        </w:tc>
        <w:tc>
          <w:tcPr>
            <w:tcW w:type="dxa" w:w="7143"/>
            <w:vAlign w:val="top"/>
            <w:shd w:fill="F5F8FC"/>
          </w:tcPr>
          <w:p>
            <w:pPr>
              <w:pStyle w:val="Compact"/>
              <w:spacing w:before="40" w:after="60" w:line="247" w:lineRule="auto"/>
              <w:jc w:val="left"/>
            </w:pPr>
            <w:r>
              <w:rPr>
                <w:sz w:val="18"/>
              </w:rPr>
              <w:t xml:space="preserve">Objetivos de Desenvolvimento Sustentável, associados ao conteúdo institucional e pedagógico do portal.</w:t>
            </w:r>
          </w:p>
        </w:tc>
      </w:tr>
      <w:tr>
        <w:trPr>
          <w:cantSplit/>
        </w:trPr>
        <w:tc>
          <w:tcPr>
            <w:tcW w:type="dxa" w:w="2381"/>
            <w:vAlign w:val="top"/>
            <w:shd w:fill="FFFFFF"/>
          </w:tcPr>
          <w:p>
            <w:pPr>
              <w:pStyle w:val="Compact"/>
              <w:spacing w:before="40" w:after="60" w:line="247" w:lineRule="auto"/>
              <w:jc w:val="left"/>
            </w:pPr>
            <w:r>
              <w:rPr>
                <w:sz w:val="18"/>
              </w:rPr>
              <w:t xml:space="preserve">CRA-SP</w:t>
            </w:r>
          </w:p>
        </w:tc>
        <w:tc>
          <w:tcPr>
            <w:tcW w:type="dxa" w:w="7143"/>
            <w:vAlign w:val="top"/>
            <w:shd w:fill="FFFFFF"/>
          </w:tcPr>
          <w:p>
            <w:pPr>
              <w:pStyle w:val="Compact"/>
              <w:spacing w:before="40" w:after="60" w:line="247" w:lineRule="auto"/>
              <w:jc w:val="left"/>
            </w:pPr>
            <w:r>
              <w:rPr>
                <w:sz w:val="18"/>
              </w:rPr>
              <w:t xml:space="preserve">Conselho Regional de Administração de São Paulo, instituição responsável identificada na interface.</w:t>
            </w:r>
          </w:p>
        </w:tc>
      </w:tr>
      <w:tr>
        <w:trPr>
          <w:cantSplit/>
        </w:trPr>
        <w:tc>
          <w:tcPr>
            <w:tcW w:type="dxa" w:w="2381"/>
            <w:vAlign w:val="top"/>
            <w:shd w:fill="F5F8FC"/>
          </w:tcPr>
          <w:p>
            <w:pPr>
              <w:pStyle w:val="Compact"/>
              <w:spacing w:before="40" w:after="60" w:line="247" w:lineRule="auto"/>
              <w:jc w:val="left"/>
            </w:pPr>
            <w:r>
              <w:rPr>
                <w:sz w:val="18"/>
              </w:rPr>
              <w:t xml:space="preserve">IES</w:t>
            </w:r>
          </w:p>
        </w:tc>
        <w:tc>
          <w:tcPr>
            <w:tcW w:type="dxa" w:w="7143"/>
            <w:vAlign w:val="top"/>
            <w:shd w:fill="F5F8FC"/>
          </w:tcPr>
          <w:p>
            <w:pPr>
              <w:pStyle w:val="Compact"/>
              <w:spacing w:before="40" w:after="60" w:line="247" w:lineRule="auto"/>
              <w:jc w:val="left"/>
            </w:pPr>
            <w:r>
              <w:rPr>
                <w:sz w:val="18"/>
              </w:rPr>
              <w:t xml:space="preserve">Instituição de Educação Superior. A instituição e o campus contextualizam a manifestação de interesse.</w:t>
            </w:r>
          </w:p>
        </w:tc>
      </w:tr>
      <w:tr>
        <w:trPr>
          <w:cantSplit/>
        </w:trPr>
        <w:tc>
          <w:tcPr>
            <w:tcW w:type="dxa" w:w="2381"/>
            <w:vAlign w:val="top"/>
            <w:shd w:fill="FFFFFF"/>
          </w:tcPr>
          <w:p>
            <w:pPr>
              <w:pStyle w:val="Compact"/>
              <w:spacing w:before="40" w:after="60" w:line="247" w:lineRule="auto"/>
              <w:jc w:val="left"/>
            </w:pPr>
            <w:r>
              <w:rPr>
                <w:sz w:val="18"/>
              </w:rPr>
              <w:t xml:space="preserve">ANGRAD</w:t>
            </w:r>
          </w:p>
        </w:tc>
        <w:tc>
          <w:tcPr>
            <w:tcW w:type="dxa" w:w="7143"/>
            <w:vAlign w:val="top"/>
            <w:shd w:fill="FFFFFF"/>
          </w:tcPr>
          <w:p>
            <w:pPr>
              <w:pStyle w:val="Compact"/>
              <w:spacing w:before="40" w:after="60" w:line="247" w:lineRule="auto"/>
              <w:jc w:val="left"/>
            </w:pPr>
            <w:r>
              <w:rPr>
                <w:sz w:val="18"/>
              </w:rPr>
              <w:t xml:space="preserve">Associação Nacional dos Cursos de Graduação em Administração, identificada entre as instituições participantes.</w:t>
            </w:r>
          </w:p>
        </w:tc>
      </w:tr>
      <w:tr>
        <w:trPr>
          <w:cantSplit/>
        </w:trPr>
        <w:tc>
          <w:tcPr>
            <w:tcW w:type="dxa" w:w="2381"/>
            <w:vAlign w:val="top"/>
            <w:shd w:fill="F5F8FC"/>
          </w:tcPr>
          <w:p>
            <w:pPr>
              <w:pStyle w:val="Compact"/>
              <w:spacing w:before="40" w:after="60" w:line="247" w:lineRule="auto"/>
              <w:jc w:val="left"/>
            </w:pPr>
            <w:r>
              <w:rPr>
                <w:sz w:val="18"/>
              </w:rPr>
              <w:t xml:space="preserve">PRME</w:t>
            </w:r>
          </w:p>
        </w:tc>
        <w:tc>
          <w:tcPr>
            <w:tcW w:type="dxa" w:w="7143"/>
            <w:vAlign w:val="top"/>
            <w:shd w:fill="F5F8FC"/>
          </w:tcPr>
          <w:p>
            <w:pPr>
              <w:pStyle w:val="Compact"/>
              <w:spacing w:before="40" w:after="60" w:line="247" w:lineRule="auto"/>
              <w:jc w:val="left"/>
            </w:pPr>
            <w:r>
              <w:rPr>
                <w:sz w:val="18"/>
              </w:rPr>
              <w:t xml:space="preserve">Principles for Responsible Management Education, iniciativa apresentada entre as instituições signatárias.</w:t>
            </w:r>
          </w:p>
        </w:tc>
      </w:tr>
      <w:tr>
        <w:trPr>
          <w:cantSplit/>
        </w:trPr>
        <w:tc>
          <w:tcPr>
            <w:tcW w:type="dxa" w:w="2381"/>
            <w:vAlign w:val="top"/>
            <w:shd w:fill="FFFFFF"/>
          </w:tcPr>
          <w:p>
            <w:pPr>
              <w:pStyle w:val="Compact"/>
              <w:spacing w:before="40" w:after="60" w:line="247" w:lineRule="auto"/>
              <w:jc w:val="left"/>
            </w:pPr>
            <w:r>
              <w:rPr>
                <w:sz w:val="18"/>
              </w:rPr>
              <w:t xml:space="preserve">IBGC</w:t>
            </w:r>
          </w:p>
        </w:tc>
        <w:tc>
          <w:tcPr>
            <w:tcW w:type="dxa" w:w="7143"/>
            <w:vAlign w:val="top"/>
            <w:shd w:fill="FFFFFF"/>
          </w:tcPr>
          <w:p>
            <w:pPr>
              <w:pStyle w:val="Compact"/>
              <w:spacing w:before="40" w:after="60" w:line="247" w:lineRule="auto"/>
              <w:jc w:val="left"/>
            </w:pPr>
            <w:r>
              <w:rPr>
                <w:sz w:val="18"/>
              </w:rPr>
              <w:t xml:space="preserve">Instituto Brasileiro de Governança Corporativa, identificado no conteúdo do componente.</w:t>
            </w:r>
          </w:p>
        </w:tc>
      </w:tr>
      <w:tr>
        <w:trPr>
          <w:cantSplit/>
        </w:trPr>
        <w:tc>
          <w:tcPr>
            <w:tcW w:type="dxa" w:w="2381"/>
            <w:vAlign w:val="top"/>
            <w:shd w:fill="F5F8FC"/>
          </w:tcPr>
          <w:p>
            <w:pPr>
              <w:pStyle w:val="Compact"/>
              <w:spacing w:before="40" w:after="60" w:line="247" w:lineRule="auto"/>
              <w:jc w:val="left"/>
            </w:pPr>
            <w:r>
              <w:rPr>
                <w:sz w:val="18"/>
              </w:rPr>
              <w:t xml:space="preserve">Instituto Ethos</w:t>
            </w:r>
          </w:p>
        </w:tc>
        <w:tc>
          <w:tcPr>
            <w:tcW w:type="dxa" w:w="7143"/>
            <w:vAlign w:val="top"/>
            <w:shd w:fill="F5F8FC"/>
          </w:tcPr>
          <w:p>
            <w:pPr>
              <w:pStyle w:val="Compact"/>
              <w:spacing w:before="40" w:after="60" w:line="247" w:lineRule="auto"/>
              <w:jc w:val="left"/>
            </w:pPr>
            <w:r>
              <w:rPr>
                <w:sz w:val="18"/>
              </w:rPr>
              <w:t xml:space="preserve">Instituição participante identificada nos catálogos e marcas do portal.</w:t>
            </w:r>
          </w:p>
        </w:tc>
      </w:tr>
      <w:tr>
        <w:trPr>
          <w:cantSplit/>
        </w:trPr>
        <w:tc>
          <w:tcPr>
            <w:tcW w:type="dxa" w:w="2381"/>
            <w:vAlign w:val="top"/>
            <w:shd w:fill="FFFFFF"/>
          </w:tcPr>
          <w:p>
            <w:pPr>
              <w:pStyle w:val="Compact"/>
              <w:spacing w:before="40" w:after="60" w:line="247" w:lineRule="auto"/>
              <w:jc w:val="left"/>
            </w:pPr>
            <w:r>
              <w:rPr>
                <w:sz w:val="18"/>
              </w:rPr>
              <w:t xml:space="preserve">RSC</w:t>
            </w:r>
          </w:p>
        </w:tc>
        <w:tc>
          <w:tcPr>
            <w:tcW w:type="dxa" w:w="7143"/>
            <w:vAlign w:val="top"/>
            <w:shd w:fill="FFFFFF"/>
          </w:tcPr>
          <w:p>
            <w:pPr>
              <w:pStyle w:val="Compact"/>
              <w:spacing w:before="40" w:after="60" w:line="247" w:lineRule="auto"/>
              <w:jc w:val="left"/>
            </w:pPr>
            <w:r>
              <w:rPr>
                <w:sz w:val="18"/>
              </w:rPr>
              <w:t xml:space="preserve">Responsabilidade Social Corporativa, expressão empregada no módulo de contextualização histórica.</w:t>
            </w:r>
          </w:p>
        </w:tc>
      </w:tr>
      <w:tr>
        <w:trPr>
          <w:cantSplit/>
        </w:trPr>
        <w:tc>
          <w:tcPr>
            <w:tcW w:type="dxa" w:w="2381"/>
            <w:vAlign w:val="top"/>
            <w:shd w:fill="F5F8FC"/>
          </w:tcPr>
          <w:p>
            <w:pPr>
              <w:pStyle w:val="Compact"/>
              <w:spacing w:before="40" w:after="60" w:line="247" w:lineRule="auto"/>
              <w:jc w:val="left"/>
            </w:pPr>
            <w:r>
              <w:rPr>
                <w:sz w:val="18"/>
              </w:rPr>
              <w:t xml:space="preserve">Taxonomia de Bloom</w:t>
            </w:r>
          </w:p>
        </w:tc>
        <w:tc>
          <w:tcPr>
            <w:tcW w:type="dxa" w:w="7143"/>
            <w:vAlign w:val="top"/>
            <w:shd w:fill="F5F8FC"/>
          </w:tcPr>
          <w:p>
            <w:pPr>
              <w:pStyle w:val="Compact"/>
              <w:spacing w:before="40" w:after="60" w:line="247" w:lineRule="auto"/>
              <w:jc w:val="left"/>
            </w:pPr>
            <w:r>
              <w:rPr>
                <w:sz w:val="18"/>
              </w:rPr>
              <w:t xml:space="preserve">Referência pedagógica utilizada para organizar níveis, verbos e objetivos de aprendizagem.</w:t>
            </w:r>
          </w:p>
        </w:tc>
      </w:tr>
      <w:tr>
        <w:trPr>
          <w:cantSplit/>
        </w:trPr>
        <w:tc>
          <w:tcPr>
            <w:tcW w:type="dxa" w:w="2381"/>
            <w:vAlign w:val="top"/>
            <w:shd w:fill="FFFFFF"/>
          </w:tcPr>
          <w:p>
            <w:pPr>
              <w:pStyle w:val="Compact"/>
              <w:spacing w:before="40" w:after="60" w:line="247" w:lineRule="auto"/>
              <w:jc w:val="left"/>
            </w:pPr>
            <w:r>
              <w:rPr>
                <w:sz w:val="18"/>
              </w:rPr>
              <w:t xml:space="preserve">Microlearning</w:t>
            </w:r>
          </w:p>
        </w:tc>
        <w:tc>
          <w:tcPr>
            <w:tcW w:type="dxa" w:w="7143"/>
            <w:vAlign w:val="top"/>
            <w:shd w:fill="FFFFFF"/>
          </w:tcPr>
          <w:p>
            <w:pPr>
              <w:pStyle w:val="Compact"/>
              <w:spacing w:before="40" w:after="60" w:line="247" w:lineRule="auto"/>
              <w:jc w:val="left"/>
            </w:pPr>
            <w:r>
              <w:rPr>
                <w:sz w:val="18"/>
              </w:rPr>
              <w:t xml:space="preserve">Organização do aprendizado em unidades menores, apresentada como fundamento metodológico.</w:t>
            </w:r>
          </w:p>
        </w:tc>
      </w:tr>
      <w:tr>
        <w:trPr>
          <w:cantSplit/>
        </w:trPr>
        <w:tc>
          <w:tcPr>
            <w:tcW w:type="dxa" w:w="2381"/>
            <w:vAlign w:val="top"/>
            <w:shd w:fill="F5F8FC"/>
          </w:tcPr>
          <w:p>
            <w:pPr>
              <w:pStyle w:val="Compact"/>
              <w:spacing w:before="40" w:after="60" w:line="247" w:lineRule="auto"/>
              <w:jc w:val="left"/>
            </w:pPr>
            <w:r>
              <w:rPr>
                <w:sz w:val="18"/>
              </w:rPr>
              <w:t xml:space="preserve">SPA</w:t>
            </w:r>
          </w:p>
        </w:tc>
        <w:tc>
          <w:tcPr>
            <w:tcW w:type="dxa" w:w="7143"/>
            <w:vAlign w:val="top"/>
            <w:shd w:fill="F5F8FC"/>
          </w:tcPr>
          <w:p>
            <w:pPr>
              <w:pStyle w:val="Compact"/>
              <w:spacing w:before="40" w:after="60" w:line="247" w:lineRule="auto"/>
              <w:jc w:val="left"/>
            </w:pPr>
            <w:r>
              <w:rPr>
                <w:sz w:val="18"/>
              </w:rPr>
              <w:t xml:space="preserve">Single-Page Application. A navegação React atualiza a interface sem exigir um documento HTML distinto para cada rota.</w:t>
            </w:r>
          </w:p>
        </w:tc>
      </w:tr>
      <w:tr>
        <w:trPr>
          <w:cantSplit/>
        </w:trPr>
        <w:tc>
          <w:tcPr>
            <w:tcW w:type="dxa" w:w="2381"/>
            <w:vAlign w:val="top"/>
            <w:shd w:fill="FFFFFF"/>
          </w:tcPr>
          <w:p>
            <w:pPr>
              <w:pStyle w:val="Compact"/>
              <w:spacing w:before="40" w:after="60" w:line="247" w:lineRule="auto"/>
              <w:jc w:val="left"/>
            </w:pPr>
            <w:r>
              <w:rPr>
                <w:sz w:val="18"/>
              </w:rPr>
              <w:t xml:space="preserve">Thin Client</w:t>
            </w:r>
          </w:p>
        </w:tc>
        <w:tc>
          <w:tcPr>
            <w:tcW w:type="dxa" w:w="7143"/>
            <w:vAlign w:val="top"/>
            <w:shd w:fill="FFFFFF"/>
          </w:tcPr>
          <w:p>
            <w:pPr>
              <w:pStyle w:val="Compact"/>
              <w:spacing w:before="40" w:after="60" w:line="247" w:lineRule="auto"/>
              <w:jc w:val="left"/>
            </w:pPr>
            <w:r>
              <w:rPr>
                <w:sz w:val="18"/>
              </w:rPr>
              <w:t xml:space="preserve">Distribuição de responsabilidades em que o navegador apresenta a interface, enquanto o servidor valida e persiste os dados.</w:t>
            </w:r>
          </w:p>
        </w:tc>
      </w:tr>
      <w:tr>
        <w:trPr>
          <w:cantSplit/>
        </w:trPr>
        <w:tc>
          <w:tcPr>
            <w:tcW w:type="dxa" w:w="2381"/>
            <w:vAlign w:val="top"/>
            <w:shd w:fill="F5F8FC"/>
          </w:tcPr>
          <w:p>
            <w:pPr>
              <w:pStyle w:val="Compact"/>
              <w:spacing w:before="40" w:after="60" w:line="247" w:lineRule="auto"/>
              <w:jc w:val="left"/>
            </w:pPr>
            <w:r>
              <w:rPr>
                <w:sz w:val="18"/>
              </w:rPr>
              <w:t xml:space="preserve">Rota</w:t>
            </w:r>
          </w:p>
        </w:tc>
        <w:tc>
          <w:tcPr>
            <w:tcW w:type="dxa" w:w="7143"/>
            <w:vAlign w:val="top"/>
            <w:shd w:fill="F5F8FC"/>
          </w:tcPr>
          <w:p>
            <w:pPr>
              <w:pStyle w:val="Compact"/>
              <w:spacing w:before="40" w:after="60" w:line="247" w:lineRule="auto"/>
              <w:jc w:val="left"/>
            </w:pPr>
            <w:r>
              <w:rPr>
                <w:sz w:val="18"/>
              </w:rPr>
              <w:t xml:space="preserve">Caminho associado a uma página React ou a uma operação HTTP, conforme a camada examinada.</w:t>
            </w:r>
          </w:p>
        </w:tc>
      </w:tr>
      <w:tr>
        <w:trPr>
          <w:cantSplit/>
        </w:trPr>
        <w:tc>
          <w:tcPr>
            <w:tcW w:type="dxa" w:w="2381"/>
            <w:vAlign w:val="top"/>
            <w:shd w:fill="FFFFFF"/>
          </w:tcPr>
          <w:p>
            <w:pPr>
              <w:pStyle w:val="Compact"/>
              <w:spacing w:before="40" w:after="60" w:line="247" w:lineRule="auto"/>
              <w:jc w:val="left"/>
            </w:pPr>
            <w:r>
              <w:rPr>
                <w:sz w:val="18"/>
              </w:rPr>
              <w:t xml:space="preserve">Fragmento</w:t>
            </w:r>
          </w:p>
        </w:tc>
        <w:tc>
          <w:tcPr>
            <w:tcW w:type="dxa" w:w="7143"/>
            <w:vAlign w:val="top"/>
            <w:shd w:fill="FFFFFF"/>
          </w:tcPr>
          <w:p>
            <w:pPr>
              <w:pStyle w:val="Compact"/>
              <w:spacing w:before="40" w:after="60" w:line="247" w:lineRule="auto"/>
              <w:jc w:val="left"/>
            </w:pPr>
            <w:r>
              <w:rPr>
                <w:sz w:val="18"/>
              </w:rPr>
              <w:t xml:space="preserve">Parte da URL iniciada por cerquilha, utilizada para localizar uma seção, como um módulo da trilha.</w:t>
            </w:r>
          </w:p>
        </w:tc>
      </w:tr>
      <w:tr>
        <w:trPr>
          <w:cantSplit/>
        </w:trPr>
        <w:tc>
          <w:tcPr>
            <w:tcW w:type="dxa" w:w="2381"/>
            <w:vAlign w:val="top"/>
            <w:shd w:fill="F5F8FC"/>
          </w:tcPr>
          <w:p>
            <w:pPr>
              <w:pStyle w:val="Compact"/>
              <w:spacing w:before="40" w:after="60" w:line="247" w:lineRule="auto"/>
              <w:jc w:val="left"/>
            </w:pPr>
            <w:r>
              <w:rPr>
                <w:sz w:val="18"/>
              </w:rPr>
              <w:t xml:space="preserve">Componente</w:t>
            </w:r>
          </w:p>
        </w:tc>
        <w:tc>
          <w:tcPr>
            <w:tcW w:type="dxa" w:w="7143"/>
            <w:vAlign w:val="top"/>
            <w:shd w:fill="F5F8FC"/>
          </w:tcPr>
          <w:p>
            <w:pPr>
              <w:pStyle w:val="Compact"/>
              <w:spacing w:before="40" w:after="60" w:line="247" w:lineRule="auto"/>
              <w:jc w:val="left"/>
            </w:pPr>
            <w:r>
              <w:rPr>
                <w:sz w:val="18"/>
              </w:rPr>
              <w:t xml:space="preserve">Unidade de composição da interface React, com propriedades, apresentação e eventualmente estado ou efeitos.</w:t>
            </w:r>
          </w:p>
        </w:tc>
      </w:tr>
      <w:tr>
        <w:trPr>
          <w:cantSplit/>
        </w:trPr>
        <w:tc>
          <w:tcPr>
            <w:tcW w:type="dxa" w:w="2381"/>
            <w:vAlign w:val="top"/>
            <w:shd w:fill="FFFFFF"/>
          </w:tcPr>
          <w:p>
            <w:pPr>
              <w:pStyle w:val="Compact"/>
              <w:spacing w:before="40" w:after="60" w:line="247" w:lineRule="auto"/>
              <w:jc w:val="left"/>
            </w:pPr>
            <w:r>
              <w:rPr>
                <w:sz w:val="18"/>
              </w:rPr>
              <w:t xml:space="preserve">Hook</w:t>
            </w:r>
          </w:p>
        </w:tc>
        <w:tc>
          <w:tcPr>
            <w:tcW w:type="dxa" w:w="7143"/>
            <w:vAlign w:val="top"/>
            <w:shd w:fill="FFFFFF"/>
          </w:tcPr>
          <w:p>
            <w:pPr>
              <w:pStyle w:val="Compact"/>
              <w:spacing w:before="40" w:after="60" w:line="247" w:lineRule="auto"/>
              <w:jc w:val="left"/>
            </w:pPr>
            <w:r>
              <w:rPr>
                <w:sz w:val="18"/>
              </w:rPr>
              <w:t xml:space="preserve">Função React que organiza estado, efeitos ou comportamento reutilizável, como o envio do formulário.</w:t>
            </w:r>
          </w:p>
        </w:tc>
      </w:tr>
      <w:tr>
        <w:trPr>
          <w:cantSplit/>
        </w:trPr>
        <w:tc>
          <w:tcPr>
            <w:tcW w:type="dxa" w:w="2381"/>
            <w:vAlign w:val="top"/>
            <w:shd w:fill="F5F8FC"/>
          </w:tcPr>
          <w:p>
            <w:pPr>
              <w:pStyle w:val="Compact"/>
              <w:spacing w:before="40" w:after="60" w:line="247" w:lineRule="auto"/>
              <w:jc w:val="left"/>
            </w:pPr>
            <w:r>
              <w:rPr>
                <w:sz w:val="18"/>
              </w:rPr>
              <w:t xml:space="preserve">Lazy loading</w:t>
            </w:r>
          </w:p>
        </w:tc>
        <w:tc>
          <w:tcPr>
            <w:tcW w:type="dxa" w:w="7143"/>
            <w:vAlign w:val="top"/>
            <w:shd w:fill="F5F8FC"/>
          </w:tcPr>
          <w:p>
            <w:pPr>
              <w:pStyle w:val="Compact"/>
              <w:spacing w:before="40" w:after="60" w:line="247" w:lineRule="auto"/>
              <w:jc w:val="left"/>
            </w:pPr>
            <w:r>
              <w:rPr>
                <w:sz w:val="18"/>
              </w:rPr>
              <w:t xml:space="preserve">Carregamento de um módulo JavaScript quando sua página ou funcionalidade passa a ser necessária.</w:t>
            </w:r>
          </w:p>
        </w:tc>
      </w:tr>
      <w:tr>
        <w:trPr>
          <w:cantSplit/>
        </w:trPr>
        <w:tc>
          <w:tcPr>
            <w:tcW w:type="dxa" w:w="2381"/>
            <w:vAlign w:val="top"/>
            <w:shd w:fill="FFFFFF"/>
          </w:tcPr>
          <w:p>
            <w:pPr>
              <w:pStyle w:val="Compact"/>
              <w:spacing w:before="40" w:after="60" w:line="247" w:lineRule="auto"/>
              <w:jc w:val="left"/>
            </w:pPr>
            <w:r>
              <w:rPr>
                <w:sz w:val="18"/>
              </w:rPr>
              <w:t xml:space="preserve">Suspense</w:t>
            </w:r>
          </w:p>
        </w:tc>
        <w:tc>
          <w:tcPr>
            <w:tcW w:type="dxa" w:w="7143"/>
            <w:vAlign w:val="top"/>
            <w:shd w:fill="FFFFFF"/>
          </w:tcPr>
          <w:p>
            <w:pPr>
              <w:pStyle w:val="Compact"/>
              <w:spacing w:before="40" w:after="60" w:line="247" w:lineRule="auto"/>
              <w:jc w:val="left"/>
            </w:pPr>
            <w:r>
              <w:rPr>
                <w:sz w:val="18"/>
              </w:rPr>
              <w:t xml:space="preserve">Componente React que apresenta uma interface de espera durante o carregamento de recursos compatíveis.</w:t>
            </w:r>
          </w:p>
        </w:tc>
      </w:tr>
      <w:tr>
        <w:trPr>
          <w:cantSplit/>
        </w:trPr>
        <w:tc>
          <w:tcPr>
            <w:tcW w:type="dxa" w:w="2381"/>
            <w:vAlign w:val="top"/>
            <w:shd w:fill="F5F8FC"/>
          </w:tcPr>
          <w:p>
            <w:pPr>
              <w:pStyle w:val="Compact"/>
              <w:spacing w:before="40" w:after="60" w:line="247" w:lineRule="auto"/>
              <w:jc w:val="left"/>
            </w:pPr>
            <w:r>
              <w:rPr>
                <w:sz w:val="18"/>
              </w:rPr>
              <w:t xml:space="preserve">API</w:t>
            </w:r>
          </w:p>
        </w:tc>
        <w:tc>
          <w:tcPr>
            <w:tcW w:type="dxa" w:w="7143"/>
            <w:vAlign w:val="top"/>
            <w:shd w:fill="F5F8FC"/>
          </w:tcPr>
          <w:p>
            <w:pPr>
              <w:pStyle w:val="Compact"/>
              <w:spacing w:before="40" w:after="60" w:line="247" w:lineRule="auto"/>
              <w:jc w:val="left"/>
            </w:pPr>
            <w:r>
              <w:rPr>
                <w:sz w:val="18"/>
              </w:rPr>
              <w:t xml:space="preserve">Interface HTTP consumida pelo formulário e atendida pelo servidor Express.</w:t>
            </w:r>
          </w:p>
        </w:tc>
      </w:tr>
      <w:tr>
        <w:trPr>
          <w:cantSplit/>
        </w:trPr>
        <w:tc>
          <w:tcPr>
            <w:tcW w:type="dxa" w:w="2381"/>
            <w:vAlign w:val="top"/>
            <w:shd w:fill="FFFFFF"/>
          </w:tcPr>
          <w:p>
            <w:pPr>
              <w:pStyle w:val="Compact"/>
              <w:spacing w:before="40" w:after="60" w:line="247" w:lineRule="auto"/>
              <w:jc w:val="left"/>
            </w:pPr>
            <w:r>
              <w:rPr>
                <w:sz w:val="18"/>
              </w:rPr>
              <w:t xml:space="preserve">Endpoint</w:t>
            </w:r>
          </w:p>
        </w:tc>
        <w:tc>
          <w:tcPr>
            <w:tcW w:type="dxa" w:w="7143"/>
            <w:vAlign w:val="top"/>
            <w:shd w:fill="FFFFFF"/>
          </w:tcPr>
          <w:p>
            <w:pPr>
              <w:pStyle w:val="Compact"/>
              <w:spacing w:before="40" w:after="60" w:line="247" w:lineRule="auto"/>
              <w:jc w:val="left"/>
            </w:pPr>
            <w:r>
              <w:rPr>
                <w:sz w:val="18"/>
              </w:rPr>
              <w:t xml:space="preserve">Combinação de método HTTP e caminho. A operação principal é POST /api/registrar-interesse.</w:t>
            </w:r>
          </w:p>
        </w:tc>
      </w:tr>
      <w:tr>
        <w:trPr>
          <w:cantSplit/>
        </w:trPr>
        <w:tc>
          <w:tcPr>
            <w:tcW w:type="dxa" w:w="2381"/>
            <w:vAlign w:val="top"/>
            <w:shd w:fill="F5F8FC"/>
          </w:tcPr>
          <w:p>
            <w:pPr>
              <w:pStyle w:val="Compact"/>
              <w:spacing w:before="40" w:after="60" w:line="247" w:lineRule="auto"/>
              <w:jc w:val="left"/>
            </w:pPr>
            <w:r>
              <w:rPr>
                <w:sz w:val="18"/>
              </w:rPr>
              <w:t xml:space="preserve">Payload</w:t>
            </w:r>
          </w:p>
        </w:tc>
        <w:tc>
          <w:tcPr>
            <w:tcW w:type="dxa" w:w="7143"/>
            <w:vAlign w:val="top"/>
            <w:shd w:fill="F5F8FC"/>
          </w:tcPr>
          <w:p>
            <w:pPr>
              <w:pStyle w:val="Compact"/>
              <w:spacing w:before="40" w:after="60" w:line="247" w:lineRule="auto"/>
              <w:jc w:val="left"/>
            </w:pPr>
            <w:r>
              <w:rPr>
                <w:sz w:val="18"/>
              </w:rPr>
              <w:t xml:space="preserve">Corpo de uma requisição ou resposta. O formulário transmite um objeto JSON validado pelo servidor.</w:t>
            </w:r>
          </w:p>
        </w:tc>
      </w:tr>
      <w:tr>
        <w:trPr>
          <w:cantSplit/>
        </w:trPr>
        <w:tc>
          <w:tcPr>
            <w:tcW w:type="dxa" w:w="2381"/>
            <w:vAlign w:val="top"/>
            <w:shd w:fill="FFFFFF"/>
          </w:tcPr>
          <w:p>
            <w:pPr>
              <w:pStyle w:val="Compact"/>
              <w:spacing w:before="40" w:after="60" w:line="247" w:lineRule="auto"/>
              <w:jc w:val="left"/>
            </w:pPr>
            <w:r>
              <w:rPr>
                <w:sz w:val="18"/>
              </w:rPr>
              <w:t xml:space="preserve">Schema</w:t>
            </w:r>
          </w:p>
        </w:tc>
        <w:tc>
          <w:tcPr>
            <w:tcW w:type="dxa" w:w="7143"/>
            <w:vAlign w:val="top"/>
            <w:shd w:fill="FFFFFF"/>
          </w:tcPr>
          <w:p>
            <w:pPr>
              <w:pStyle w:val="Compact"/>
              <w:spacing w:before="40" w:after="60" w:line="247" w:lineRule="auto"/>
              <w:jc w:val="left"/>
            </w:pPr>
            <w:r>
              <w:rPr>
                <w:sz w:val="18"/>
              </w:rPr>
              <w:t xml:space="preserve">Definição da estrutura, das transformações e das restrições aceitas para uma entrada.</w:t>
            </w:r>
          </w:p>
        </w:tc>
      </w:tr>
      <w:tr>
        <w:trPr>
          <w:cantSplit/>
        </w:trPr>
        <w:tc>
          <w:tcPr>
            <w:tcW w:type="dxa" w:w="2381"/>
            <w:vAlign w:val="top"/>
            <w:shd w:fill="F5F8FC"/>
          </w:tcPr>
          <w:p>
            <w:pPr>
              <w:pStyle w:val="Compact"/>
              <w:spacing w:before="40" w:after="60" w:line="247" w:lineRule="auto"/>
              <w:jc w:val="left"/>
            </w:pPr>
            <w:r>
              <w:rPr>
                <w:sz w:val="18"/>
              </w:rPr>
              <w:t xml:space="preserve">Zod</w:t>
            </w:r>
          </w:p>
        </w:tc>
        <w:tc>
          <w:tcPr>
            <w:tcW w:type="dxa" w:w="7143"/>
            <w:vAlign w:val="top"/>
            <w:shd w:fill="F5F8FC"/>
          </w:tcPr>
          <w:p>
            <w:pPr>
              <w:pStyle w:val="Compact"/>
              <w:spacing w:before="40" w:after="60" w:line="247" w:lineRule="auto"/>
              <w:jc w:val="left"/>
            </w:pPr>
            <w:r>
              <w:rPr>
                <w:sz w:val="18"/>
              </w:rPr>
              <w:t xml:space="preserve">Biblioteca empregada para validar e normalizar o contrato de manifestação de interesse.</w:t>
            </w:r>
          </w:p>
        </w:tc>
      </w:tr>
      <w:tr>
        <w:trPr>
          <w:cantSplit/>
        </w:trPr>
        <w:tc>
          <w:tcPr>
            <w:tcW w:type="dxa" w:w="2381"/>
            <w:vAlign w:val="top"/>
            <w:shd w:fill="FFFFFF"/>
          </w:tcPr>
          <w:p>
            <w:pPr>
              <w:pStyle w:val="Compact"/>
              <w:spacing w:before="40" w:after="60" w:line="247" w:lineRule="auto"/>
              <w:jc w:val="left"/>
            </w:pPr>
            <w:r>
              <w:rPr>
                <w:sz w:val="18"/>
              </w:rPr>
              <w:t xml:space="preserve">Middleware</w:t>
            </w:r>
          </w:p>
        </w:tc>
        <w:tc>
          <w:tcPr>
            <w:tcW w:type="dxa" w:w="7143"/>
            <w:vAlign w:val="top"/>
            <w:shd w:fill="FFFFFF"/>
          </w:tcPr>
          <w:p>
            <w:pPr>
              <w:pStyle w:val="Compact"/>
              <w:spacing w:before="40" w:after="60" w:line="247" w:lineRule="auto"/>
              <w:jc w:val="left"/>
            </w:pPr>
            <w:r>
              <w:rPr>
                <w:sz w:val="18"/>
              </w:rPr>
              <w:t xml:space="preserve">Etapa de processamento Express que atua antes do manipulador final ou no tratamento de erros.</w:t>
            </w:r>
          </w:p>
        </w:tc>
      </w:tr>
      <w:tr>
        <w:trPr>
          <w:cantSplit/>
        </w:trPr>
        <w:tc>
          <w:tcPr>
            <w:tcW w:type="dxa" w:w="2381"/>
            <w:vAlign w:val="top"/>
            <w:shd w:fill="F5F8FC"/>
          </w:tcPr>
          <w:p>
            <w:pPr>
              <w:pStyle w:val="Compact"/>
              <w:spacing w:before="40" w:after="60" w:line="247" w:lineRule="auto"/>
              <w:jc w:val="left"/>
            </w:pPr>
            <w:r>
              <w:rPr>
                <w:sz w:val="18"/>
              </w:rPr>
              <w:t xml:space="preserve">Proxy confiável</w:t>
            </w:r>
          </w:p>
        </w:tc>
        <w:tc>
          <w:tcPr>
            <w:tcW w:type="dxa" w:w="7143"/>
            <w:vAlign w:val="top"/>
            <w:shd w:fill="F5F8FC"/>
          </w:tcPr>
          <w:p>
            <w:pPr>
              <w:pStyle w:val="Compact"/>
              <w:spacing w:before="40" w:after="60" w:line="247" w:lineRule="auto"/>
              <w:jc w:val="left"/>
            </w:pPr>
            <w:r>
              <w:rPr>
                <w:sz w:val="18"/>
              </w:rPr>
              <w:t xml:space="preserve">Intermediário considerado pelo Express na determinação do endereço do cliente; a configuração precisa corresponder à infraestrutura real.</w:t>
            </w:r>
          </w:p>
        </w:tc>
      </w:tr>
      <w:tr>
        <w:trPr>
          <w:cantSplit/>
        </w:trPr>
        <w:tc>
          <w:tcPr>
            <w:tcW w:type="dxa" w:w="2381"/>
            <w:vAlign w:val="top"/>
            <w:shd w:fill="FFFFFF"/>
          </w:tcPr>
          <w:p>
            <w:pPr>
              <w:pStyle w:val="Compact"/>
              <w:spacing w:before="40" w:after="60" w:line="247" w:lineRule="auto"/>
              <w:jc w:val="left"/>
            </w:pPr>
            <w:r>
              <w:rPr>
                <w:sz w:val="18"/>
              </w:rPr>
              <w:t xml:space="preserve">Rate limiter</w:t>
            </w:r>
          </w:p>
        </w:tc>
        <w:tc>
          <w:tcPr>
            <w:tcW w:type="dxa" w:w="7143"/>
            <w:vAlign w:val="top"/>
            <w:shd w:fill="FFFFFF"/>
          </w:tcPr>
          <w:p>
            <w:pPr>
              <w:pStyle w:val="Compact"/>
              <w:spacing w:before="40" w:after="60" w:line="247" w:lineRule="auto"/>
              <w:jc w:val="left"/>
            </w:pPr>
            <w:r>
              <w:rPr>
                <w:sz w:val="18"/>
              </w:rPr>
              <w:t xml:space="preserve">Controle em memória que limita as requisições ao endpoint de registro por endereço IP e janela de tempo.</w:t>
            </w:r>
          </w:p>
        </w:tc>
      </w:tr>
      <w:tr>
        <w:trPr>
          <w:cantSplit/>
        </w:trPr>
        <w:tc>
          <w:tcPr>
            <w:tcW w:type="dxa" w:w="2381"/>
            <w:vAlign w:val="top"/>
            <w:shd w:fill="F5F8FC"/>
          </w:tcPr>
          <w:p>
            <w:pPr>
              <w:pStyle w:val="Compact"/>
              <w:spacing w:before="40" w:after="60" w:line="247" w:lineRule="auto"/>
              <w:jc w:val="left"/>
            </w:pPr>
            <w:r>
              <w:rPr>
                <w:sz w:val="18"/>
              </w:rPr>
              <w:t xml:space="preserve">Firestore</w:t>
            </w:r>
          </w:p>
        </w:tc>
        <w:tc>
          <w:tcPr>
            <w:tcW w:type="dxa" w:w="7143"/>
            <w:vAlign w:val="top"/>
            <w:shd w:fill="F5F8FC"/>
          </w:tcPr>
          <w:p>
            <w:pPr>
              <w:pStyle w:val="Compact"/>
              <w:spacing w:before="40" w:after="60" w:line="247" w:lineRule="auto"/>
              <w:jc w:val="left"/>
            </w:pPr>
            <w:r>
              <w:rPr>
                <w:sz w:val="18"/>
              </w:rPr>
              <w:t xml:space="preserve">Serviço de banco de dados documental utilizado para os registros operacionais, índices e cofre.</w:t>
            </w:r>
          </w:p>
        </w:tc>
      </w:tr>
      <w:tr>
        <w:trPr>
          <w:cantSplit/>
        </w:trPr>
        <w:tc>
          <w:tcPr>
            <w:tcW w:type="dxa" w:w="2381"/>
            <w:vAlign w:val="top"/>
            <w:shd w:fill="FFFFFF"/>
          </w:tcPr>
          <w:p>
            <w:pPr>
              <w:pStyle w:val="Compact"/>
              <w:spacing w:before="40" w:after="60" w:line="247" w:lineRule="auto"/>
              <w:jc w:val="left"/>
            </w:pPr>
            <w:r>
              <w:rPr>
                <w:sz w:val="18"/>
              </w:rPr>
              <w:t xml:space="preserve">Admin SDK</w:t>
            </w:r>
          </w:p>
        </w:tc>
        <w:tc>
          <w:tcPr>
            <w:tcW w:type="dxa" w:w="7143"/>
            <w:vAlign w:val="top"/>
            <w:shd w:fill="FFFFFF"/>
          </w:tcPr>
          <w:p>
            <w:pPr>
              <w:pStyle w:val="Compact"/>
              <w:spacing w:before="40" w:after="60" w:line="247" w:lineRule="auto"/>
              <w:jc w:val="left"/>
            </w:pPr>
            <w:r>
              <w:rPr>
                <w:sz w:val="18"/>
              </w:rPr>
              <w:t xml:space="preserve">Biblioteca de servidor que acessa os serviços Firebase com a identidade e as permissões do ambiente.</w:t>
            </w:r>
          </w:p>
        </w:tc>
      </w:tr>
      <w:tr>
        <w:trPr>
          <w:cantSplit/>
        </w:trPr>
        <w:tc>
          <w:tcPr>
            <w:tcW w:type="dxa" w:w="2381"/>
            <w:vAlign w:val="top"/>
            <w:shd w:fill="F5F8FC"/>
          </w:tcPr>
          <w:p>
            <w:pPr>
              <w:pStyle w:val="Compact"/>
              <w:spacing w:before="40" w:after="60" w:line="247" w:lineRule="auto"/>
              <w:jc w:val="left"/>
            </w:pPr>
            <w:r>
              <w:rPr>
                <w:sz w:val="18"/>
              </w:rPr>
              <w:t xml:space="preserve">ADC</w:t>
            </w:r>
          </w:p>
        </w:tc>
        <w:tc>
          <w:tcPr>
            <w:tcW w:type="dxa" w:w="7143"/>
            <w:vAlign w:val="top"/>
            <w:shd w:fill="F5F8FC"/>
          </w:tcPr>
          <w:p>
            <w:pPr>
              <w:pStyle w:val="Compact"/>
              <w:spacing w:before="40" w:after="60" w:line="247" w:lineRule="auto"/>
              <w:jc w:val="left"/>
            </w:pPr>
            <w:r>
              <w:rPr>
                <w:sz w:val="18"/>
              </w:rPr>
              <w:t xml:space="preserve">Application Default Credentials. Mecanismo utilizado pelo SDK para obter credenciais do ambiente de execução.</w:t>
            </w:r>
          </w:p>
        </w:tc>
      </w:tr>
      <w:tr>
        <w:trPr>
          <w:cantSplit/>
        </w:trPr>
        <w:tc>
          <w:tcPr>
            <w:tcW w:type="dxa" w:w="2381"/>
            <w:vAlign w:val="top"/>
            <w:shd w:fill="FFFFFF"/>
          </w:tcPr>
          <w:p>
            <w:pPr>
              <w:pStyle w:val="Compact"/>
              <w:spacing w:before="40" w:after="60" w:line="247" w:lineRule="auto"/>
              <w:jc w:val="left"/>
            </w:pPr>
            <w:r>
              <w:rPr>
                <w:sz w:val="18"/>
              </w:rPr>
              <w:t xml:space="preserve">IAM</w:t>
            </w:r>
          </w:p>
        </w:tc>
        <w:tc>
          <w:tcPr>
            <w:tcW w:type="dxa" w:w="7143"/>
            <w:vAlign w:val="top"/>
            <w:shd w:fill="FFFFFF"/>
          </w:tcPr>
          <w:p>
            <w:pPr>
              <w:pStyle w:val="Compact"/>
              <w:spacing w:before="40" w:after="60" w:line="247" w:lineRule="auto"/>
              <w:jc w:val="left"/>
            </w:pPr>
            <w:r>
              <w:rPr>
                <w:sz w:val="18"/>
              </w:rPr>
              <w:t xml:space="preserve">Identity and Access Management. Controla as permissões da identidade que executa o backend.</w:t>
            </w:r>
          </w:p>
        </w:tc>
      </w:tr>
      <w:tr>
        <w:trPr>
          <w:cantSplit/>
        </w:trPr>
        <w:tc>
          <w:tcPr>
            <w:tcW w:type="dxa" w:w="2381"/>
            <w:vAlign w:val="top"/>
            <w:shd w:fill="F5F8FC"/>
          </w:tcPr>
          <w:p>
            <w:pPr>
              <w:pStyle w:val="Compact"/>
              <w:spacing w:before="40" w:after="60" w:line="247" w:lineRule="auto"/>
              <w:jc w:val="left"/>
            </w:pPr>
            <w:r>
              <w:rPr>
                <w:sz w:val="18"/>
              </w:rPr>
              <w:t xml:space="preserve">Transação</w:t>
            </w:r>
          </w:p>
        </w:tc>
        <w:tc>
          <w:tcPr>
            <w:tcW w:type="dxa" w:w="7143"/>
            <w:vAlign w:val="top"/>
            <w:shd w:fill="F5F8FC"/>
          </w:tcPr>
          <w:p>
            <w:pPr>
              <w:pStyle w:val="Compact"/>
              <w:spacing w:before="40" w:after="60" w:line="247" w:lineRule="auto"/>
              <w:jc w:val="left"/>
            </w:pPr>
            <w:r>
              <w:rPr>
                <w:sz w:val="18"/>
              </w:rPr>
              <w:t xml:space="preserve">Operação que reúne leituras e escritas relacionadas para preservar as condições de consistência verificadas pelo código.</w:t>
            </w:r>
          </w:p>
        </w:tc>
      </w:tr>
      <w:tr>
        <w:trPr>
          <w:cantSplit/>
        </w:trPr>
        <w:tc>
          <w:tcPr>
            <w:tcW w:type="dxa" w:w="2381"/>
            <w:vAlign w:val="top"/>
            <w:shd w:fill="FFFFFF"/>
          </w:tcPr>
          <w:p>
            <w:pPr>
              <w:pStyle w:val="Compact"/>
              <w:spacing w:before="40" w:after="60" w:line="247" w:lineRule="auto"/>
              <w:jc w:val="left"/>
            </w:pPr>
            <w:r>
              <w:rPr>
                <w:sz w:val="18"/>
              </w:rPr>
              <w:t xml:space="preserve">Bucket lógico</w:t>
            </w:r>
          </w:p>
        </w:tc>
        <w:tc>
          <w:tcPr>
            <w:tcW w:type="dxa" w:w="7143"/>
            <w:vAlign w:val="top"/>
            <w:shd w:fill="FFFFFF"/>
          </w:tcPr>
          <w:p>
            <w:pPr>
              <w:pStyle w:val="Compact"/>
              <w:spacing w:before="40" w:after="60" w:line="247" w:lineRule="auto"/>
              <w:jc w:val="left"/>
            </w:pPr>
            <w:r>
              <w:rPr>
                <w:sz w:val="18"/>
              </w:rPr>
              <w:t xml:space="preserve">Documento parteN que agrega manifestações. Neste projeto, o termo não indica um bucket de arquivos do Cloud Storage.</w:t>
            </w:r>
          </w:p>
        </w:tc>
      </w:tr>
      <w:tr>
        <w:trPr>
          <w:cantSplit/>
        </w:trPr>
        <w:tc>
          <w:tcPr>
            <w:tcW w:type="dxa" w:w="2381"/>
            <w:vAlign w:val="top"/>
            <w:shd w:fill="F5F8FC"/>
          </w:tcPr>
          <w:p>
            <w:pPr>
              <w:pStyle w:val="Compact"/>
              <w:spacing w:before="40" w:after="60" w:line="247" w:lineRule="auto"/>
              <w:jc w:val="left"/>
            </w:pPr>
            <w:r>
              <w:rPr>
                <w:sz w:val="18"/>
              </w:rPr>
              <w:t xml:space="preserve">Unicidade</w:t>
            </w:r>
          </w:p>
        </w:tc>
        <w:tc>
          <w:tcPr>
            <w:tcW w:type="dxa" w:w="7143"/>
            <w:vAlign w:val="top"/>
            <w:shd w:fill="F5F8FC"/>
          </w:tcPr>
          <w:p>
            <w:pPr>
              <w:pStyle w:val="Compact"/>
              <w:spacing w:before="40" w:after="60" w:line="247" w:lineRule="auto"/>
              <w:jc w:val="left"/>
            </w:pPr>
            <w:r>
              <w:rPr>
                <w:sz w:val="18"/>
              </w:rPr>
              <w:t xml:space="preserve">Controle que utiliza o índice derivado do email para identificar uma manifestação já cadastrada.</w:t>
            </w:r>
          </w:p>
        </w:tc>
      </w:tr>
      <w:tr>
        <w:trPr>
          <w:cantSplit/>
        </w:trPr>
        <w:tc>
          <w:tcPr>
            <w:tcW w:type="dxa" w:w="2381"/>
            <w:vAlign w:val="top"/>
            <w:shd w:fill="FFFFFF"/>
          </w:tcPr>
          <w:p>
            <w:pPr>
              <w:pStyle w:val="Compact"/>
              <w:spacing w:before="40" w:after="60" w:line="247" w:lineRule="auto"/>
              <w:jc w:val="left"/>
            </w:pPr>
            <w:r>
              <w:rPr>
                <w:sz w:val="18"/>
              </w:rPr>
              <w:t xml:space="preserve">UUID</w:t>
            </w:r>
          </w:p>
        </w:tc>
        <w:tc>
          <w:tcPr>
            <w:tcW w:type="dxa" w:w="7143"/>
            <w:vAlign w:val="top"/>
            <w:shd w:fill="FFFFFF"/>
          </w:tcPr>
          <w:p>
            <w:pPr>
              <w:pStyle w:val="Compact"/>
              <w:spacing w:before="40" w:after="60" w:line="247" w:lineRule="auto"/>
              <w:jc w:val="left"/>
            </w:pPr>
            <w:r>
              <w:rPr>
                <w:sz w:val="18"/>
              </w:rPr>
              <w:t xml:space="preserve">Identificador gerado no servidor e incorporado ao leadId com o prefixo lead_.</w:t>
            </w:r>
          </w:p>
        </w:tc>
      </w:tr>
      <w:tr>
        <w:trPr>
          <w:cantSplit/>
        </w:trPr>
        <w:tc>
          <w:tcPr>
            <w:tcW w:type="dxa" w:w="2381"/>
            <w:vAlign w:val="top"/>
            <w:shd w:fill="F5F8FC"/>
          </w:tcPr>
          <w:p>
            <w:pPr>
              <w:pStyle w:val="Compact"/>
              <w:spacing w:before="40" w:after="60" w:line="247" w:lineRule="auto"/>
              <w:jc w:val="left"/>
            </w:pPr>
            <w:r>
              <w:rPr>
                <w:sz w:val="18"/>
              </w:rPr>
              <w:t xml:space="preserve">HMAC-SHA256</w:t>
            </w:r>
          </w:p>
        </w:tc>
        <w:tc>
          <w:tcPr>
            <w:tcW w:type="dxa" w:w="7143"/>
            <w:vAlign w:val="top"/>
            <w:shd w:fill="F5F8FC"/>
          </w:tcPr>
          <w:p>
            <w:pPr>
              <w:pStyle w:val="Compact"/>
              <w:spacing w:before="40" w:after="60" w:line="247" w:lineRule="auto"/>
              <w:jc w:val="left"/>
            </w:pPr>
            <w:r>
              <w:rPr>
                <w:sz w:val="18"/>
              </w:rPr>
              <w:t xml:space="preserve">Código autenticador calculado com chave secreta sobre o email normalizado, usado como índice correlacionável.</w:t>
            </w:r>
          </w:p>
        </w:tc>
      </w:tr>
      <w:tr>
        <w:trPr>
          <w:cantSplit/>
        </w:trPr>
        <w:tc>
          <w:tcPr>
            <w:tcW w:type="dxa" w:w="2381"/>
            <w:vAlign w:val="top"/>
            <w:shd w:fill="FFFFFF"/>
          </w:tcPr>
          <w:p>
            <w:pPr>
              <w:pStyle w:val="Compact"/>
              <w:spacing w:before="40" w:after="60" w:line="247" w:lineRule="auto"/>
              <w:jc w:val="left"/>
            </w:pPr>
            <w:r>
              <w:rPr>
                <w:sz w:val="18"/>
              </w:rPr>
              <w:t xml:space="preserve">Cifragem</w:t>
            </w:r>
          </w:p>
        </w:tc>
        <w:tc>
          <w:tcPr>
            <w:tcW w:type="dxa" w:w="7143"/>
            <w:vAlign w:val="top"/>
            <w:shd w:fill="FFFFFF"/>
          </w:tcPr>
          <w:p>
            <w:pPr>
              <w:pStyle w:val="Compact"/>
              <w:spacing w:before="40" w:after="60" w:line="247" w:lineRule="auto"/>
              <w:jc w:val="left"/>
            </w:pPr>
            <w:r>
              <w:rPr>
                <w:sz w:val="18"/>
              </w:rPr>
              <w:t xml:space="preserve">Transformação reversível mediante chave. O cofre utiliza AES-256-GCM para campos de contato e observações.</w:t>
            </w:r>
          </w:p>
        </w:tc>
      </w:tr>
      <w:tr>
        <w:trPr>
          <w:cantSplit/>
        </w:trPr>
        <w:tc>
          <w:tcPr>
            <w:tcW w:type="dxa" w:w="2381"/>
            <w:vAlign w:val="top"/>
            <w:shd w:fill="F5F8FC"/>
          </w:tcPr>
          <w:p>
            <w:pPr>
              <w:pStyle w:val="Compact"/>
              <w:spacing w:before="40" w:after="60" w:line="247" w:lineRule="auto"/>
              <w:jc w:val="left"/>
            </w:pPr>
            <w:r>
              <w:rPr>
                <w:sz w:val="18"/>
              </w:rPr>
              <w:t xml:space="preserve">IV e tag</w:t>
            </w:r>
          </w:p>
        </w:tc>
        <w:tc>
          <w:tcPr>
            <w:tcW w:type="dxa" w:w="7143"/>
            <w:vAlign w:val="top"/>
            <w:shd w:fill="F5F8FC"/>
          </w:tcPr>
          <w:p>
            <w:pPr>
              <w:pStyle w:val="Compact"/>
              <w:spacing w:before="40" w:after="60" w:line="247" w:lineRule="auto"/>
              <w:jc w:val="left"/>
            </w:pPr>
            <w:r>
              <w:rPr>
                <w:sz w:val="18"/>
              </w:rPr>
              <w:t xml:space="preserve">Vetor de inicialização e etiqueta de autenticação do AES-GCM, incorporados ao envelope cifrado.</w:t>
            </w:r>
          </w:p>
        </w:tc>
      </w:tr>
      <w:tr>
        <w:trPr>
          <w:cantSplit/>
        </w:trPr>
        <w:tc>
          <w:tcPr>
            <w:tcW w:type="dxa" w:w="2381"/>
            <w:vAlign w:val="top"/>
            <w:shd w:fill="FFFFFF"/>
          </w:tcPr>
          <w:p>
            <w:pPr>
              <w:pStyle w:val="Compact"/>
              <w:spacing w:before="40" w:after="60" w:line="247" w:lineRule="auto"/>
              <w:jc w:val="left"/>
            </w:pPr>
            <w:r>
              <w:rPr>
                <w:sz w:val="18"/>
              </w:rPr>
              <w:t xml:space="preserve">Pseudonimização</w:t>
            </w:r>
          </w:p>
        </w:tc>
        <w:tc>
          <w:tcPr>
            <w:tcW w:type="dxa" w:w="7143"/>
            <w:vAlign w:val="top"/>
            <w:shd w:fill="FFFFFF"/>
          </w:tcPr>
          <w:p>
            <w:pPr>
              <w:pStyle w:val="Compact"/>
              <w:spacing w:before="40" w:after="60" w:line="247" w:lineRule="auto"/>
              <w:jc w:val="left"/>
            </w:pPr>
            <w:r>
              <w:rPr>
                <w:sz w:val="18"/>
              </w:rPr>
              <w:t xml:space="preserve">Redução da associação direta com a pessoa por meio de identificadores e separação de dados; não significa anonimização automática.</w:t>
            </w:r>
          </w:p>
        </w:tc>
      </w:tr>
      <w:tr>
        <w:trPr>
          <w:cantSplit/>
        </w:trPr>
        <w:tc>
          <w:tcPr>
            <w:tcW w:type="dxa" w:w="2381"/>
            <w:vAlign w:val="top"/>
            <w:shd w:fill="F5F8FC"/>
          </w:tcPr>
          <w:p>
            <w:pPr>
              <w:pStyle w:val="Compact"/>
              <w:spacing w:before="40" w:after="60" w:line="247" w:lineRule="auto"/>
              <w:jc w:val="left"/>
            </w:pPr>
            <w:r>
              <w:rPr>
                <w:sz w:val="18"/>
              </w:rPr>
              <w:t xml:space="preserve">CSP</w:t>
            </w:r>
          </w:p>
        </w:tc>
        <w:tc>
          <w:tcPr>
            <w:tcW w:type="dxa" w:w="7143"/>
            <w:vAlign w:val="top"/>
            <w:shd w:fill="F5F8FC"/>
          </w:tcPr>
          <w:p>
            <w:pPr>
              <w:pStyle w:val="Compact"/>
              <w:spacing w:before="40" w:after="60" w:line="247" w:lineRule="auto"/>
              <w:jc w:val="left"/>
            </w:pPr>
            <w:r>
              <w:rPr>
                <w:sz w:val="18"/>
              </w:rPr>
              <w:t xml:space="preserve">Content Security Policy. Define as fontes e os comportamentos de conteúdo autorizados pelo navegador.</w:t>
            </w:r>
          </w:p>
        </w:tc>
      </w:tr>
      <w:tr>
        <w:trPr>
          <w:cantSplit/>
        </w:trPr>
        <w:tc>
          <w:tcPr>
            <w:tcW w:type="dxa" w:w="2381"/>
            <w:vAlign w:val="top"/>
            <w:shd w:fill="FFFFFF"/>
          </w:tcPr>
          <w:p>
            <w:pPr>
              <w:pStyle w:val="Compact"/>
              <w:spacing w:before="40" w:after="60" w:line="247" w:lineRule="auto"/>
              <w:jc w:val="left"/>
            </w:pPr>
            <w:r>
              <w:rPr>
                <w:sz w:val="18"/>
              </w:rPr>
              <w:t xml:space="preserve">SRI</w:t>
            </w:r>
          </w:p>
        </w:tc>
        <w:tc>
          <w:tcPr>
            <w:tcW w:type="dxa" w:w="7143"/>
            <w:vAlign w:val="top"/>
            <w:shd w:fill="FFFFFF"/>
          </w:tcPr>
          <w:p>
            <w:pPr>
              <w:pStyle w:val="Compact"/>
              <w:spacing w:before="40" w:after="60" w:line="247" w:lineRule="auto"/>
              <w:jc w:val="left"/>
            </w:pPr>
            <w:r>
              <w:rPr>
                <w:sz w:val="18"/>
              </w:rPr>
              <w:t xml:space="preserve">Subresource Integrity. Verificação de conteúdo mediante hash, utilizada nos assets iniciais do build e no script principal do VLibras.</w:t>
            </w:r>
          </w:p>
        </w:tc>
      </w:tr>
      <w:tr>
        <w:trPr>
          <w:cantSplit/>
        </w:trPr>
        <w:tc>
          <w:tcPr>
            <w:tcW w:type="dxa" w:w="2381"/>
            <w:vAlign w:val="top"/>
            <w:shd w:fill="F5F8FC"/>
          </w:tcPr>
          <w:p>
            <w:pPr>
              <w:pStyle w:val="Compact"/>
              <w:spacing w:before="40" w:after="60" w:line="247" w:lineRule="auto"/>
              <w:jc w:val="left"/>
            </w:pPr>
            <w:r>
              <w:rPr>
                <w:sz w:val="18"/>
              </w:rPr>
              <w:t xml:space="preserve">COEP e CORP</w:t>
            </w:r>
          </w:p>
        </w:tc>
        <w:tc>
          <w:tcPr>
            <w:tcW w:type="dxa" w:w="7143"/>
            <w:vAlign w:val="top"/>
            <w:shd w:fill="F5F8FC"/>
          </w:tcPr>
          <w:p>
            <w:pPr>
              <w:pStyle w:val="Compact"/>
              <w:spacing w:before="40" w:after="60" w:line="247" w:lineRule="auto"/>
              <w:jc w:val="left"/>
            </w:pPr>
            <w:r>
              <w:rPr>
                <w:sz w:val="18"/>
              </w:rPr>
              <w:t xml:space="preserve">Políticas HTTP relacionadas ao carregamento e ao compartilhamento de recursos entre origens.</w:t>
            </w:r>
          </w:p>
        </w:tc>
      </w:tr>
      <w:tr>
        <w:trPr>
          <w:cantSplit/>
        </w:trPr>
        <w:tc>
          <w:tcPr>
            <w:tcW w:type="dxa" w:w="2381"/>
            <w:vAlign w:val="top"/>
            <w:shd w:fill="FFFFFF"/>
          </w:tcPr>
          <w:p>
            <w:pPr>
              <w:pStyle w:val="Compact"/>
              <w:spacing w:before="40" w:after="60" w:line="247" w:lineRule="auto"/>
              <w:jc w:val="left"/>
            </w:pPr>
            <w:r>
              <w:rPr>
                <w:sz w:val="18"/>
              </w:rPr>
              <w:t xml:space="preserve">COOP</w:t>
            </w:r>
          </w:p>
        </w:tc>
        <w:tc>
          <w:tcPr>
            <w:tcW w:type="dxa" w:w="7143"/>
            <w:vAlign w:val="top"/>
            <w:shd w:fill="FFFFFF"/>
          </w:tcPr>
          <w:p>
            <w:pPr>
              <w:pStyle w:val="Compact"/>
              <w:spacing w:before="40" w:after="60" w:line="247" w:lineRule="auto"/>
              <w:jc w:val="left"/>
            </w:pPr>
            <w:r>
              <w:rPr>
                <w:sz w:val="18"/>
              </w:rPr>
              <w:t xml:space="preserve">Política HTTP relacionada à separação entre contextos de navegação abertos por diferentes origens.</w:t>
            </w:r>
          </w:p>
        </w:tc>
      </w:tr>
      <w:tr>
        <w:trPr>
          <w:cantSplit/>
        </w:trPr>
        <w:tc>
          <w:tcPr>
            <w:tcW w:type="dxa" w:w="2381"/>
            <w:vAlign w:val="top"/>
            <w:shd w:fill="F5F8FC"/>
          </w:tcPr>
          <w:p>
            <w:pPr>
              <w:pStyle w:val="Compact"/>
              <w:spacing w:before="40" w:after="60" w:line="247" w:lineRule="auto"/>
              <w:jc w:val="left"/>
            </w:pPr>
            <w:r>
              <w:rPr>
                <w:sz w:val="18"/>
              </w:rPr>
              <w:t xml:space="preserve">VLibras</w:t>
            </w:r>
          </w:p>
        </w:tc>
        <w:tc>
          <w:tcPr>
            <w:tcW w:type="dxa" w:w="7143"/>
            <w:vAlign w:val="top"/>
            <w:shd w:fill="F5F8FC"/>
          </w:tcPr>
          <w:p>
            <w:pPr>
              <w:pStyle w:val="Compact"/>
              <w:spacing w:before="40" w:after="60" w:line="247" w:lineRule="auto"/>
              <w:jc w:val="left"/>
            </w:pPr>
            <w:r>
              <w:rPr>
                <w:sz w:val="18"/>
              </w:rPr>
              <w:t xml:space="preserve">Serviço externo de acessibilidade em Libras integrado à interface, com versão declarada 7.12.2 e uma ponte local para o player Unity.</w:t>
            </w:r>
          </w:p>
        </w:tc>
      </w:tr>
      <w:tr>
        <w:trPr>
          <w:cantSplit/>
        </w:trPr>
        <w:tc>
          <w:tcPr>
            <w:tcW w:type="dxa" w:w="2381"/>
            <w:vAlign w:val="top"/>
            <w:shd w:fill="FFFFFF"/>
          </w:tcPr>
          <w:p>
            <w:pPr>
              <w:pStyle w:val="Compact"/>
              <w:spacing w:before="40" w:after="60" w:line="247" w:lineRule="auto"/>
              <w:jc w:val="left"/>
            </w:pPr>
            <w:r>
              <w:rPr>
                <w:sz w:val="18"/>
              </w:rPr>
              <w:t xml:space="preserve">ARIA</w:t>
            </w:r>
          </w:p>
        </w:tc>
        <w:tc>
          <w:tcPr>
            <w:tcW w:type="dxa" w:w="7143"/>
            <w:vAlign w:val="top"/>
            <w:shd w:fill="FFFFFF"/>
          </w:tcPr>
          <w:p>
            <w:pPr>
              <w:pStyle w:val="Compact"/>
              <w:spacing w:before="40" w:after="60" w:line="247" w:lineRule="auto"/>
              <w:jc w:val="left"/>
            </w:pPr>
            <w:r>
              <w:rPr>
                <w:sz w:val="18"/>
              </w:rPr>
              <w:t xml:space="preserve">Atributos que comunicam nomes, relações e estados acessíveis quando a semântica nativa precisa de complementação.</w:t>
            </w:r>
          </w:p>
        </w:tc>
      </w:tr>
      <w:tr>
        <w:trPr>
          <w:cantSplit/>
        </w:trPr>
        <w:tc>
          <w:tcPr>
            <w:tcW w:type="dxa" w:w="2381"/>
            <w:vAlign w:val="top"/>
            <w:shd w:fill="F5F8FC"/>
          </w:tcPr>
          <w:p>
            <w:pPr>
              <w:pStyle w:val="Compact"/>
              <w:spacing w:before="40" w:after="60" w:line="247" w:lineRule="auto"/>
              <w:jc w:val="left"/>
            </w:pPr>
            <w:r>
              <w:rPr>
                <w:sz w:val="18"/>
              </w:rPr>
              <w:t xml:space="preserve">WCAG</w:t>
            </w:r>
          </w:p>
        </w:tc>
        <w:tc>
          <w:tcPr>
            <w:tcW w:type="dxa" w:w="7143"/>
            <w:vAlign w:val="top"/>
            <w:shd w:fill="F5F8FC"/>
          </w:tcPr>
          <w:p>
            <w:pPr>
              <w:pStyle w:val="Compact"/>
              <w:spacing w:before="40" w:after="60" w:line="247" w:lineRule="auto"/>
              <w:jc w:val="left"/>
            </w:pPr>
            <w:r>
              <w:rPr>
                <w:sz w:val="18"/>
              </w:rPr>
              <w:t xml:space="preserve">Diretrizes de Acessibilidade para Conteúdo Web. O AGENTS.MD declara a referência WCAG 2.2 AA.</w:t>
            </w:r>
          </w:p>
        </w:tc>
      </w:tr>
      <w:tr>
        <w:trPr>
          <w:cantSplit/>
        </w:trPr>
        <w:tc>
          <w:tcPr>
            <w:tcW w:type="dxa" w:w="2381"/>
            <w:vAlign w:val="top"/>
            <w:shd w:fill="FFFFFF"/>
          </w:tcPr>
          <w:p>
            <w:pPr>
              <w:pStyle w:val="Compact"/>
              <w:spacing w:before="40" w:after="60" w:line="247" w:lineRule="auto"/>
              <w:jc w:val="left"/>
            </w:pPr>
            <w:r>
              <w:rPr>
                <w:sz w:val="18"/>
              </w:rPr>
              <w:t xml:space="preserve">e-MAG</w:t>
            </w:r>
          </w:p>
        </w:tc>
        <w:tc>
          <w:tcPr>
            <w:tcW w:type="dxa" w:w="7143"/>
            <w:vAlign w:val="top"/>
            <w:shd w:fill="FFFFFF"/>
          </w:tcPr>
          <w:p>
            <w:pPr>
              <w:pStyle w:val="Compact"/>
              <w:spacing w:before="40" w:after="60" w:line="247" w:lineRule="auto"/>
              <w:jc w:val="left"/>
            </w:pPr>
            <w:r>
              <w:rPr>
                <w:sz w:val="18"/>
              </w:rPr>
              <w:t xml:space="preserve">Modelo de Acessibilidade em Governo Eletrônico, citado como referência quando aplicável; a edição não está especificada no projeto.</w:t>
            </w:r>
          </w:p>
        </w:tc>
      </w:tr>
      <w:tr>
        <w:trPr>
          <w:cantSplit/>
        </w:trPr>
        <w:tc>
          <w:tcPr>
            <w:tcW w:type="dxa" w:w="2381"/>
            <w:vAlign w:val="top"/>
            <w:shd w:fill="F5F8FC"/>
          </w:tcPr>
          <w:p>
            <w:pPr>
              <w:pStyle w:val="Compact"/>
              <w:spacing w:before="40" w:after="60" w:line="247" w:lineRule="auto"/>
              <w:jc w:val="left"/>
            </w:pPr>
            <w:r>
              <w:rPr>
                <w:sz w:val="18"/>
              </w:rPr>
              <w:t xml:space="preserve">SEO</w:t>
            </w:r>
          </w:p>
        </w:tc>
        <w:tc>
          <w:tcPr>
            <w:tcW w:type="dxa" w:w="7143"/>
            <w:vAlign w:val="top"/>
            <w:shd w:fill="F5F8FC"/>
          </w:tcPr>
          <w:p>
            <w:pPr>
              <w:pStyle w:val="Compact"/>
              <w:spacing w:before="40" w:after="60" w:line="247" w:lineRule="auto"/>
              <w:jc w:val="left"/>
            </w:pPr>
            <w:r>
              <w:rPr>
                <w:sz w:val="18"/>
              </w:rPr>
              <w:t xml:space="preserve">Search Engine Optimization. Neste sistema envolve metadados, conteúdo, recursos públicos e indicadores apresentados pelos scanners.</w:t>
            </w:r>
          </w:p>
        </w:tc>
      </w:tr>
      <w:tr>
        <w:trPr>
          <w:cantSplit/>
        </w:trPr>
        <w:tc>
          <w:tcPr>
            <w:tcW w:type="dxa" w:w="2381"/>
            <w:vAlign w:val="top"/>
            <w:shd w:fill="FFFFFF"/>
          </w:tcPr>
          <w:p>
            <w:pPr>
              <w:pStyle w:val="Compact"/>
              <w:spacing w:before="40" w:after="60" w:line="247" w:lineRule="auto"/>
              <w:jc w:val="left"/>
            </w:pPr>
            <w:r>
              <w:rPr>
                <w:sz w:val="18"/>
              </w:rPr>
              <w:t xml:space="preserve">Dado de campo</w:t>
            </w:r>
          </w:p>
        </w:tc>
        <w:tc>
          <w:tcPr>
            <w:tcW w:type="dxa" w:w="7143"/>
            <w:vAlign w:val="top"/>
            <w:shd w:fill="FFFFFF"/>
          </w:tcPr>
          <w:p>
            <w:pPr>
              <w:pStyle w:val="Compact"/>
              <w:spacing w:before="40" w:after="60" w:line="247" w:lineRule="auto"/>
              <w:jc w:val="left"/>
            </w:pPr>
            <w:r>
              <w:rPr>
                <w:sz w:val="18"/>
              </w:rPr>
              <w:t xml:space="preserve">Medição derivada de experiências reais de usuários, distinta de uma execução de laboratório em dispositivo simulado.</w:t>
            </w:r>
          </w:p>
        </w:tc>
      </w:tr>
      <w:tr>
        <w:trPr>
          <w:cantSplit/>
        </w:trPr>
        <w:tc>
          <w:tcPr>
            <w:tcW w:type="dxa" w:w="2381"/>
            <w:vAlign w:val="top"/>
            <w:shd w:fill="F5F8FC"/>
          </w:tcPr>
          <w:p>
            <w:pPr>
              <w:pStyle w:val="Compact"/>
              <w:spacing w:before="40" w:after="60" w:line="247" w:lineRule="auto"/>
              <w:jc w:val="left"/>
            </w:pPr>
            <w:r>
              <w:rPr>
                <w:sz w:val="18"/>
              </w:rPr>
              <w:t xml:space="preserve">SBOM</w:t>
            </w:r>
          </w:p>
        </w:tc>
        <w:tc>
          <w:tcPr>
            <w:tcW w:type="dxa" w:w="7143"/>
            <w:vAlign w:val="top"/>
            <w:shd w:fill="F5F8FC"/>
          </w:tcPr>
          <w:p>
            <w:pPr>
              <w:pStyle w:val="Compact"/>
              <w:spacing w:before="40" w:after="60" w:line="247" w:lineRule="auto"/>
              <w:jc w:val="left"/>
            </w:pPr>
            <w:r>
              <w:rPr>
                <w:sz w:val="18"/>
              </w:rPr>
              <w:t xml:space="preserve">Inventário estruturado dos componentes de software. Sua existência e seu padrão precisam ser comprovados separadamente da lista de dependências.</w:t>
            </w:r>
          </w:p>
        </w:tc>
      </w:tr>
      <w:tr>
        <w:trPr>
          <w:cantSplit/>
        </w:trPr>
        <w:tc>
          <w:tcPr>
            <w:tcW w:type="dxa" w:w="2381"/>
            <w:vAlign w:val="top"/>
            <w:shd w:fill="FFFFFF"/>
          </w:tcPr>
          <w:p>
            <w:pPr>
              <w:pStyle w:val="Compact"/>
              <w:spacing w:before="40" w:after="60" w:line="247" w:lineRule="auto"/>
              <w:jc w:val="left"/>
            </w:pPr>
            <w:r>
              <w:rPr>
                <w:sz w:val="18"/>
              </w:rPr>
              <w:t xml:space="preserve">SPDX</w:t>
            </w:r>
          </w:p>
        </w:tc>
        <w:tc>
          <w:tcPr>
            <w:tcW w:type="dxa" w:w="7143"/>
            <w:vAlign w:val="top"/>
            <w:shd w:fill="FFFFFF"/>
          </w:tcPr>
          <w:p>
            <w:pPr>
              <w:pStyle w:val="Compact"/>
              <w:spacing w:before="40" w:after="60" w:line="247" w:lineRule="auto"/>
              <w:jc w:val="left"/>
            </w:pPr>
            <w:r>
              <w:rPr>
                <w:sz w:val="18"/>
              </w:rPr>
              <w:t xml:space="preserve">Família de especificações e identificadores para descrever componentes, licenças e relações; o formato de SBOM adotado não está definido na revisão.</w:t>
            </w:r>
          </w:p>
        </w:tc>
      </w:tr>
      <w:tr>
        <w:trPr>
          <w:cantSplit/>
        </w:trPr>
        <w:tc>
          <w:tcPr>
            <w:tcW w:type="dxa" w:w="2381"/>
            <w:vAlign w:val="top"/>
            <w:shd w:fill="F5F8FC"/>
          </w:tcPr>
          <w:p>
            <w:pPr>
              <w:pStyle w:val="Compact"/>
              <w:spacing w:before="40" w:after="60" w:line="247" w:lineRule="auto"/>
              <w:jc w:val="left"/>
            </w:pPr>
            <w:r>
              <w:rPr>
                <w:sz w:val="18"/>
              </w:rPr>
              <w:t xml:space="preserve">OpenChain</w:t>
            </w:r>
          </w:p>
        </w:tc>
        <w:tc>
          <w:tcPr>
            <w:tcW w:type="dxa" w:w="7143"/>
            <w:vAlign w:val="top"/>
            <w:shd w:fill="F5F8FC"/>
          </w:tcPr>
          <w:p>
            <w:pPr>
              <w:pStyle w:val="Compact"/>
              <w:spacing w:before="40" w:after="60" w:line="247" w:lineRule="auto"/>
              <w:jc w:val="left"/>
            </w:pPr>
            <w:r>
              <w:rPr>
                <w:sz w:val="18"/>
              </w:rPr>
              <w:t xml:space="preserve">Referência para processos de conformidade de licenças de código aberto, relacionada à ISO/IEC 5230.</w:t>
            </w:r>
          </w:p>
        </w:tc>
      </w:tr>
      <w:tr>
        <w:trPr>
          <w:cantSplit/>
        </w:trPr>
        <w:tc>
          <w:tcPr>
            <w:tcW w:type="dxa" w:w="2381"/>
            <w:vAlign w:val="top"/>
            <w:shd w:fill="FFFFFF"/>
          </w:tcPr>
          <w:p>
            <w:pPr>
              <w:pStyle w:val="Compact"/>
              <w:spacing w:before="40" w:after="60" w:line="247" w:lineRule="auto"/>
              <w:jc w:val="left"/>
            </w:pPr>
            <w:r>
              <w:rPr>
                <w:sz w:val="18"/>
              </w:rPr>
              <w:t xml:space="preserve">ADR</w:t>
            </w:r>
          </w:p>
        </w:tc>
        <w:tc>
          <w:tcPr>
            <w:tcW w:type="dxa" w:w="7143"/>
            <w:vAlign w:val="top"/>
            <w:shd w:fill="FFFFFF"/>
          </w:tcPr>
          <w:p>
            <w:pPr>
              <w:pStyle w:val="Compact"/>
              <w:spacing w:before="40" w:after="60" w:line="247" w:lineRule="auto"/>
              <w:jc w:val="left"/>
            </w:pPr>
            <w:r>
              <w:rPr>
                <w:sz w:val="18"/>
              </w:rPr>
              <w:t xml:space="preserve">Architecture Decision Record. Registro de uma decisão arquitetural, quando seu documento detalhado estiver disponível.</w:t>
            </w:r>
          </w:p>
        </w:tc>
      </w:tr>
    </w:tbl>
    <w:p>
      <w:pPr>
        <w:pStyle w:val="BodyText"/>
      </w:pPr>
      <w:r>
        <w:t xml:space="preserve">Os indicadores FCP, LCP, CLS, TTFB e TBT estão definidos junto às tabelas do capítulo de resultados externos, para que a explicação acompanhe os valores e as respectivas unidades. Essa associação evita interpretar como equivalentes métricas de tempo, estabilidade visual e quantidade de trabalho bloqueante.</w:t>
      </w:r>
    </w:p>
    <w:bookmarkEnd w:id="94"/>
    <w:bookmarkStart w:id="97" w:name="X25b4a0a51f51965bcd48d93bc5ece2df1c3a537"/>
    <w:p>
      <w:pPr>
        <w:pStyle w:val="Heading2"/>
      </w:pPr>
      <w:bookmarkStart w:id="20057" w:name="docsec_058"/>
      <w:r>
        <w:t xml:space="preserve">Fontes de implementação e revisão documentada</w:t>
      </w:r>
      <w:bookmarkEnd w:id="20057"/>
    </w:p>
    <w:p>
      <w:pPr>
        <w:pStyle w:val="FirstParagraph"/>
      </w:pPr>
      <w:r>
        <w:t xml:space="preserve">A fonte de implementação é o repositório</w:t>
      </w:r>
      <w:r>
        <w:t xml:space="preserve"> </w:t>
      </w:r>
      <w:hyperlink r:id="rId95">
        <w:r>
          <w:rPr>
            <w:rStyle w:val="Hyperlink"/>
          </w:rPr>
          <w:t xml:space="preserve">desenvolvimentoprofissional-oss/asg-ods</w:t>
        </w:r>
      </w:hyperlink>
      <w:r>
        <w:t xml:space="preserve">, branch main, revisão completa</w:t>
      </w:r>
      <w:r>
        <w:t xml:space="preserve"> </w:t>
      </w:r>
      <w:hyperlink r:id="rId96">
        <w:r>
          <w:rPr>
            <w:rStyle w:val="Hyperlink"/>
          </w:rPr>
          <w:t xml:space="preserve">1d05eb64bfdb9f7f579221a144165a66f1ba25e4</w:t>
        </w:r>
      </w:hyperlink>
      <w:r>
        <w:t xml:space="preserve">. As referências permanentes identificam o material examinado mesmo que a branch avance posteriormente.</w:t>
      </w:r>
    </w:p>
    <w:p>
      <w:pPr>
        <w:pStyle w:val="TableCaption"/>
        <w:keepNext/>
      </w:pPr>
      <w:r>
        <w:t xml:space="preserve">Tabela </w:t>
      </w:r>
      <w:r>
        <w:rPr>
          <w:rFonts w:ascii="Open Sans" w:hAnsi="Open Sans"/>
          <w:sz w:val="18"/>
        </w:rPr>
        <w:fldChar w:fldCharType="begin"/>
        <w:instrText xml:space="preserve"> SEQ Tabela </w:instrText>
        <w:fldChar w:fldCharType="separate"/>
        <w:t>32</w:t>
        <w:fldChar w:fldCharType="end"/>
      </w:r>
      <w:r>
        <w:t xml:space="preserve"> — Fontes de implementação e revisão documentada.</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Área</w:t>
            </w:r>
          </w:p>
        </w:tc>
        <w:tc>
          <w:tcPr>
            <w:tcW w:type="dxa" w:w="3048"/>
            <w:vAlign w:val="top"/>
            <w:shd w:fill="233B82"/>
          </w:tcPr>
          <w:p>
            <w:pPr>
              <w:pStyle w:val="Compact"/>
              <w:spacing w:before="40" w:after="60" w:line="247" w:lineRule="auto"/>
              <w:jc w:val="left"/>
            </w:pPr>
            <w:r>
              <w:rPr>
                <w:b/>
                <w:color w:val="FFFFFF"/>
                <w:sz w:val="18"/>
              </w:rPr>
              <w:t xml:space="preserve">Fontes principais</w:t>
            </w:r>
          </w:p>
        </w:tc>
        <w:tc>
          <w:tcPr>
            <w:tcW w:type="dxa" w:w="4286"/>
            <w:vAlign w:val="top"/>
            <w:shd w:fill="233B82"/>
          </w:tcPr>
          <w:p>
            <w:pPr>
              <w:pStyle w:val="Compact"/>
              <w:spacing w:before="40" w:after="60" w:line="247" w:lineRule="auto"/>
              <w:jc w:val="left"/>
            </w:pPr>
            <w:r>
              <w:rPr>
                <w:b/>
                <w:color w:val="FFFFFF"/>
                <w:sz w:val="18"/>
              </w:rPr>
              <w:t xml:space="preserve">Relação com a descrição</w:t>
            </w:r>
          </w:p>
        </w:tc>
      </w:tr>
      <w:tr>
        <w:trPr>
          <w:cantSplit/>
        </w:trPr>
        <w:tc>
          <w:tcPr>
            <w:tcW w:type="dxa" w:w="2191"/>
            <w:vAlign w:val="top"/>
            <w:shd w:fill="FFFFFF"/>
          </w:tcPr>
          <w:p>
            <w:pPr>
              <w:pStyle w:val="Compact"/>
              <w:spacing w:before="40" w:after="60" w:line="247" w:lineRule="auto"/>
              <w:jc w:val="left"/>
            </w:pPr>
            <w:r>
              <w:rPr>
                <w:sz w:val="18"/>
              </w:rPr>
              <w:t xml:space="preserve">Governança</w:t>
            </w:r>
          </w:p>
        </w:tc>
        <w:tc>
          <w:tcPr>
            <w:tcW w:type="dxa" w:w="3048"/>
            <w:vAlign w:val="top"/>
            <w:shd w:fill="FFFFFF"/>
          </w:tcPr>
          <w:p>
            <w:pPr>
              <w:pStyle w:val="Compact"/>
              <w:spacing w:before="40" w:after="60" w:line="247" w:lineRule="auto"/>
              <w:jc w:val="left"/>
            </w:pPr>
            <w:r>
              <w:rPr>
                <w:sz w:val="18"/>
              </w:rPr>
              <w:t xml:space="preserve">AGENTS.MD; AGENTE-DOCUMENTACAO.md</w:t>
            </w:r>
          </w:p>
        </w:tc>
        <w:tc>
          <w:tcPr>
            <w:tcW w:type="dxa" w:w="4286"/>
            <w:vAlign w:val="top"/>
            <w:shd w:fill="FFFFFF"/>
          </w:tcPr>
          <w:p>
            <w:pPr>
              <w:pStyle w:val="Compact"/>
              <w:spacing w:before="40" w:after="60" w:line="247" w:lineRule="auto"/>
              <w:jc w:val="left"/>
            </w:pPr>
            <w:r>
              <w:rPr>
                <w:sz w:val="18"/>
              </w:rPr>
              <w:t xml:space="preserve">Regras internas de execução e padrão de conteúdo e apresentação.</w:t>
            </w:r>
          </w:p>
        </w:tc>
      </w:tr>
      <w:tr>
        <w:trPr>
          <w:cantSplit/>
        </w:trPr>
        <w:tc>
          <w:tcPr>
            <w:tcW w:type="dxa" w:w="2191"/>
            <w:vAlign w:val="top"/>
            <w:shd w:fill="F5F8FC"/>
          </w:tcPr>
          <w:p>
            <w:pPr>
              <w:pStyle w:val="Compact"/>
              <w:spacing w:before="40" w:after="60" w:line="247" w:lineRule="auto"/>
              <w:jc w:val="left"/>
            </w:pPr>
            <w:r>
              <w:rPr>
                <w:sz w:val="18"/>
              </w:rPr>
              <w:t xml:space="preserve">Entrada e navegação</w:t>
            </w:r>
          </w:p>
        </w:tc>
        <w:tc>
          <w:tcPr>
            <w:tcW w:type="dxa" w:w="3048"/>
            <w:vAlign w:val="top"/>
            <w:shd w:fill="F5F8FC"/>
          </w:tcPr>
          <w:p>
            <w:pPr>
              <w:pStyle w:val="Compact"/>
              <w:spacing w:before="40" w:after="60" w:line="247" w:lineRule="auto"/>
              <w:jc w:val="left"/>
            </w:pPr>
            <w:r>
              <w:rPr>
                <w:sz w:val="18"/>
              </w:rPr>
              <w:t xml:space="preserve">index.html; src/main.tsx; src/App.tsx; src/routes/index.tsx</w:t>
            </w:r>
          </w:p>
        </w:tc>
        <w:tc>
          <w:tcPr>
            <w:tcW w:type="dxa" w:w="4286"/>
            <w:vAlign w:val="top"/>
            <w:shd w:fill="F5F8FC"/>
          </w:tcPr>
          <w:p>
            <w:pPr>
              <w:pStyle w:val="Compact"/>
              <w:spacing w:before="40" w:after="60" w:line="247" w:lineRule="auto"/>
              <w:jc w:val="left"/>
            </w:pPr>
            <w:r>
              <w:rPr>
                <w:sz w:val="18"/>
              </w:rPr>
              <w:t xml:space="preserve">Inicialização, composição global, carregamento e destinos.</w:t>
            </w:r>
          </w:p>
        </w:tc>
      </w:tr>
      <w:tr>
        <w:trPr>
          <w:cantSplit/>
        </w:trPr>
        <w:tc>
          <w:tcPr>
            <w:tcW w:type="dxa" w:w="2191"/>
            <w:vAlign w:val="top"/>
            <w:shd w:fill="FFFFFF"/>
          </w:tcPr>
          <w:p>
            <w:pPr>
              <w:pStyle w:val="Compact"/>
              <w:spacing w:before="40" w:after="60" w:line="247" w:lineRule="auto"/>
              <w:jc w:val="left"/>
            </w:pPr>
            <w:r>
              <w:rPr>
                <w:sz w:val="18"/>
              </w:rPr>
              <w:t xml:space="preserve">Páginas e layouts</w:t>
            </w:r>
          </w:p>
        </w:tc>
        <w:tc>
          <w:tcPr>
            <w:tcW w:type="dxa" w:w="3048"/>
            <w:vAlign w:val="top"/>
            <w:shd w:fill="FFFFFF"/>
          </w:tcPr>
          <w:p>
            <w:pPr>
              <w:pStyle w:val="Compact"/>
              <w:spacing w:before="40" w:after="60" w:line="247" w:lineRule="auto"/>
              <w:jc w:val="left"/>
            </w:pPr>
            <w:r>
              <w:rPr>
                <w:sz w:val="18"/>
              </w:rPr>
              <w:t xml:space="preserve">src/pages; src/components/layout</w:t>
            </w:r>
          </w:p>
        </w:tc>
        <w:tc>
          <w:tcPr>
            <w:tcW w:type="dxa" w:w="4286"/>
            <w:vAlign w:val="top"/>
            <w:shd w:fill="FFFFFF"/>
          </w:tcPr>
          <w:p>
            <w:pPr>
              <w:pStyle w:val="Compact"/>
              <w:spacing w:before="40" w:after="60" w:line="247" w:lineRule="auto"/>
              <w:jc w:val="left"/>
            </w:pPr>
            <w:r>
              <w:rPr>
                <w:sz w:val="18"/>
              </w:rPr>
              <w:t xml:space="preserve">Organização das telas públicas e do formulário independente.</w:t>
            </w:r>
          </w:p>
        </w:tc>
      </w:tr>
      <w:tr>
        <w:trPr>
          <w:cantSplit/>
        </w:trPr>
        <w:tc>
          <w:tcPr>
            <w:tcW w:type="dxa" w:w="2191"/>
            <w:vAlign w:val="top"/>
            <w:shd w:fill="F5F8FC"/>
          </w:tcPr>
          <w:p>
            <w:pPr>
              <w:pStyle w:val="Compact"/>
              <w:spacing w:before="40" w:after="60" w:line="247" w:lineRule="auto"/>
              <w:jc w:val="left"/>
            </w:pPr>
            <w:r>
              <w:rPr>
                <w:sz w:val="18"/>
              </w:rPr>
              <w:t xml:space="preserve">Conteúdo institucional</w:t>
            </w:r>
          </w:p>
        </w:tc>
        <w:tc>
          <w:tcPr>
            <w:tcW w:type="dxa" w:w="3048"/>
            <w:vAlign w:val="top"/>
            <w:shd w:fill="F5F8FC"/>
          </w:tcPr>
          <w:p>
            <w:pPr>
              <w:pStyle w:val="Compact"/>
              <w:spacing w:before="40" w:after="60" w:line="247" w:lineRule="auto"/>
              <w:jc w:val="left"/>
            </w:pPr>
            <w:r>
              <w:rPr>
                <w:sz w:val="18"/>
              </w:rPr>
              <w:t xml:space="preserve">src/constants; src/components/home, chancela, metodologia e trilha</w:t>
            </w:r>
          </w:p>
        </w:tc>
        <w:tc>
          <w:tcPr>
            <w:tcW w:type="dxa" w:w="4286"/>
            <w:vAlign w:val="top"/>
            <w:shd w:fill="F5F8FC"/>
          </w:tcPr>
          <w:p>
            <w:pPr>
              <w:pStyle w:val="Compact"/>
              <w:spacing w:before="40" w:after="60" w:line="247" w:lineRule="auto"/>
              <w:jc w:val="left"/>
            </w:pPr>
            <w:r>
              <w:rPr>
                <w:sz w:val="18"/>
              </w:rPr>
              <w:t xml:space="preserve">Catálogos, objetivos de aprendizagem e composição do conteúdo.</w:t>
            </w:r>
          </w:p>
        </w:tc>
      </w:tr>
      <w:tr>
        <w:trPr>
          <w:cantSplit/>
        </w:trPr>
        <w:tc>
          <w:tcPr>
            <w:tcW w:type="dxa" w:w="2191"/>
            <w:vAlign w:val="top"/>
            <w:shd w:fill="FFFFFF"/>
          </w:tcPr>
          <w:p>
            <w:pPr>
              <w:pStyle w:val="Compact"/>
              <w:spacing w:before="40" w:after="60" w:line="247" w:lineRule="auto"/>
              <w:jc w:val="left"/>
            </w:pPr>
            <w:r>
              <w:rPr>
                <w:sz w:val="18"/>
              </w:rPr>
              <w:t xml:space="preserve">Registro de interesse</w:t>
            </w:r>
          </w:p>
        </w:tc>
        <w:tc>
          <w:tcPr>
            <w:tcW w:type="dxa" w:w="3048"/>
            <w:vAlign w:val="top"/>
            <w:shd w:fill="FFFFFF"/>
          </w:tcPr>
          <w:p>
            <w:pPr>
              <w:pStyle w:val="Compact"/>
              <w:spacing w:before="40" w:after="60" w:line="247" w:lineRule="auto"/>
              <w:jc w:val="left"/>
            </w:pPr>
            <w:r>
              <w:rPr>
                <w:sz w:val="18"/>
              </w:rPr>
              <w:t xml:space="preserve">src/components/interest; src/api/leadsService.ts</w:t>
            </w:r>
          </w:p>
        </w:tc>
        <w:tc>
          <w:tcPr>
            <w:tcW w:type="dxa" w:w="4286"/>
            <w:vAlign w:val="top"/>
            <w:shd w:fill="FFFFFF"/>
          </w:tcPr>
          <w:p>
            <w:pPr>
              <w:pStyle w:val="Compact"/>
              <w:spacing w:before="40" w:after="60" w:line="247" w:lineRule="auto"/>
              <w:jc w:val="left"/>
            </w:pPr>
            <w:r>
              <w:rPr>
                <w:sz w:val="18"/>
              </w:rPr>
              <w:t xml:space="preserve">Campos, estados, validação preliminar e interpretação das respostas.</w:t>
            </w:r>
          </w:p>
        </w:tc>
      </w:tr>
      <w:tr>
        <w:trPr>
          <w:cantSplit/>
        </w:trPr>
        <w:tc>
          <w:tcPr>
            <w:tcW w:type="dxa" w:w="2191"/>
            <w:vAlign w:val="top"/>
            <w:shd w:fill="F5F8FC"/>
          </w:tcPr>
          <w:p>
            <w:pPr>
              <w:pStyle w:val="Compact"/>
              <w:spacing w:before="40" w:after="60" w:line="247" w:lineRule="auto"/>
              <w:jc w:val="left"/>
            </w:pPr>
            <w:r>
              <w:rPr>
                <w:sz w:val="18"/>
              </w:rPr>
              <w:t xml:space="preserve">Preferências e apresentação</w:t>
            </w:r>
          </w:p>
        </w:tc>
        <w:tc>
          <w:tcPr>
            <w:tcW w:type="dxa" w:w="3048"/>
            <w:vAlign w:val="top"/>
            <w:shd w:fill="F5F8FC"/>
          </w:tcPr>
          <w:p>
            <w:pPr>
              <w:pStyle w:val="Compact"/>
              <w:spacing w:before="40" w:after="60" w:line="247" w:lineRule="auto"/>
              <w:jc w:val="left"/>
            </w:pPr>
            <w:r>
              <w:rPr>
                <w:sz w:val="18"/>
              </w:rPr>
              <w:t xml:space="preserve">src/store/useAccessibilityStore.ts; src/hooks/useAccessibilitySync.ts; src/components/presentation</w:t>
            </w:r>
          </w:p>
        </w:tc>
        <w:tc>
          <w:tcPr>
            <w:tcW w:type="dxa" w:w="4286"/>
            <w:vAlign w:val="top"/>
            <w:shd w:fill="F5F8FC"/>
          </w:tcPr>
          <w:p>
            <w:pPr>
              <w:pStyle w:val="Compact"/>
              <w:spacing w:before="40" w:after="60" w:line="247" w:lineRule="auto"/>
              <w:jc w:val="left"/>
            </w:pPr>
            <w:r>
              <w:rPr>
                <w:sz w:val="18"/>
              </w:rPr>
              <w:t xml:space="preserve">Persistência das preferências, teclado, carrossel e efeitos.</w:t>
            </w:r>
          </w:p>
        </w:tc>
      </w:tr>
      <w:tr>
        <w:trPr>
          <w:cantSplit/>
        </w:trPr>
        <w:tc>
          <w:tcPr>
            <w:tcW w:type="dxa" w:w="2191"/>
            <w:vAlign w:val="top"/>
            <w:shd w:fill="FFFFFF"/>
          </w:tcPr>
          <w:p>
            <w:pPr>
              <w:pStyle w:val="Compact"/>
              <w:spacing w:before="40" w:after="60" w:line="247" w:lineRule="auto"/>
              <w:jc w:val="left"/>
            </w:pPr>
            <w:r>
              <w:rPr>
                <w:sz w:val="18"/>
              </w:rPr>
              <w:t xml:space="preserve">Libras</w:t>
            </w:r>
          </w:p>
        </w:tc>
        <w:tc>
          <w:tcPr>
            <w:tcW w:type="dxa" w:w="3048"/>
            <w:vAlign w:val="top"/>
            <w:shd w:fill="FFFFFF"/>
          </w:tcPr>
          <w:p>
            <w:pPr>
              <w:pStyle w:val="Compact"/>
              <w:spacing w:before="40" w:after="60" w:line="247" w:lineRule="auto"/>
              <w:jc w:val="left"/>
            </w:pPr>
            <w:r>
              <w:rPr>
                <w:sz w:val="18"/>
              </w:rPr>
              <w:t xml:space="preserve">src/components/accessibility/VLibrasWidget.tsx; src/server/securityHeaders.ts</w:t>
            </w:r>
          </w:p>
        </w:tc>
        <w:tc>
          <w:tcPr>
            <w:tcW w:type="dxa" w:w="4286"/>
            <w:vAlign w:val="top"/>
            <w:shd w:fill="FFFFFF"/>
          </w:tcPr>
          <w:p>
            <w:pPr>
              <w:pStyle w:val="Compact"/>
              <w:spacing w:before="40" w:after="60" w:line="247" w:lineRule="auto"/>
              <w:jc w:val="left"/>
            </w:pPr>
            <w:r>
              <w:rPr>
                <w:sz w:val="18"/>
              </w:rPr>
              <w:t xml:space="preserve">Script, integridade, inicialização e ponte Unity.</w:t>
            </w:r>
          </w:p>
        </w:tc>
      </w:tr>
      <w:tr>
        <w:trPr>
          <w:cantSplit/>
        </w:trPr>
        <w:tc>
          <w:tcPr>
            <w:tcW w:type="dxa" w:w="2191"/>
            <w:vAlign w:val="top"/>
            <w:shd w:fill="F5F8FC"/>
          </w:tcPr>
          <w:p>
            <w:pPr>
              <w:pStyle w:val="Compact"/>
              <w:spacing w:before="40" w:after="60" w:line="247" w:lineRule="auto"/>
              <w:jc w:val="left"/>
            </w:pPr>
            <w:r>
              <w:rPr>
                <w:sz w:val="18"/>
              </w:rPr>
              <w:t xml:space="preserve">Contrato e API</w:t>
            </w:r>
          </w:p>
        </w:tc>
        <w:tc>
          <w:tcPr>
            <w:tcW w:type="dxa" w:w="3048"/>
            <w:vAlign w:val="top"/>
            <w:shd w:fill="F5F8FC"/>
          </w:tcPr>
          <w:p>
            <w:pPr>
              <w:pStyle w:val="Compact"/>
              <w:spacing w:before="40" w:after="60" w:line="247" w:lineRule="auto"/>
              <w:jc w:val="left"/>
            </w:pPr>
            <w:r>
              <w:rPr>
                <w:sz w:val="18"/>
              </w:rPr>
              <w:t xml:space="preserve">src/types/leads.ts; server.ts</w:t>
            </w:r>
          </w:p>
        </w:tc>
        <w:tc>
          <w:tcPr>
            <w:tcW w:type="dxa" w:w="4286"/>
            <w:vAlign w:val="top"/>
            <w:shd w:fill="F5F8FC"/>
          </w:tcPr>
          <w:p>
            <w:pPr>
              <w:pStyle w:val="Compact"/>
              <w:spacing w:before="40" w:after="60" w:line="247" w:lineRule="auto"/>
              <w:jc w:val="left"/>
            </w:pPr>
            <w:r>
              <w:rPr>
                <w:sz w:val="18"/>
              </w:rPr>
              <w:t xml:space="preserve">Schema recebido, sequência de controles, respostas e roteamento.</w:t>
            </w:r>
          </w:p>
        </w:tc>
      </w:tr>
      <w:tr>
        <w:trPr>
          <w:cantSplit/>
        </w:trPr>
        <w:tc>
          <w:tcPr>
            <w:tcW w:type="dxa" w:w="2191"/>
            <w:vAlign w:val="top"/>
            <w:shd w:fill="FFFFFF"/>
          </w:tcPr>
          <w:p>
            <w:pPr>
              <w:pStyle w:val="Compact"/>
              <w:spacing w:before="40" w:after="60" w:line="247" w:lineRule="auto"/>
              <w:jc w:val="left"/>
            </w:pPr>
            <w:r>
              <w:rPr>
                <w:sz w:val="18"/>
              </w:rPr>
              <w:t xml:space="preserve">Persistência</w:t>
            </w:r>
          </w:p>
        </w:tc>
        <w:tc>
          <w:tcPr>
            <w:tcW w:type="dxa" w:w="3048"/>
            <w:vAlign w:val="top"/>
            <w:shd w:fill="FFFFFF"/>
          </w:tcPr>
          <w:p>
            <w:pPr>
              <w:pStyle w:val="Compact"/>
              <w:spacing w:before="40" w:after="60" w:line="247" w:lineRule="auto"/>
              <w:jc w:val="left"/>
            </w:pPr>
            <w:r>
              <w:rPr>
                <w:sz w:val="18"/>
              </w:rPr>
              <w:t xml:space="preserve">src/server/firestoreClient.ts; src/server/leadBucketService.ts</w:t>
            </w:r>
          </w:p>
        </w:tc>
        <w:tc>
          <w:tcPr>
            <w:tcW w:type="dxa" w:w="4286"/>
            <w:vAlign w:val="top"/>
            <w:shd w:fill="FFFFFF"/>
          </w:tcPr>
          <w:p>
            <w:pPr>
              <w:pStyle w:val="Compact"/>
              <w:spacing w:before="40" w:after="60" w:line="247" w:lineRule="auto"/>
              <w:jc w:val="left"/>
            </w:pPr>
            <w:r>
              <w:rPr>
                <w:sz w:val="18"/>
              </w:rPr>
              <w:t xml:space="preserve">Seleção do banco, Admin SDK, unicidade e transações.</w:t>
            </w:r>
          </w:p>
        </w:tc>
      </w:tr>
      <w:tr>
        <w:trPr>
          <w:cantSplit/>
        </w:trPr>
        <w:tc>
          <w:tcPr>
            <w:tcW w:type="dxa" w:w="2191"/>
            <w:vAlign w:val="top"/>
            <w:shd w:fill="F5F8FC"/>
          </w:tcPr>
          <w:p>
            <w:pPr>
              <w:pStyle w:val="Compact"/>
              <w:spacing w:before="40" w:after="60" w:line="247" w:lineRule="auto"/>
              <w:jc w:val="left"/>
            </w:pPr>
            <w:r>
              <w:rPr>
                <w:sz w:val="18"/>
              </w:rPr>
              <w:t xml:space="preserve">Cofre</w:t>
            </w:r>
          </w:p>
        </w:tc>
        <w:tc>
          <w:tcPr>
            <w:tcW w:type="dxa" w:w="3048"/>
            <w:vAlign w:val="top"/>
            <w:shd w:fill="F5F8FC"/>
          </w:tcPr>
          <w:p>
            <w:pPr>
              <w:pStyle w:val="Compact"/>
              <w:spacing w:before="40" w:after="60" w:line="247" w:lineRule="auto"/>
              <w:jc w:val="left"/>
            </w:pPr>
            <w:r>
              <w:rPr>
                <w:sz w:val="18"/>
              </w:rPr>
              <w:t xml:space="preserve">src/server/vaultService.ts</w:t>
            </w:r>
          </w:p>
        </w:tc>
        <w:tc>
          <w:tcPr>
            <w:tcW w:type="dxa" w:w="4286"/>
            <w:vAlign w:val="top"/>
            <w:shd w:fill="F5F8FC"/>
          </w:tcPr>
          <w:p>
            <w:pPr>
              <w:pStyle w:val="Compact"/>
              <w:spacing w:before="40" w:after="60" w:line="247" w:lineRule="auto"/>
              <w:jc w:val="left"/>
            </w:pPr>
            <w:r>
              <w:rPr>
                <w:sz w:val="18"/>
              </w:rPr>
              <w:t xml:space="preserve">Cifragem dos campos e separação do registro operacional.</w:t>
            </w:r>
          </w:p>
        </w:tc>
      </w:tr>
      <w:tr>
        <w:trPr>
          <w:cantSplit/>
        </w:trPr>
        <w:tc>
          <w:tcPr>
            <w:tcW w:type="dxa" w:w="2191"/>
            <w:vAlign w:val="top"/>
            <w:shd w:fill="FFFFFF"/>
          </w:tcPr>
          <w:p>
            <w:pPr>
              <w:pStyle w:val="Compact"/>
              <w:spacing w:before="40" w:after="60" w:line="247" w:lineRule="auto"/>
              <w:jc w:val="left"/>
            </w:pPr>
            <w:r>
              <w:rPr>
                <w:sz w:val="18"/>
              </w:rPr>
              <w:t xml:space="preserve">Distribuição</w:t>
            </w:r>
          </w:p>
        </w:tc>
        <w:tc>
          <w:tcPr>
            <w:tcW w:type="dxa" w:w="3048"/>
            <w:vAlign w:val="top"/>
            <w:shd w:fill="FFFFFF"/>
          </w:tcPr>
          <w:p>
            <w:pPr>
              <w:pStyle w:val="Compact"/>
              <w:spacing w:before="40" w:after="60" w:line="247" w:lineRule="auto"/>
              <w:jc w:val="left"/>
            </w:pPr>
            <w:r>
              <w:rPr>
                <w:sz w:val="18"/>
              </w:rPr>
              <w:t xml:space="preserve">vite.config.ts; firebase.json; firestore.rules; scripts/inject-sri.ts</w:t>
            </w:r>
          </w:p>
        </w:tc>
        <w:tc>
          <w:tcPr>
            <w:tcW w:type="dxa" w:w="4286"/>
            <w:vAlign w:val="top"/>
            <w:shd w:fill="FFFFFF"/>
          </w:tcPr>
          <w:p>
            <w:pPr>
              <w:pStyle w:val="Compact"/>
              <w:spacing w:before="40" w:after="60" w:line="247" w:lineRule="auto"/>
              <w:jc w:val="left"/>
            </w:pPr>
            <w:r>
              <w:rPr>
                <w:sz w:val="18"/>
              </w:rPr>
              <w:t xml:space="preserve">Build, políticas, rewrites e integridade dos recursos.</w:t>
            </w:r>
          </w:p>
        </w:tc>
      </w:tr>
      <w:tr>
        <w:trPr>
          <w:cantSplit/>
        </w:trPr>
        <w:tc>
          <w:tcPr>
            <w:tcW w:type="dxa" w:w="2191"/>
            <w:vAlign w:val="top"/>
            <w:shd w:fill="F5F8FC"/>
          </w:tcPr>
          <w:p>
            <w:pPr>
              <w:pStyle w:val="Compact"/>
              <w:spacing w:before="40" w:after="60" w:line="247" w:lineRule="auto"/>
              <w:jc w:val="left"/>
            </w:pPr>
            <w:r>
              <w:rPr>
                <w:sz w:val="18"/>
              </w:rPr>
              <w:t xml:space="preserve">Operação e medição</w:t>
            </w:r>
          </w:p>
        </w:tc>
        <w:tc>
          <w:tcPr>
            <w:tcW w:type="dxa" w:w="3048"/>
            <w:vAlign w:val="top"/>
            <w:shd w:fill="F5F8FC"/>
          </w:tcPr>
          <w:p>
            <w:pPr>
              <w:pStyle w:val="Compact"/>
              <w:spacing w:before="40" w:after="60" w:line="247" w:lineRule="auto"/>
              <w:jc w:val="left"/>
            </w:pPr>
            <w:r>
              <w:rPr>
                <w:sz w:val="18"/>
              </w:rPr>
              <w:t xml:space="preserve">package.json; package-lock.json; bun.lock; scripts/metrics-*.ts; scripts/check-metrics.ts</w:t>
            </w:r>
          </w:p>
        </w:tc>
        <w:tc>
          <w:tcPr>
            <w:tcW w:type="dxa" w:w="4286"/>
            <w:vAlign w:val="top"/>
            <w:shd w:fill="F5F8FC"/>
          </w:tcPr>
          <w:p>
            <w:pPr>
              <w:pStyle w:val="Compact"/>
              <w:spacing w:before="40" w:after="60" w:line="247" w:lineRule="auto"/>
              <w:jc w:val="left"/>
            </w:pPr>
            <w:r>
              <w:rPr>
                <w:sz w:val="18"/>
              </w:rPr>
              <w:t xml:space="preserve">Dependências resolvidas, comandos e critérios automatizados.</w:t>
            </w:r>
          </w:p>
        </w:tc>
      </w:tr>
      <w:tr>
        <w:trPr>
          <w:cantSplit/>
        </w:trPr>
        <w:tc>
          <w:tcPr>
            <w:tcW w:type="dxa" w:w="2191"/>
            <w:vAlign w:val="top"/>
            <w:shd w:fill="FFFFFF"/>
          </w:tcPr>
          <w:p>
            <w:pPr>
              <w:pStyle w:val="Compact"/>
              <w:spacing w:before="40" w:after="60" w:line="247" w:lineRule="auto"/>
              <w:jc w:val="left"/>
            </w:pPr>
            <w:r>
              <w:rPr>
                <w:sz w:val="18"/>
              </w:rPr>
              <w:t xml:space="preserve">Verificações</w:t>
            </w:r>
          </w:p>
        </w:tc>
        <w:tc>
          <w:tcPr>
            <w:tcW w:type="dxa" w:w="3048"/>
            <w:vAlign w:val="top"/>
            <w:shd w:fill="FFFFFF"/>
          </w:tcPr>
          <w:p>
            <w:pPr>
              <w:pStyle w:val="Compact"/>
              <w:spacing w:before="40" w:after="60" w:line="247" w:lineRule="auto"/>
              <w:jc w:val="left"/>
            </w:pPr>
            <w:r>
              <w:rPr>
                <w:sz w:val="18"/>
              </w:rPr>
              <w:t xml:space="preserve">tests/check-metrics.test.ts; tests/firestore-rules.test.ts; tests/leads.test.ts; tests/vault.test.ts</w:t>
            </w:r>
          </w:p>
        </w:tc>
        <w:tc>
          <w:tcPr>
            <w:tcW w:type="dxa" w:w="4286"/>
            <w:vAlign w:val="top"/>
            <w:shd w:fill="FFFFFF"/>
          </w:tcPr>
          <w:p>
            <w:pPr>
              <w:pStyle w:val="Compact"/>
              <w:spacing w:before="40" w:after="60" w:line="247" w:lineRule="auto"/>
              <w:jc w:val="left"/>
            </w:pPr>
            <w:r>
              <w:rPr>
                <w:sz w:val="18"/>
              </w:rPr>
              <w:t xml:space="preserve">Casos existentes e alcance das verificações descritas.</w:t>
            </w:r>
          </w:p>
        </w:tc>
      </w:tr>
      <w:tr>
        <w:trPr>
          <w:cantSplit/>
        </w:trPr>
        <w:tc>
          <w:tcPr>
            <w:tcW w:type="dxa" w:w="2191"/>
            <w:vAlign w:val="top"/>
            <w:shd w:fill="F5F8FC"/>
          </w:tcPr>
          <w:p>
            <w:pPr>
              <w:pStyle w:val="Compact"/>
              <w:spacing w:before="40" w:after="60" w:line="247" w:lineRule="auto"/>
              <w:jc w:val="left"/>
            </w:pPr>
            <w:r>
              <w:rPr>
                <w:sz w:val="18"/>
              </w:rPr>
              <w:t xml:space="preserve">Recursos públicos</w:t>
            </w:r>
          </w:p>
        </w:tc>
        <w:tc>
          <w:tcPr>
            <w:tcW w:type="dxa" w:w="3048"/>
            <w:vAlign w:val="top"/>
            <w:shd w:fill="F5F8FC"/>
          </w:tcPr>
          <w:p>
            <w:pPr>
              <w:pStyle w:val="Compact"/>
              <w:spacing w:before="40" w:after="60" w:line="247" w:lineRule="auto"/>
              <w:jc w:val="left"/>
            </w:pPr>
            <w:r>
              <w:rPr>
                <w:sz w:val="18"/>
              </w:rPr>
              <w:t xml:space="preserve">public/.well-known; public/ai-catalog.json; public/llms.txt; public/robots.txt; public/sitemap.xml</w:t>
            </w:r>
          </w:p>
        </w:tc>
        <w:tc>
          <w:tcPr>
            <w:tcW w:type="dxa" w:w="4286"/>
            <w:vAlign w:val="top"/>
            <w:shd w:fill="F5F8FC"/>
          </w:tcPr>
          <w:p>
            <w:pPr>
              <w:pStyle w:val="Compact"/>
              <w:spacing w:before="40" w:after="60" w:line="247" w:lineRule="auto"/>
              <w:jc w:val="left"/>
            </w:pPr>
            <w:r>
              <w:rPr>
                <w:sz w:val="18"/>
              </w:rPr>
              <w:t xml:space="preserve">Descoberta, catálogos e metadados de distribuição.</w:t>
            </w:r>
          </w:p>
        </w:tc>
      </w:tr>
    </w:tbl>
    <w:p>
      <w:pPr>
        <w:pStyle w:val="BodyText"/>
      </w:pPr>
      <w:r>
        <w:t xml:space="preserve">Os caminhos agrupados representam diretórios ou famílias de arquivos; os símbolos específicos estão descritos nos capítulos correspondentes. O consolidado CODIGOFONTE.txt é um artefato derivado, conferido contra as fontes desta revisão, e não substitui o repositório como identificação de origem.</w:t>
      </w:r>
    </w:p>
    <w:bookmarkEnd w:id="97"/>
    <w:bookmarkStart w:id="98" w:name="fontes-das-evidências-externas"/>
    <w:p>
      <w:pPr>
        <w:pStyle w:val="Heading2"/>
      </w:pPr>
      <w:bookmarkStart w:id="20058" w:name="docsec_059"/>
      <w:r>
        <w:t xml:space="preserve">Fontes das evidências externas</w:t>
      </w:r>
      <w:bookmarkEnd w:id="20058"/>
    </w:p>
    <w:p>
      <w:pPr>
        <w:pStyle w:val="FirstParagraph"/>
      </w:pPr>
      <w:r>
        <w:t xml:space="preserve">O arquivo</w:t>
      </w:r>
      <w:r>
        <w:t xml:space="preserve"> </w:t>
      </w:r>
      <w:r>
        <w:t xml:space="preserve">“</w:t>
      </w:r>
      <w:r>
        <w:t xml:space="preserve">Análises Site Componente Curricular.pdf</w:t>
      </w:r>
      <w:r>
        <w:t xml:space="preserve">”</w:t>
      </w:r>
      <w:r>
        <w:t xml:space="preserve">, com 30 páginas, é a fonte dos resultados apresentados no primeiro capítulo. Seus relatórios foram organizados em oito evidências, sem contar recortes sucessivos do mesmo teste como execuções independentes.</w:t>
      </w:r>
    </w:p>
    <w:p>
      <w:pPr>
        <w:pStyle w:val="TableCaption"/>
        <w:keepNext/>
      </w:pPr>
      <w:r>
        <w:t xml:space="preserve">Tabela </w:t>
      </w:r>
      <w:r>
        <w:rPr>
          <w:rFonts w:ascii="Open Sans" w:hAnsi="Open Sans"/>
          <w:sz w:val="18"/>
        </w:rPr>
        <w:fldChar w:fldCharType="begin"/>
        <w:instrText xml:space="preserve"> SEQ Tabela </w:instrText>
        <w:fldChar w:fldCharType="separate"/>
        <w:t>33</w:t>
        <w:fldChar w:fldCharType="end"/>
      </w:r>
      <w:r>
        <w:t xml:space="preserve"> — Fontes das evidências externas.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Evidência</w:t>
            </w:r>
          </w:p>
        </w:tc>
        <w:tc>
          <w:tcPr>
            <w:tcW w:type="dxa" w:w="3048"/>
            <w:vAlign w:val="top"/>
            <w:shd w:fill="233B82"/>
          </w:tcPr>
          <w:p>
            <w:pPr>
              <w:pStyle w:val="Compact"/>
              <w:spacing w:before="40" w:after="60" w:line="247" w:lineRule="auto"/>
              <w:jc w:val="left"/>
            </w:pPr>
            <w:r>
              <w:rPr>
                <w:b/>
                <w:color w:val="FFFFFF"/>
                <w:sz w:val="18"/>
              </w:rPr>
              <w:t xml:space="preserve">Ferramenta</w:t>
            </w:r>
          </w:p>
        </w:tc>
        <w:tc>
          <w:tcPr>
            <w:tcW w:type="dxa" w:w="4286"/>
            <w:vAlign w:val="top"/>
            <w:shd w:fill="233B82"/>
          </w:tcPr>
          <w:p>
            <w:pPr>
              <w:pStyle w:val="Compact"/>
              <w:spacing w:before="40" w:after="60" w:line="247" w:lineRule="auto"/>
              <w:jc w:val="left"/>
            </w:pPr>
            <w:r>
              <w:rPr>
                <w:b/>
                <w:color w:val="FFFFFF"/>
                <w:sz w:val="18"/>
              </w:rPr>
              <w:t xml:space="preserve">Páginas do PDF</w:t>
            </w:r>
          </w:p>
        </w:tc>
      </w:tr>
      <w:tr>
        <w:trPr>
          <w:cantSplit/>
        </w:trPr>
        <w:tc>
          <w:tcPr>
            <w:tcW w:type="dxa" w:w="2191"/>
            <w:vAlign w:val="top"/>
            <w:shd w:fill="FFFFFF"/>
          </w:tcPr>
          <w:p>
            <w:pPr>
              <w:pStyle w:val="Compact"/>
              <w:spacing w:before="40" w:after="60" w:line="247" w:lineRule="auto"/>
              <w:jc w:val="left"/>
            </w:pPr>
            <w:r>
              <w:rPr>
                <w:sz w:val="18"/>
              </w:rPr>
              <w:t xml:space="preserve">E01</w:t>
            </w:r>
          </w:p>
        </w:tc>
        <w:tc>
          <w:tcPr>
            <w:tcW w:type="dxa" w:w="3048"/>
            <w:vAlign w:val="top"/>
            <w:shd w:fill="FFFFFF"/>
          </w:tcPr>
          <w:p>
            <w:pPr>
              <w:pStyle w:val="Compact"/>
              <w:spacing w:before="40" w:after="60" w:line="247" w:lineRule="auto"/>
              <w:jc w:val="left"/>
            </w:pPr>
            <w:r>
              <w:rPr>
                <w:sz w:val="18"/>
              </w:rPr>
              <w:t xml:space="preserve">MDN HTTP Observatory</w:t>
            </w:r>
          </w:p>
        </w:tc>
        <w:tc>
          <w:tcPr>
            <w:tcW w:type="dxa" w:w="4286"/>
            <w:vAlign w:val="top"/>
            <w:shd w:fill="FFFFFF"/>
          </w:tcPr>
          <w:p>
            <w:pPr>
              <w:pStyle w:val="Compact"/>
              <w:spacing w:before="40" w:after="60" w:line="247" w:lineRule="auto"/>
              <w:jc w:val="left"/>
            </w:pPr>
            <w:r>
              <w:rPr>
                <w:sz w:val="18"/>
              </w:rPr>
              <w:t xml:space="preserve">1</w:t>
            </w:r>
          </w:p>
        </w:tc>
      </w:tr>
      <w:tr>
        <w:trPr>
          <w:cantSplit/>
        </w:trPr>
        <w:tc>
          <w:tcPr>
            <w:tcW w:type="dxa" w:w="2191"/>
            <w:vAlign w:val="top"/>
            <w:shd w:fill="F5F8FC"/>
          </w:tcPr>
          <w:p>
            <w:pPr>
              <w:pStyle w:val="Compact"/>
              <w:spacing w:before="40" w:after="60" w:line="247" w:lineRule="auto"/>
              <w:jc w:val="left"/>
            </w:pPr>
            <w:r>
              <w:rPr>
                <w:sz w:val="18"/>
              </w:rPr>
              <w:t xml:space="preserve">E02</w:t>
            </w:r>
          </w:p>
        </w:tc>
        <w:tc>
          <w:tcPr>
            <w:tcW w:type="dxa" w:w="3048"/>
            <w:vAlign w:val="top"/>
            <w:shd w:fill="F5F8FC"/>
          </w:tcPr>
          <w:p>
            <w:pPr>
              <w:pStyle w:val="Compact"/>
              <w:spacing w:before="40" w:after="60" w:line="247" w:lineRule="auto"/>
              <w:jc w:val="left"/>
            </w:pPr>
            <w:r>
              <w:rPr>
                <w:sz w:val="18"/>
              </w:rPr>
              <w:t xml:space="preserve">PageSpeed Insights — desktop</w:t>
            </w:r>
          </w:p>
        </w:tc>
        <w:tc>
          <w:tcPr>
            <w:tcW w:type="dxa" w:w="4286"/>
            <w:vAlign w:val="top"/>
            <w:shd w:fill="F5F8FC"/>
          </w:tcPr>
          <w:p>
            <w:pPr>
              <w:pStyle w:val="Compact"/>
              <w:spacing w:before="40" w:after="60" w:line="247" w:lineRule="auto"/>
              <w:jc w:val="left"/>
            </w:pPr>
            <w:r>
              <w:rPr>
                <w:sz w:val="18"/>
              </w:rPr>
              <w:t xml:space="preserve">2–11</w:t>
            </w:r>
          </w:p>
        </w:tc>
      </w:tr>
      <w:tr>
        <w:trPr>
          <w:cantSplit/>
        </w:trPr>
        <w:tc>
          <w:tcPr>
            <w:tcW w:type="dxa" w:w="2191"/>
            <w:vAlign w:val="top"/>
            <w:shd w:fill="FFFFFF"/>
          </w:tcPr>
          <w:p>
            <w:pPr>
              <w:pStyle w:val="Compact"/>
              <w:spacing w:before="40" w:after="60" w:line="247" w:lineRule="auto"/>
              <w:jc w:val="left"/>
            </w:pPr>
            <w:r>
              <w:rPr>
                <w:sz w:val="18"/>
              </w:rPr>
              <w:t xml:space="preserve">E03</w:t>
            </w:r>
          </w:p>
        </w:tc>
        <w:tc>
          <w:tcPr>
            <w:tcW w:type="dxa" w:w="3048"/>
            <w:vAlign w:val="top"/>
            <w:shd w:fill="FFFFFF"/>
          </w:tcPr>
          <w:p>
            <w:pPr>
              <w:pStyle w:val="Compact"/>
              <w:spacing w:before="40" w:after="60" w:line="247" w:lineRule="auto"/>
              <w:jc w:val="left"/>
            </w:pPr>
            <w:r>
              <w:rPr>
                <w:sz w:val="18"/>
              </w:rPr>
              <w:t xml:space="preserve">PageSpeed Insights — mobile</w:t>
            </w:r>
          </w:p>
        </w:tc>
        <w:tc>
          <w:tcPr>
            <w:tcW w:type="dxa" w:w="4286"/>
            <w:vAlign w:val="top"/>
            <w:shd w:fill="FFFFFF"/>
          </w:tcPr>
          <w:p>
            <w:pPr>
              <w:pStyle w:val="Compact"/>
              <w:spacing w:before="40" w:after="60" w:line="247" w:lineRule="auto"/>
              <w:jc w:val="left"/>
            </w:pPr>
            <w:r>
              <w:rPr>
                <w:sz w:val="18"/>
              </w:rPr>
              <w:t xml:space="preserve">12–21</w:t>
            </w:r>
          </w:p>
        </w:tc>
      </w:tr>
      <w:tr>
        <w:trPr>
          <w:cantSplit/>
        </w:trPr>
        <w:tc>
          <w:tcPr>
            <w:tcW w:type="dxa" w:w="2191"/>
            <w:vAlign w:val="top"/>
            <w:shd w:fill="F5F8FC"/>
          </w:tcPr>
          <w:p>
            <w:pPr>
              <w:pStyle w:val="Compact"/>
              <w:spacing w:before="40" w:after="60" w:line="247" w:lineRule="auto"/>
              <w:jc w:val="left"/>
            </w:pPr>
            <w:r>
              <w:rPr>
                <w:sz w:val="18"/>
              </w:rPr>
              <w:t xml:space="preserve">E04</w:t>
            </w:r>
          </w:p>
        </w:tc>
        <w:tc>
          <w:tcPr>
            <w:tcW w:type="dxa" w:w="3048"/>
            <w:vAlign w:val="top"/>
            <w:shd w:fill="F5F8FC"/>
          </w:tcPr>
          <w:p>
            <w:pPr>
              <w:pStyle w:val="Compact"/>
              <w:spacing w:before="40" w:after="60" w:line="247" w:lineRule="auto"/>
              <w:jc w:val="left"/>
            </w:pPr>
            <w:r>
              <w:rPr>
                <w:sz w:val="18"/>
              </w:rPr>
              <w:t xml:space="preserve">SecurityHeaders</w:t>
            </w:r>
          </w:p>
        </w:tc>
        <w:tc>
          <w:tcPr>
            <w:tcW w:type="dxa" w:w="4286"/>
            <w:vAlign w:val="top"/>
            <w:shd w:fill="F5F8FC"/>
          </w:tcPr>
          <w:p>
            <w:pPr>
              <w:pStyle w:val="Compact"/>
              <w:spacing w:before="40" w:after="60" w:line="247" w:lineRule="auto"/>
              <w:jc w:val="left"/>
            </w:pPr>
            <w:r>
              <w:rPr>
                <w:sz w:val="18"/>
              </w:rPr>
              <w:t xml:space="preserve">22</w:t>
            </w:r>
          </w:p>
        </w:tc>
      </w:tr>
      <w:tr>
        <w:trPr>
          <w:cantSplit/>
        </w:trPr>
        <w:tc>
          <w:tcPr>
            <w:tcW w:type="dxa" w:w="2191"/>
            <w:vAlign w:val="top"/>
            <w:shd w:fill="FFFFFF"/>
          </w:tcPr>
          <w:p>
            <w:pPr>
              <w:pStyle w:val="Compact"/>
              <w:spacing w:before="40" w:after="60" w:line="247" w:lineRule="auto"/>
              <w:jc w:val="left"/>
            </w:pPr>
            <w:r>
              <w:rPr>
                <w:sz w:val="18"/>
              </w:rPr>
              <w:t xml:space="preserve">E05</w:t>
            </w:r>
          </w:p>
        </w:tc>
        <w:tc>
          <w:tcPr>
            <w:tcW w:type="dxa" w:w="3048"/>
            <w:vAlign w:val="top"/>
            <w:shd w:fill="FFFFFF"/>
          </w:tcPr>
          <w:p>
            <w:pPr>
              <w:pStyle w:val="Compact"/>
              <w:spacing w:before="40" w:after="60" w:line="247" w:lineRule="auto"/>
              <w:jc w:val="left"/>
            </w:pPr>
            <w:r>
              <w:rPr>
                <w:sz w:val="18"/>
              </w:rPr>
              <w:t xml:space="preserve">Qualys SSL Labs</w:t>
            </w:r>
          </w:p>
        </w:tc>
        <w:tc>
          <w:tcPr>
            <w:tcW w:type="dxa" w:w="4286"/>
            <w:vAlign w:val="top"/>
            <w:shd w:fill="FFFFFF"/>
          </w:tcPr>
          <w:p>
            <w:pPr>
              <w:pStyle w:val="Compact"/>
              <w:spacing w:before="40" w:after="60" w:line="247" w:lineRule="auto"/>
              <w:jc w:val="left"/>
            </w:pPr>
            <w:r>
              <w:rPr>
                <w:sz w:val="18"/>
              </w:rPr>
              <w:t xml:space="preserve">23</w:t>
            </w:r>
          </w:p>
        </w:tc>
      </w:tr>
      <w:tr>
        <w:trPr>
          <w:cantSplit/>
        </w:trPr>
        <w:tc>
          <w:tcPr>
            <w:tcW w:type="dxa" w:w="2191"/>
            <w:vAlign w:val="top"/>
            <w:shd w:fill="F5F8FC"/>
          </w:tcPr>
          <w:p>
            <w:pPr>
              <w:pStyle w:val="Compact"/>
              <w:spacing w:before="40" w:after="60" w:line="247" w:lineRule="auto"/>
              <w:jc w:val="left"/>
            </w:pPr>
            <w:r>
              <w:rPr>
                <w:sz w:val="18"/>
              </w:rPr>
              <w:t xml:space="preserve">E06</w:t>
            </w:r>
          </w:p>
        </w:tc>
        <w:tc>
          <w:tcPr>
            <w:tcW w:type="dxa" w:w="3048"/>
            <w:vAlign w:val="top"/>
            <w:shd w:fill="F5F8FC"/>
          </w:tcPr>
          <w:p>
            <w:pPr>
              <w:pStyle w:val="Compact"/>
              <w:spacing w:before="40" w:after="60" w:line="247" w:lineRule="auto"/>
              <w:jc w:val="left"/>
            </w:pPr>
            <w:r>
              <w:rPr>
                <w:sz w:val="18"/>
              </w:rPr>
              <w:t xml:space="preserve">Catchpoint WebPageTest</w:t>
            </w:r>
          </w:p>
        </w:tc>
        <w:tc>
          <w:tcPr>
            <w:tcW w:type="dxa" w:w="4286"/>
            <w:vAlign w:val="top"/>
            <w:shd w:fill="F5F8FC"/>
          </w:tcPr>
          <w:p>
            <w:pPr>
              <w:pStyle w:val="Compact"/>
              <w:spacing w:before="40" w:after="60" w:line="247" w:lineRule="auto"/>
              <w:jc w:val="left"/>
            </w:pPr>
            <w:r>
              <w:rPr>
                <w:sz w:val="18"/>
              </w:rPr>
              <w:t xml:space="preserve">24</w:t>
            </w:r>
          </w:p>
        </w:tc>
      </w:tr>
      <w:tr>
        <w:trPr>
          <w:cantSplit/>
        </w:trPr>
        <w:tc>
          <w:tcPr>
            <w:tcW w:type="dxa" w:w="2191"/>
            <w:vAlign w:val="top"/>
            <w:shd w:fill="FFFFFF"/>
          </w:tcPr>
          <w:p>
            <w:pPr>
              <w:pStyle w:val="Compact"/>
              <w:spacing w:before="40" w:after="60" w:line="247" w:lineRule="auto"/>
              <w:jc w:val="left"/>
            </w:pPr>
            <w:r>
              <w:rPr>
                <w:sz w:val="18"/>
              </w:rPr>
              <w:t xml:space="preserve">E07</w:t>
            </w:r>
          </w:p>
        </w:tc>
        <w:tc>
          <w:tcPr>
            <w:tcW w:type="dxa" w:w="3048"/>
            <w:vAlign w:val="top"/>
            <w:shd w:fill="FFFFFF"/>
          </w:tcPr>
          <w:p>
            <w:pPr>
              <w:pStyle w:val="Compact"/>
              <w:spacing w:before="40" w:after="60" w:line="247" w:lineRule="auto"/>
              <w:jc w:val="left"/>
            </w:pPr>
            <w:r>
              <w:rPr>
                <w:sz w:val="18"/>
              </w:rPr>
              <w:t xml:space="preserve">WAVE / WebAIM</w:t>
            </w:r>
          </w:p>
        </w:tc>
        <w:tc>
          <w:tcPr>
            <w:tcW w:type="dxa" w:w="4286"/>
            <w:vAlign w:val="top"/>
            <w:shd w:fill="FFFFFF"/>
          </w:tcPr>
          <w:p>
            <w:pPr>
              <w:pStyle w:val="Compact"/>
              <w:spacing w:before="40" w:after="60" w:line="247" w:lineRule="auto"/>
              <w:jc w:val="left"/>
            </w:pPr>
            <w:r>
              <w:rPr>
                <w:sz w:val="18"/>
              </w:rPr>
              <w:t xml:space="preserve">25–26</w:t>
            </w:r>
          </w:p>
        </w:tc>
      </w:tr>
      <w:tr>
        <w:trPr>
          <w:cantSplit/>
        </w:trPr>
        <w:tc>
          <w:tcPr>
            <w:tcW w:type="dxa" w:w="2191"/>
            <w:vAlign w:val="top"/>
            <w:shd w:fill="F5F8FC"/>
          </w:tcPr>
          <w:p>
            <w:pPr>
              <w:pStyle w:val="Compact"/>
              <w:spacing w:before="40" w:after="60" w:line="247" w:lineRule="auto"/>
              <w:jc w:val="left"/>
            </w:pPr>
            <w:r>
              <w:rPr>
                <w:sz w:val="18"/>
              </w:rPr>
              <w:t xml:space="preserve">E08</w:t>
            </w:r>
          </w:p>
        </w:tc>
        <w:tc>
          <w:tcPr>
            <w:tcW w:type="dxa" w:w="3048"/>
            <w:vAlign w:val="top"/>
            <w:shd w:fill="F5F8FC"/>
          </w:tcPr>
          <w:p>
            <w:pPr>
              <w:pStyle w:val="Compact"/>
              <w:spacing w:before="40" w:after="60" w:line="247" w:lineRule="auto"/>
              <w:jc w:val="left"/>
            </w:pPr>
            <w:r>
              <w:rPr>
                <w:sz w:val="18"/>
              </w:rPr>
              <w:t xml:space="preserve">Webbkoll</w:t>
            </w:r>
          </w:p>
        </w:tc>
        <w:tc>
          <w:tcPr>
            <w:tcW w:type="dxa" w:w="4286"/>
            <w:vAlign w:val="top"/>
            <w:shd w:fill="F5F8FC"/>
          </w:tcPr>
          <w:p>
            <w:pPr>
              <w:pStyle w:val="Compact"/>
              <w:spacing w:before="40" w:after="60" w:line="247" w:lineRule="auto"/>
              <w:jc w:val="left"/>
            </w:pPr>
            <w:r>
              <w:rPr>
                <w:sz w:val="18"/>
              </w:rPr>
              <w:t xml:space="preserve">27–30</w:t>
            </w:r>
          </w:p>
        </w:tc>
      </w:tr>
    </w:tbl>
    <w:p>
      <w:pPr>
        <w:pStyle w:val="BodyText"/>
      </w:pPr>
      <w:r>
        <w:t xml:space="preserve">A origem dos relatórios é o endereço asg-ods.ai.studio. A data, o horário e o fuso são mantidos conforme a evidência; informações ausentes recebem essa identificação. As notas não foram transferidas para o endereço institucional final nem vinculadas automaticamente ao commit documentado. Os links de consulta das ferramentas identificam a origem e podem apresentar novos resultados posteriormente; para esta edição prevalece o conteúdo recebido no PDF.</w:t>
      </w:r>
    </w:p>
    <w:bookmarkEnd w:id="98"/>
    <w:bookmarkStart w:id="108" w:name="Xdcf3f1100b3ed6208ab841cf3b90360d4771ee8"/>
    <w:p>
      <w:pPr>
        <w:pStyle w:val="Heading2"/>
      </w:pPr>
      <w:bookmarkStart w:id="20059" w:name="docsec_060"/>
      <w:r>
        <w:t xml:space="preserve">Fontes institucionais e informações complementares</w:t>
      </w:r>
      <w:bookmarkEnd w:id="20059"/>
    </w:p>
    <w:p>
      <w:pPr>
        <w:pStyle w:val="FirstParagraph"/>
      </w:pPr>
      <w:r>
        <w:t xml:space="preserve">O arquivo</w:t>
      </w:r>
      <w:r>
        <w:t xml:space="preserve"> </w:t>
      </w:r>
      <w:r>
        <w:t xml:space="preserve">“</w:t>
      </w:r>
      <w:r>
        <w:t xml:space="preserve">1- Site Componente Curricular.pdf</w:t>
      </w:r>
      <w:r>
        <w:t xml:space="preserve">”</w:t>
      </w:r>
      <w:r>
        <w:t xml:space="preserve">, com cinco páginas, foi utilizado para conferir a organização e os conteúdos de apresentação. A página 1 corresponde à página inicial; a 2, à Chancela Institucional; a 3, à Metodologia Dinâmica; a 4, aos Objetivos de Aprendizagem; e a 5, ao formulário de manifestação de interesse. As capturas são desktop; suas dimensões de página PDF não comprovam o viewport original. Elas não identificam um commit implantado ou a data exata de cada captura.</w:t>
      </w:r>
    </w:p>
    <w:p>
      <w:pPr>
        <w:pStyle w:val="BodyText"/>
      </w:pPr>
      <w:r>
        <w:t xml:space="preserve">O responsável informou asg.ods.crasp.org.br como endereço final do site e relatou a implantação das regras fechadas no Firebase. Essas informações são registradas como declarações recebidas. Os metadados versionados permanecem apontando para asg-ods.ai.studio, e os resultados de execução local estão separados dos procedimentos externos ao checkout.</w:t>
      </w:r>
    </w:p>
    <w:p>
      <w:pPr>
        <w:pStyle w:val="BodyText"/>
      </w:pPr>
      <w:r>
        <w:t xml:space="preserve">As referências legais, normativas e institucionais estão relacionadas no capítulo seguinte, com identificação de aplicabilidade e acesso às fontes. A descrição de mecanismos técnicos não substitui evidência de procedimentos organizacionais, decisões jurídicas, configuração efetiva de contas ou gestão de segredos em produção.</w:t>
      </w:r>
    </w:p>
    <w:p>
      <w:pPr>
        <w:pStyle w:val="TableCaption"/>
        <w:keepNext/>
      </w:pPr>
      <w:r>
        <w:t xml:space="preserve">Tabela </w:t>
      </w:r>
      <w:r>
        <w:rPr>
          <w:rFonts w:ascii="Open Sans" w:hAnsi="Open Sans"/>
          <w:sz w:val="18"/>
        </w:rPr>
        <w:fldChar w:fldCharType="begin"/>
        <w:instrText xml:space="preserve"> SEQ Tabela </w:instrText>
        <w:fldChar w:fldCharType="separate"/>
        <w:t>34</w:t>
        <w:fldChar w:fldCharType="end"/>
      </w:r>
      <w:r>
        <w:t xml:space="preserve"> — Fontes institucionais e informações complementares.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Referência</w:t>
            </w:r>
          </w:p>
        </w:tc>
        <w:tc>
          <w:tcPr>
            <w:tcW w:type="dxa" w:w="3048"/>
            <w:vAlign w:val="top"/>
            <w:shd w:fill="233B82"/>
          </w:tcPr>
          <w:p>
            <w:pPr>
              <w:pStyle w:val="Compact"/>
              <w:spacing w:before="40" w:after="60" w:line="247" w:lineRule="auto"/>
              <w:jc w:val="left"/>
            </w:pPr>
            <w:r>
              <w:rPr>
                <w:b/>
                <w:color w:val="FFFFFF"/>
                <w:sz w:val="18"/>
              </w:rPr>
              <w:t xml:space="preserve">Fonte institucional indicada</w:t>
            </w:r>
          </w:p>
        </w:tc>
        <w:tc>
          <w:tcPr>
            <w:tcW w:type="dxa" w:w="4286"/>
            <w:vAlign w:val="top"/>
            <w:shd w:fill="233B82"/>
          </w:tcPr>
          <w:p>
            <w:pPr>
              <w:pStyle w:val="Compact"/>
              <w:spacing w:before="40" w:after="60" w:line="247" w:lineRule="auto"/>
              <w:jc w:val="left"/>
            </w:pPr>
            <w:r>
              <w:rPr>
                <w:b/>
                <w:color w:val="FFFFFF"/>
                <w:sz w:val="18"/>
              </w:rPr>
              <w:t xml:space="preserve">Condição da consulta nesta edição</w:t>
            </w:r>
          </w:p>
        </w:tc>
      </w:tr>
      <w:tr>
        <w:trPr>
          <w:cantSplit/>
        </w:trPr>
        <w:tc>
          <w:tcPr>
            <w:tcW w:type="dxa" w:w="2191"/>
            <w:vAlign w:val="top"/>
            <w:shd w:fill="FFFFFF"/>
          </w:tcPr>
          <w:p>
            <w:pPr>
              <w:pStyle w:val="Compact"/>
              <w:spacing w:before="40" w:after="60" w:line="247" w:lineRule="auto"/>
              <w:jc w:val="left"/>
            </w:pPr>
            <w:r>
              <w:rPr>
                <w:sz w:val="18"/>
              </w:rPr>
              <w:t xml:space="preserve">Lei nº 13.709/2018</w:t>
            </w:r>
          </w:p>
        </w:tc>
        <w:tc>
          <w:tcPr>
            <w:tcW w:type="dxa" w:w="3048"/>
            <w:vAlign w:val="top"/>
            <w:shd w:fill="FFFFFF"/>
          </w:tcPr>
          <w:p>
            <w:pPr>
              <w:pStyle w:val="Compact"/>
              <w:spacing w:before="40" w:after="60" w:line="247" w:lineRule="auto"/>
              <w:jc w:val="left"/>
            </w:pPr>
            <w:hyperlink r:id="rId99">
              <w:r>
                <w:rPr>
                  <w:rStyle w:val="Hyperlink"/>
                </w:rPr>
                <w:t xml:space="preserve">Planalto — texto da LGPD</w:t>
              </w:r>
            </w:hyperlink>
          </w:p>
        </w:tc>
        <w:tc>
          <w:tcPr>
            <w:tcW w:type="dxa" w:w="4286"/>
            <w:vAlign w:val="top"/>
            <w:shd w:fill="FFFFFF"/>
          </w:tcPr>
          <w:p>
            <w:pPr>
              <w:pStyle w:val="Compact"/>
              <w:spacing w:before="40" w:after="60" w:line="247" w:lineRule="auto"/>
              <w:jc w:val="left"/>
            </w:pPr>
            <w:r>
              <w:rPr>
                <w:sz w:val="18"/>
              </w:rPr>
              <w:t xml:space="preserve">Conexão bloqueada em 15/10/2026; identificação obtida do AGENTS.MD.</w:t>
            </w:r>
          </w:p>
        </w:tc>
      </w:tr>
      <w:tr>
        <w:trPr>
          <w:cantSplit/>
        </w:trPr>
        <w:tc>
          <w:tcPr>
            <w:tcW w:type="dxa" w:w="2191"/>
            <w:vAlign w:val="top"/>
            <w:shd w:fill="F5F8FC"/>
          </w:tcPr>
          <w:p>
            <w:pPr>
              <w:pStyle w:val="Compact"/>
              <w:spacing w:before="40" w:after="60" w:line="247" w:lineRule="auto"/>
              <w:jc w:val="left"/>
            </w:pPr>
            <w:r>
              <w:rPr>
                <w:sz w:val="18"/>
              </w:rPr>
              <w:t xml:space="preserve">Lei nº 13.146/2015</w:t>
            </w:r>
          </w:p>
        </w:tc>
        <w:tc>
          <w:tcPr>
            <w:tcW w:type="dxa" w:w="3048"/>
            <w:vAlign w:val="top"/>
            <w:shd w:fill="F5F8FC"/>
          </w:tcPr>
          <w:p>
            <w:pPr>
              <w:pStyle w:val="Compact"/>
              <w:spacing w:before="40" w:after="60" w:line="247" w:lineRule="auto"/>
              <w:jc w:val="left"/>
            </w:pPr>
            <w:hyperlink r:id="rId100">
              <w:r>
                <w:rPr>
                  <w:rStyle w:val="Hyperlink"/>
                </w:rPr>
                <w:t xml:space="preserve">Planalto — Lei Brasileira de Inclusão</w:t>
              </w:r>
            </w:hyperlink>
          </w:p>
        </w:tc>
        <w:tc>
          <w:tcPr>
            <w:tcW w:type="dxa" w:w="4286"/>
            <w:vAlign w:val="top"/>
            <w:shd w:fill="F5F8FC"/>
          </w:tcPr>
          <w:p>
            <w:pPr>
              <w:pStyle w:val="Compact"/>
              <w:spacing w:before="40" w:after="60" w:line="247" w:lineRule="auto"/>
              <w:jc w:val="left"/>
            </w:pPr>
            <w:r>
              <w:rPr>
                <w:sz w:val="18"/>
              </w:rPr>
              <w:t xml:space="preserve">Texto oficial não recuperado nesta etapa.</w:t>
            </w:r>
          </w:p>
        </w:tc>
      </w:tr>
      <w:tr>
        <w:trPr>
          <w:cantSplit/>
        </w:trPr>
        <w:tc>
          <w:tcPr>
            <w:tcW w:type="dxa" w:w="2191"/>
            <w:vAlign w:val="top"/>
            <w:shd w:fill="FFFFFF"/>
          </w:tcPr>
          <w:p>
            <w:pPr>
              <w:pStyle w:val="Compact"/>
              <w:spacing w:before="40" w:after="60" w:line="247" w:lineRule="auto"/>
              <w:jc w:val="left"/>
            </w:pPr>
            <w:r>
              <w:rPr>
                <w:sz w:val="18"/>
              </w:rPr>
              <w:t xml:space="preserve">Lei nº 14.129/2021</w:t>
            </w:r>
          </w:p>
        </w:tc>
        <w:tc>
          <w:tcPr>
            <w:tcW w:type="dxa" w:w="3048"/>
            <w:vAlign w:val="top"/>
            <w:shd w:fill="FFFFFF"/>
          </w:tcPr>
          <w:p>
            <w:pPr>
              <w:pStyle w:val="Compact"/>
              <w:spacing w:before="40" w:after="60" w:line="247" w:lineRule="auto"/>
              <w:jc w:val="left"/>
            </w:pPr>
            <w:hyperlink r:id="rId101">
              <w:r>
                <w:rPr>
                  <w:rStyle w:val="Hyperlink"/>
                </w:rPr>
                <w:t xml:space="preserve">Planalto — Governo Digital</w:t>
              </w:r>
            </w:hyperlink>
          </w:p>
        </w:tc>
        <w:tc>
          <w:tcPr>
            <w:tcW w:type="dxa" w:w="4286"/>
            <w:vAlign w:val="top"/>
            <w:shd w:fill="FFFFFF"/>
          </w:tcPr>
          <w:p>
            <w:pPr>
              <w:pStyle w:val="Compact"/>
              <w:spacing w:before="40" w:after="60" w:line="247" w:lineRule="auto"/>
              <w:jc w:val="left"/>
            </w:pPr>
            <w:r>
              <w:rPr>
                <w:sz w:val="18"/>
              </w:rPr>
              <w:t xml:space="preserve">Texto oficial não recuperado; aplicabilidade a confirmar.</w:t>
            </w:r>
          </w:p>
        </w:tc>
      </w:tr>
      <w:tr>
        <w:trPr>
          <w:cantSplit/>
        </w:trPr>
        <w:tc>
          <w:tcPr>
            <w:tcW w:type="dxa" w:w="2191"/>
            <w:vAlign w:val="top"/>
            <w:shd w:fill="F5F8FC"/>
          </w:tcPr>
          <w:p>
            <w:pPr>
              <w:pStyle w:val="Compact"/>
              <w:spacing w:before="40" w:after="60" w:line="247" w:lineRule="auto"/>
              <w:jc w:val="left"/>
            </w:pPr>
            <w:r>
              <w:rPr>
                <w:sz w:val="18"/>
              </w:rPr>
              <w:t xml:space="preserve">WCAG 2.2</w:t>
            </w:r>
          </w:p>
        </w:tc>
        <w:tc>
          <w:tcPr>
            <w:tcW w:type="dxa" w:w="3048"/>
            <w:vAlign w:val="top"/>
            <w:shd w:fill="F5F8FC"/>
          </w:tcPr>
          <w:p>
            <w:pPr>
              <w:pStyle w:val="Compact"/>
              <w:spacing w:before="40" w:after="60" w:line="247" w:lineRule="auto"/>
              <w:jc w:val="left"/>
            </w:pPr>
            <w:hyperlink r:id="rId102">
              <w:r>
                <w:rPr>
                  <w:rStyle w:val="Hyperlink"/>
                </w:rPr>
                <w:t xml:space="preserve">W3C — Web Content Accessibility Guidelines 2.2</w:t>
              </w:r>
            </w:hyperlink>
          </w:p>
        </w:tc>
        <w:tc>
          <w:tcPr>
            <w:tcW w:type="dxa" w:w="4286"/>
            <w:vAlign w:val="top"/>
            <w:shd w:fill="F5F8FC"/>
          </w:tcPr>
          <w:p>
            <w:pPr>
              <w:pStyle w:val="Compact"/>
              <w:spacing w:before="40" w:after="60" w:line="247" w:lineRule="auto"/>
              <w:jc w:val="left"/>
            </w:pPr>
            <w:r>
              <w:rPr>
                <w:sz w:val="18"/>
              </w:rPr>
              <w:t xml:space="preserve">Consulta bloqueada; versão e nível AA declarados no AGENTS.MD.</w:t>
            </w:r>
          </w:p>
        </w:tc>
      </w:tr>
      <w:tr>
        <w:trPr>
          <w:cantSplit/>
        </w:trPr>
        <w:tc>
          <w:tcPr>
            <w:tcW w:type="dxa" w:w="2191"/>
            <w:vAlign w:val="top"/>
            <w:shd w:fill="FFFFFF"/>
          </w:tcPr>
          <w:p>
            <w:pPr>
              <w:pStyle w:val="Compact"/>
              <w:spacing w:before="40" w:after="60" w:line="247" w:lineRule="auto"/>
              <w:jc w:val="left"/>
            </w:pPr>
            <w:r>
              <w:rPr>
                <w:sz w:val="18"/>
              </w:rPr>
              <w:t xml:space="preserve">e-MAG</w:t>
            </w:r>
          </w:p>
        </w:tc>
        <w:tc>
          <w:tcPr>
            <w:tcW w:type="dxa" w:w="3048"/>
            <w:vAlign w:val="top"/>
            <w:shd w:fill="FFFFFF"/>
          </w:tcPr>
          <w:p>
            <w:pPr>
              <w:pStyle w:val="Compact"/>
              <w:spacing w:before="40" w:after="60" w:line="247" w:lineRule="auto"/>
              <w:jc w:val="left"/>
            </w:pPr>
            <w:hyperlink r:id="rId103">
              <w:r>
                <w:rPr>
                  <w:rStyle w:val="Hyperlink"/>
                </w:rPr>
                <w:t xml:space="preserve">Governo Digital — modelo de acessibilidade</w:t>
              </w:r>
            </w:hyperlink>
          </w:p>
        </w:tc>
        <w:tc>
          <w:tcPr>
            <w:tcW w:type="dxa" w:w="4286"/>
            <w:vAlign w:val="top"/>
            <w:shd w:fill="FFFFFF"/>
          </w:tcPr>
          <w:p>
            <w:pPr>
              <w:pStyle w:val="Compact"/>
              <w:spacing w:before="40" w:after="60" w:line="247" w:lineRule="auto"/>
              <w:jc w:val="left"/>
            </w:pPr>
            <w:r>
              <w:rPr>
                <w:sz w:val="18"/>
              </w:rPr>
              <w:t xml:space="preserve">Consulta bloqueada; edição adotada não identificada.</w:t>
            </w:r>
          </w:p>
        </w:tc>
      </w:tr>
      <w:tr>
        <w:trPr>
          <w:cantSplit/>
        </w:trPr>
        <w:tc>
          <w:tcPr>
            <w:tcW w:type="dxa" w:w="2191"/>
            <w:vAlign w:val="top"/>
            <w:shd w:fill="F5F8FC"/>
          </w:tcPr>
          <w:p>
            <w:pPr>
              <w:pStyle w:val="Compact"/>
              <w:spacing w:before="40" w:after="60" w:line="247" w:lineRule="auto"/>
              <w:jc w:val="left"/>
            </w:pPr>
            <w:r>
              <w:rPr>
                <w:sz w:val="18"/>
              </w:rPr>
              <w:t xml:space="preserve">ISO/IEC 25010</w:t>
            </w:r>
          </w:p>
        </w:tc>
        <w:tc>
          <w:tcPr>
            <w:tcW w:type="dxa" w:w="3048"/>
            <w:vAlign w:val="top"/>
            <w:shd w:fill="F5F8FC"/>
          </w:tcPr>
          <w:p>
            <w:pPr>
              <w:pStyle w:val="Compact"/>
              <w:spacing w:before="40" w:after="60" w:line="247" w:lineRule="auto"/>
              <w:jc w:val="left"/>
            </w:pPr>
            <w:hyperlink r:id="rId104">
              <w:r>
                <w:rPr>
                  <w:rStyle w:val="Hyperlink"/>
                </w:rPr>
                <w:t xml:space="preserve">ISO — consulta ao catálogo</w:t>
              </w:r>
            </w:hyperlink>
          </w:p>
        </w:tc>
        <w:tc>
          <w:tcPr>
            <w:tcW w:type="dxa" w:w="4286"/>
            <w:vAlign w:val="top"/>
            <w:shd w:fill="F5F8FC"/>
          </w:tcPr>
          <w:p>
            <w:pPr>
              <w:pStyle w:val="Compact"/>
              <w:spacing w:before="40" w:after="60" w:line="247" w:lineRule="auto"/>
              <w:jc w:val="left"/>
            </w:pPr>
            <w:r>
              <w:rPr>
                <w:sz w:val="18"/>
              </w:rPr>
              <w:t xml:space="preserve">Edição adotada não identificada; norma integral não consultada.</w:t>
            </w:r>
          </w:p>
        </w:tc>
      </w:tr>
      <w:tr>
        <w:trPr>
          <w:cantSplit/>
        </w:trPr>
        <w:tc>
          <w:tcPr>
            <w:tcW w:type="dxa" w:w="2191"/>
            <w:vAlign w:val="top"/>
            <w:shd w:fill="FFFFFF"/>
          </w:tcPr>
          <w:p>
            <w:pPr>
              <w:pStyle w:val="Compact"/>
              <w:spacing w:before="40" w:after="60" w:line="247" w:lineRule="auto"/>
              <w:jc w:val="left"/>
            </w:pPr>
            <w:r>
              <w:rPr>
                <w:sz w:val="18"/>
              </w:rPr>
              <w:t xml:space="preserve">ISO/IEC 5230</w:t>
            </w:r>
          </w:p>
        </w:tc>
        <w:tc>
          <w:tcPr>
            <w:tcW w:type="dxa" w:w="3048"/>
            <w:vAlign w:val="top"/>
            <w:shd w:fill="FFFFFF"/>
          </w:tcPr>
          <w:p>
            <w:pPr>
              <w:pStyle w:val="Compact"/>
              <w:spacing w:before="40" w:after="60" w:line="247" w:lineRule="auto"/>
              <w:jc w:val="left"/>
            </w:pPr>
            <w:hyperlink r:id="rId105">
              <w:r>
                <w:rPr>
                  <w:rStyle w:val="Hyperlink"/>
                </w:rPr>
                <w:t xml:space="preserve">ISO — consulta ao catálogo</w:t>
              </w:r>
            </w:hyperlink>
          </w:p>
        </w:tc>
        <w:tc>
          <w:tcPr>
            <w:tcW w:type="dxa" w:w="4286"/>
            <w:vAlign w:val="top"/>
            <w:shd w:fill="FFFFFF"/>
          </w:tcPr>
          <w:p>
            <w:pPr>
              <w:pStyle w:val="Compact"/>
              <w:spacing w:before="40" w:after="60" w:line="247" w:lineRule="auto"/>
              <w:jc w:val="left"/>
            </w:pPr>
            <w:r>
              <w:rPr>
                <w:sz w:val="18"/>
              </w:rPr>
              <w:t xml:space="preserve">Edição adotada não identificada; norma integral não consultada.</w:t>
            </w:r>
          </w:p>
        </w:tc>
      </w:tr>
      <w:tr>
        <w:trPr>
          <w:cantSplit/>
        </w:trPr>
        <w:tc>
          <w:tcPr>
            <w:tcW w:type="dxa" w:w="2191"/>
            <w:vAlign w:val="top"/>
            <w:shd w:fill="F5F8FC"/>
          </w:tcPr>
          <w:p>
            <w:pPr>
              <w:pStyle w:val="Compact"/>
              <w:spacing w:before="40" w:after="60" w:line="247" w:lineRule="auto"/>
              <w:jc w:val="left"/>
            </w:pPr>
            <w:r>
              <w:rPr>
                <w:sz w:val="18"/>
              </w:rPr>
              <w:t xml:space="preserve">OpenChain</w:t>
            </w:r>
          </w:p>
        </w:tc>
        <w:tc>
          <w:tcPr>
            <w:tcW w:type="dxa" w:w="3048"/>
            <w:vAlign w:val="top"/>
            <w:shd w:fill="F5F8FC"/>
          </w:tcPr>
          <w:p>
            <w:pPr>
              <w:pStyle w:val="Compact"/>
              <w:spacing w:before="40" w:after="60" w:line="247" w:lineRule="auto"/>
              <w:jc w:val="left"/>
            </w:pPr>
            <w:hyperlink r:id="rId106">
              <w:r>
                <w:rPr>
                  <w:rStyle w:val="Hyperlink"/>
                </w:rPr>
                <w:t xml:space="preserve">OpenChain — License Compliance</w:t>
              </w:r>
            </w:hyperlink>
          </w:p>
        </w:tc>
        <w:tc>
          <w:tcPr>
            <w:tcW w:type="dxa" w:w="4286"/>
            <w:vAlign w:val="top"/>
            <w:shd w:fill="F5F8FC"/>
          </w:tcPr>
          <w:p>
            <w:pPr>
              <w:pStyle w:val="Compact"/>
              <w:spacing w:before="40" w:after="60" w:line="247" w:lineRule="auto"/>
              <w:jc w:val="left"/>
            </w:pPr>
            <w:r>
              <w:rPr>
                <w:sz w:val="18"/>
              </w:rPr>
              <w:t xml:space="preserve">Consulta bloqueada; não comprova certificação ou processo do projeto.</w:t>
            </w:r>
          </w:p>
        </w:tc>
      </w:tr>
      <w:tr>
        <w:trPr>
          <w:cantSplit/>
        </w:trPr>
        <w:tc>
          <w:tcPr>
            <w:tcW w:type="dxa" w:w="2191"/>
            <w:vAlign w:val="top"/>
            <w:shd w:fill="FFFFFF"/>
          </w:tcPr>
          <w:p>
            <w:pPr>
              <w:pStyle w:val="Compact"/>
              <w:spacing w:before="40" w:after="60" w:line="247" w:lineRule="auto"/>
              <w:jc w:val="left"/>
            </w:pPr>
            <w:r>
              <w:rPr>
                <w:sz w:val="18"/>
              </w:rPr>
              <w:t xml:space="preserve">SPDX</w:t>
            </w:r>
          </w:p>
        </w:tc>
        <w:tc>
          <w:tcPr>
            <w:tcW w:type="dxa" w:w="3048"/>
            <w:vAlign w:val="top"/>
            <w:shd w:fill="FFFFFF"/>
          </w:tcPr>
          <w:p>
            <w:pPr>
              <w:pStyle w:val="Compact"/>
              <w:spacing w:before="40" w:after="60" w:line="247" w:lineRule="auto"/>
              <w:jc w:val="left"/>
            </w:pPr>
            <w:hyperlink r:id="rId107">
              <w:r>
                <w:rPr>
                  <w:rStyle w:val="Hyperlink"/>
                </w:rPr>
                <w:t xml:space="preserve">SPDX — especificações</w:t>
              </w:r>
            </w:hyperlink>
          </w:p>
        </w:tc>
        <w:tc>
          <w:tcPr>
            <w:tcW w:type="dxa" w:w="4286"/>
            <w:vAlign w:val="top"/>
            <w:shd w:fill="FFFFFF"/>
          </w:tcPr>
          <w:p>
            <w:pPr>
              <w:pStyle w:val="Compact"/>
              <w:spacing w:before="40" w:after="60" w:line="247" w:lineRule="auto"/>
              <w:jc w:val="left"/>
            </w:pPr>
            <w:r>
              <w:rPr>
                <w:sz w:val="18"/>
              </w:rPr>
              <w:t xml:space="preserve">Consulta bloqueada; padrão e edição de SBOM do projeto não identificados.</w:t>
            </w:r>
          </w:p>
        </w:tc>
      </w:tr>
    </w:tbl>
    <w:p>
      <w:pPr>
        <w:pStyle w:val="BodyText"/>
      </w:pPr>
      <w:r>
        <w:t xml:space="preserve">Esta edição utiliza os dois PDFs como fontes e não reproduz suas páginas em anexos, conforme a orientação do responsável. As tabelas, diagramas e explicações necessários à leitura técnica estão incorporados ao próprio documento Word. A composição posterior com os PDFs originais pode ser realizada pelo responsável preservando os nomes dos arquivos e a numeração de origem citada nestas referências.</w:t>
      </w:r>
    </w:p>
    <w:bookmarkEnd w:id="108"/>
    <w:bookmarkEnd w:id="109"/>
    <w:bookmarkStart w:id="115" w:name="requisitos-conformidade-e-evidências"/>
    <w:p>
      <w:pPr>
        <w:pStyle w:val="Heading1"/>
      </w:pPr>
      <w:bookmarkStart w:id="20060" w:name="docsec_061"/>
      <w:r>
        <w:t xml:space="preserve">Requisitos, conformidade e evidências</w:t>
      </w:r>
      <w:bookmarkEnd w:id="20060"/>
    </w:p>
    <w:bookmarkStart w:id="110" w:name="norteadores-do-agents.md"/>
    <w:p>
      <w:pPr>
        <w:pStyle w:val="Heading2"/>
      </w:pPr>
      <w:bookmarkStart w:id="20061" w:name="docsec_062"/>
      <w:r>
        <w:t xml:space="preserve">Norteadores do AGENTS.MD</w:t>
      </w:r>
      <w:bookmarkEnd w:id="20061"/>
    </w:p>
    <w:p>
      <w:pPr>
        <w:pStyle w:val="FirstParagraph"/>
      </w:pPr>
      <w:r>
        <w:t xml:space="preserve">O</w:t>
      </w:r>
      <w:r>
        <w:t xml:space="preserve"> </w:t>
      </w:r>
      <w:r>
        <w:rPr>
          <w:rStyle w:val="VerbatimChar"/>
        </w:rPr>
        <w:t xml:space="preserve">AGENTS.MD</w:t>
      </w:r>
      <w:r>
        <w:t xml:space="preserve">, versão 1.0, reúne as diretrizes de governança, arquitetura, segurança, acessibilidade e qualidade adotadas pelo projeto. O arquivo estabelece a preservação do escopo autorizado, a validação no servidor, a proteção dos segredos e a rastreabilidade das decisões. Seus limites quantitativos são requisitos internos de desenvolvimento. Eles não constituem, por si, exigências de uma lei ou de uma norma internacional.</w:t>
      </w:r>
    </w:p>
    <w:p>
      <w:pPr>
        <w:pStyle w:val="BodyText"/>
      </w:pPr>
      <w:r>
        <w:t xml:space="preserve">Este capítulo relaciona as diretrizes à revisão</w:t>
      </w:r>
      <w:r>
        <w:t xml:space="preserve"> </w:t>
      </w:r>
      <w:r>
        <w:rPr>
          <w:rStyle w:val="VerbatimChar"/>
        </w:rPr>
        <w:t xml:space="preserve">1d05eb64bfdb9f7f579221a144165a66f1ba25e4</w:t>
      </w:r>
      <w:r>
        <w:t xml:space="preserve">, à configuração versionada e aos materiais fornecidos pelo responsável. A classificação de atendimento refere-se ao requisito descrito. Não representa certificação jurídica, homologação por organismo externo nem declaração de conformidade integral do sistema.</w:t>
      </w:r>
    </w:p>
    <w:p>
      <w:pPr>
        <w:pStyle w:val="TableCaption"/>
        <w:keepNext/>
      </w:pPr>
      <w:r>
        <w:t xml:space="preserve">Tabela </w:t>
      </w:r>
      <w:r>
        <w:rPr>
          <w:rFonts w:ascii="Open Sans" w:hAnsi="Open Sans"/>
          <w:sz w:val="18"/>
        </w:rPr>
        <w:fldChar w:fldCharType="begin"/>
        <w:instrText xml:space="preserve"> SEQ Tabela </w:instrText>
        <w:fldChar w:fldCharType="separate"/>
        <w:t>35</w:t>
        <w:fldChar w:fldCharType="end"/>
      </w:r>
      <w:r>
        <w:t xml:space="preserve"> — Referências legais, técnicas e institucionais.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w:t>
            </w:r>
          </w:p>
        </w:tc>
        <w:tc>
          <w:tcPr>
            <w:tcW w:type="dxa" w:w="2476"/>
            <w:vAlign w:val="top"/>
            <w:shd w:fill="233B82"/>
          </w:tcPr>
          <w:p>
            <w:pPr>
              <w:pStyle w:val="Compact"/>
              <w:spacing w:before="40" w:after="60" w:line="247" w:lineRule="auto"/>
              <w:jc w:val="left"/>
            </w:pPr>
            <w:r>
              <w:rPr>
                <w:b/>
                <w:color w:val="FFFFFF"/>
                <w:sz w:val="18"/>
              </w:rPr>
              <w:t xml:space="preserve">Referência declarada</w:t>
            </w:r>
          </w:p>
        </w:tc>
        <w:tc>
          <w:tcPr>
            <w:tcW w:type="dxa" w:w="2762"/>
            <w:vAlign w:val="top"/>
            <w:shd w:fill="233B82"/>
          </w:tcPr>
          <w:p>
            <w:pPr>
              <w:pStyle w:val="Compact"/>
              <w:spacing w:before="40" w:after="60" w:line="247" w:lineRule="auto"/>
              <w:jc w:val="left"/>
            </w:pPr>
            <w:r>
              <w:rPr>
                <w:b/>
                <w:color w:val="FFFFFF"/>
                <w:sz w:val="18"/>
              </w:rPr>
              <w:t xml:space="preserve">Natureza</w:t>
            </w:r>
          </w:p>
        </w:tc>
        <w:tc>
          <w:tcPr>
            <w:tcW w:type="dxa" w:w="2572"/>
            <w:vAlign w:val="top"/>
            <w:shd w:fill="233B82"/>
          </w:tcPr>
          <w:p>
            <w:pPr>
              <w:pStyle w:val="Compact"/>
              <w:spacing w:before="40" w:after="60" w:line="247" w:lineRule="auto"/>
              <w:jc w:val="left"/>
            </w:pPr>
            <w:r>
              <w:rPr>
                <w:b/>
                <w:color w:val="FFFFFF"/>
                <w:sz w:val="18"/>
              </w:rPr>
              <w:t xml:space="preserve">Versão e alcance documental</w:t>
            </w:r>
          </w:p>
        </w:tc>
      </w:tr>
      <w:tr>
        <w:trPr>
          <w:cantSplit/>
        </w:trPr>
        <w:tc>
          <w:tcPr>
            <w:tcW w:type="dxa" w:w="1714"/>
            <w:vAlign w:val="top"/>
            <w:shd w:fill="FFFFFF"/>
          </w:tcPr>
          <w:p>
            <w:pPr>
              <w:pStyle w:val="Compact"/>
              <w:spacing w:before="40" w:after="60" w:line="247" w:lineRule="auto"/>
              <w:jc w:val="left"/>
            </w:pPr>
            <w:r>
              <w:rPr>
                <w:sz w:val="18"/>
              </w:rPr>
              <w:t xml:space="preserve">LEG-01</w:t>
            </w:r>
          </w:p>
        </w:tc>
        <w:tc>
          <w:tcPr>
            <w:tcW w:type="dxa" w:w="2476"/>
            <w:vAlign w:val="top"/>
            <w:shd w:fill="FFFFFF"/>
          </w:tcPr>
          <w:p>
            <w:pPr>
              <w:pStyle w:val="Compact"/>
              <w:spacing w:before="40" w:after="60" w:line="247" w:lineRule="auto"/>
              <w:jc w:val="left"/>
            </w:pPr>
            <w:r>
              <w:rPr>
                <w:sz w:val="18"/>
              </w:rPr>
              <w:t xml:space="preserve">Lei nº 13.709/2018 — Lei Geral de Proteção de Dados Pessoais, LGPD</w:t>
            </w:r>
          </w:p>
        </w:tc>
        <w:tc>
          <w:tcPr>
            <w:tcW w:type="dxa" w:w="2762"/>
            <w:vAlign w:val="top"/>
            <w:shd w:fill="FFFFFF"/>
          </w:tcPr>
          <w:p>
            <w:pPr>
              <w:pStyle w:val="Compact"/>
              <w:spacing w:before="40" w:after="60" w:line="247" w:lineRule="auto"/>
              <w:jc w:val="left"/>
            </w:pPr>
            <w:r>
              <w:rPr>
                <w:sz w:val="18"/>
              </w:rPr>
              <w:t xml:space="preserve">Lei federal</w:t>
            </w:r>
          </w:p>
        </w:tc>
        <w:tc>
          <w:tcPr>
            <w:tcW w:type="dxa" w:w="2572"/>
            <w:vAlign w:val="top"/>
            <w:shd w:fill="FFFFFF"/>
          </w:tcPr>
          <w:p>
            <w:pPr>
              <w:pStyle w:val="Compact"/>
              <w:spacing w:before="40" w:after="60" w:line="247" w:lineRule="auto"/>
              <w:jc w:val="left"/>
            </w:pPr>
            <w:r>
              <w:rPr>
                <w:sz w:val="18"/>
              </w:rPr>
              <w:t xml:space="preserve">Número e ano identificados no AGENTS.MD, §§ 12 e 23. Relaciona-se ao tratamento dos dados dos contatos.</w:t>
            </w:r>
          </w:p>
        </w:tc>
      </w:tr>
      <w:tr>
        <w:trPr>
          <w:cantSplit/>
        </w:trPr>
        <w:tc>
          <w:tcPr>
            <w:tcW w:type="dxa" w:w="1714"/>
            <w:vAlign w:val="top"/>
            <w:shd w:fill="F5F8FC"/>
          </w:tcPr>
          <w:p>
            <w:pPr>
              <w:pStyle w:val="Compact"/>
              <w:spacing w:before="40" w:after="60" w:line="247" w:lineRule="auto"/>
              <w:jc w:val="left"/>
            </w:pPr>
            <w:r>
              <w:rPr>
                <w:sz w:val="18"/>
              </w:rPr>
              <w:t xml:space="preserve">LEG-02</w:t>
            </w:r>
          </w:p>
        </w:tc>
        <w:tc>
          <w:tcPr>
            <w:tcW w:type="dxa" w:w="2476"/>
            <w:vAlign w:val="top"/>
            <w:shd w:fill="F5F8FC"/>
          </w:tcPr>
          <w:p>
            <w:pPr>
              <w:pStyle w:val="Compact"/>
              <w:spacing w:before="40" w:after="60" w:line="247" w:lineRule="auto"/>
              <w:jc w:val="left"/>
            </w:pPr>
            <w:r>
              <w:rPr>
                <w:sz w:val="18"/>
              </w:rPr>
              <w:t xml:space="preserve">Lei nº 13.146/2015 — Lei Brasileira de Inclusão da Pessoa com Deficiência</w:t>
            </w:r>
          </w:p>
        </w:tc>
        <w:tc>
          <w:tcPr>
            <w:tcW w:type="dxa" w:w="2762"/>
            <w:vAlign w:val="top"/>
            <w:shd w:fill="F5F8FC"/>
          </w:tcPr>
          <w:p>
            <w:pPr>
              <w:pStyle w:val="Compact"/>
              <w:spacing w:before="40" w:after="60" w:line="247" w:lineRule="auto"/>
              <w:jc w:val="left"/>
            </w:pPr>
            <w:r>
              <w:rPr>
                <w:sz w:val="18"/>
              </w:rPr>
              <w:t xml:space="preserve">Lei federal</w:t>
            </w:r>
          </w:p>
        </w:tc>
        <w:tc>
          <w:tcPr>
            <w:tcW w:type="dxa" w:w="2572"/>
            <w:vAlign w:val="top"/>
            <w:shd w:fill="F5F8FC"/>
          </w:tcPr>
          <w:p>
            <w:pPr>
              <w:pStyle w:val="Compact"/>
              <w:spacing w:before="40" w:after="60" w:line="247" w:lineRule="auto"/>
              <w:jc w:val="left"/>
            </w:pPr>
            <w:r>
              <w:rPr>
                <w:sz w:val="18"/>
              </w:rPr>
              <w:t xml:space="preserve">Referida no AGENTS.MD, § 23; orienta a análise de acessibilidade no contexto institucional.</w:t>
            </w:r>
          </w:p>
        </w:tc>
      </w:tr>
      <w:tr>
        <w:trPr>
          <w:cantSplit/>
        </w:trPr>
        <w:tc>
          <w:tcPr>
            <w:tcW w:type="dxa" w:w="1714"/>
            <w:vAlign w:val="top"/>
            <w:shd w:fill="FFFFFF"/>
          </w:tcPr>
          <w:p>
            <w:pPr>
              <w:pStyle w:val="Compact"/>
              <w:spacing w:before="40" w:after="60" w:line="247" w:lineRule="auto"/>
              <w:jc w:val="left"/>
            </w:pPr>
            <w:r>
              <w:rPr>
                <w:sz w:val="18"/>
              </w:rPr>
              <w:t xml:space="preserve">LEG-03</w:t>
            </w:r>
          </w:p>
        </w:tc>
        <w:tc>
          <w:tcPr>
            <w:tcW w:type="dxa" w:w="2476"/>
            <w:vAlign w:val="top"/>
            <w:shd w:fill="FFFFFF"/>
          </w:tcPr>
          <w:p>
            <w:pPr>
              <w:pStyle w:val="Compact"/>
              <w:spacing w:before="40" w:after="60" w:line="247" w:lineRule="auto"/>
              <w:jc w:val="left"/>
            </w:pPr>
            <w:r>
              <w:rPr>
                <w:sz w:val="18"/>
              </w:rPr>
              <w:t xml:space="preserve">Lei nº 14.129/2021 — Governo Digital</w:t>
            </w:r>
          </w:p>
        </w:tc>
        <w:tc>
          <w:tcPr>
            <w:tcW w:type="dxa" w:w="2762"/>
            <w:vAlign w:val="top"/>
            <w:shd w:fill="FFFFFF"/>
          </w:tcPr>
          <w:p>
            <w:pPr>
              <w:pStyle w:val="Compact"/>
              <w:spacing w:before="40" w:after="60" w:line="247" w:lineRule="auto"/>
              <w:jc w:val="left"/>
            </w:pPr>
            <w:r>
              <w:rPr>
                <w:sz w:val="18"/>
              </w:rPr>
              <w:t xml:space="preserve">Lei federal</w:t>
            </w:r>
          </w:p>
        </w:tc>
        <w:tc>
          <w:tcPr>
            <w:tcW w:type="dxa" w:w="2572"/>
            <w:vAlign w:val="top"/>
            <w:shd w:fill="FFFFFF"/>
          </w:tcPr>
          <w:p>
            <w:pPr>
              <w:pStyle w:val="Compact"/>
              <w:spacing w:before="40" w:after="60" w:line="247" w:lineRule="auto"/>
              <w:jc w:val="left"/>
            </w:pPr>
            <w:r>
              <w:rPr>
                <w:sz w:val="18"/>
              </w:rPr>
              <w:t xml:space="preserve">O AGENTS.MD condiciona a referência à aplicabilidade. O enquadramento jurídico específico não foi fornecido.</w:t>
            </w:r>
          </w:p>
        </w:tc>
      </w:tr>
      <w:tr>
        <w:trPr>
          <w:cantSplit/>
        </w:trPr>
        <w:tc>
          <w:tcPr>
            <w:tcW w:type="dxa" w:w="1714"/>
            <w:vAlign w:val="top"/>
            <w:shd w:fill="F5F8FC"/>
          </w:tcPr>
          <w:p>
            <w:pPr>
              <w:pStyle w:val="Compact"/>
              <w:spacing w:before="40" w:after="60" w:line="247" w:lineRule="auto"/>
              <w:jc w:val="left"/>
            </w:pPr>
            <w:r>
              <w:rPr>
                <w:sz w:val="18"/>
              </w:rPr>
              <w:t xml:space="preserve">TEC-01</w:t>
            </w:r>
          </w:p>
        </w:tc>
        <w:tc>
          <w:tcPr>
            <w:tcW w:type="dxa" w:w="2476"/>
            <w:vAlign w:val="top"/>
            <w:shd w:fill="F5F8FC"/>
          </w:tcPr>
          <w:p>
            <w:pPr>
              <w:pStyle w:val="Compact"/>
              <w:spacing w:before="40" w:after="60" w:line="247" w:lineRule="auto"/>
              <w:jc w:val="left"/>
            </w:pPr>
            <w:r>
              <w:rPr>
                <w:sz w:val="18"/>
              </w:rPr>
              <w:t xml:space="preserve">Web Content Accessibility Guidelines, WCAG 2.2, nível AA</w:t>
            </w:r>
          </w:p>
        </w:tc>
        <w:tc>
          <w:tcPr>
            <w:tcW w:type="dxa" w:w="2762"/>
            <w:vAlign w:val="top"/>
            <w:shd w:fill="F5F8FC"/>
          </w:tcPr>
          <w:p>
            <w:pPr>
              <w:pStyle w:val="Compact"/>
              <w:spacing w:before="40" w:after="60" w:line="247" w:lineRule="auto"/>
              <w:jc w:val="left"/>
            </w:pPr>
            <w:r>
              <w:rPr>
                <w:sz w:val="18"/>
              </w:rPr>
              <w:t xml:space="preserve">Recomendação técnica W3C</w:t>
            </w:r>
          </w:p>
        </w:tc>
        <w:tc>
          <w:tcPr>
            <w:tcW w:type="dxa" w:w="2572"/>
            <w:vAlign w:val="top"/>
            <w:shd w:fill="F5F8FC"/>
          </w:tcPr>
          <w:p>
            <w:pPr>
              <w:pStyle w:val="Compact"/>
              <w:spacing w:before="40" w:after="60" w:line="247" w:lineRule="auto"/>
              <w:jc w:val="left"/>
            </w:pPr>
            <w:r>
              <w:rPr>
                <w:sz w:val="18"/>
              </w:rPr>
              <w:t xml:space="preserve">Versão 2.2 e nível AA expressamente definidos pelo AGENTS.MD, § 20.</w:t>
            </w:r>
          </w:p>
        </w:tc>
      </w:tr>
      <w:tr>
        <w:trPr>
          <w:cantSplit/>
        </w:trPr>
        <w:tc>
          <w:tcPr>
            <w:tcW w:type="dxa" w:w="1714"/>
            <w:vAlign w:val="top"/>
            <w:shd w:fill="FFFFFF"/>
          </w:tcPr>
          <w:p>
            <w:pPr>
              <w:pStyle w:val="Compact"/>
              <w:spacing w:before="40" w:after="60" w:line="247" w:lineRule="auto"/>
              <w:jc w:val="left"/>
            </w:pPr>
            <w:r>
              <w:rPr>
                <w:sz w:val="18"/>
              </w:rPr>
              <w:t xml:space="preserve">TEC-02</w:t>
            </w:r>
          </w:p>
        </w:tc>
        <w:tc>
          <w:tcPr>
            <w:tcW w:type="dxa" w:w="2476"/>
            <w:vAlign w:val="top"/>
            <w:shd w:fill="FFFFFF"/>
          </w:tcPr>
          <w:p>
            <w:pPr>
              <w:pStyle w:val="Compact"/>
              <w:spacing w:before="40" w:after="60" w:line="247" w:lineRule="auto"/>
              <w:jc w:val="left"/>
            </w:pPr>
            <w:r>
              <w:rPr>
                <w:sz w:val="18"/>
              </w:rPr>
              <w:t xml:space="preserve">Modelo de Acessibilidade em Governo Eletrônico, e-MAG</w:t>
            </w:r>
          </w:p>
        </w:tc>
        <w:tc>
          <w:tcPr>
            <w:tcW w:type="dxa" w:w="2762"/>
            <w:vAlign w:val="top"/>
            <w:shd w:fill="FFFFFF"/>
          </w:tcPr>
          <w:p>
            <w:pPr>
              <w:pStyle w:val="Compact"/>
              <w:spacing w:before="40" w:after="60" w:line="247" w:lineRule="auto"/>
              <w:jc w:val="left"/>
            </w:pPr>
            <w:r>
              <w:rPr>
                <w:sz w:val="18"/>
              </w:rPr>
              <w:t xml:space="preserve">Guia de acessibilidade</w:t>
            </w:r>
          </w:p>
        </w:tc>
        <w:tc>
          <w:tcPr>
            <w:tcW w:type="dxa" w:w="2572"/>
            <w:vAlign w:val="top"/>
            <w:shd w:fill="FFFFFF"/>
          </w:tcPr>
          <w:p>
            <w:pPr>
              <w:pStyle w:val="Compact"/>
              <w:spacing w:before="40" w:after="60" w:line="247" w:lineRule="auto"/>
              <w:jc w:val="left"/>
            </w:pPr>
            <w:r>
              <w:rPr>
                <w:sz w:val="18"/>
              </w:rPr>
              <w:t xml:space="preserve">Referência condicional no AGENTS.MD. A edição adotada não foi identificada.</w:t>
            </w:r>
          </w:p>
        </w:tc>
      </w:tr>
      <w:tr>
        <w:trPr>
          <w:cantSplit/>
        </w:trPr>
        <w:tc>
          <w:tcPr>
            <w:tcW w:type="dxa" w:w="1714"/>
            <w:vAlign w:val="top"/>
            <w:shd w:fill="F5F8FC"/>
          </w:tcPr>
          <w:p>
            <w:pPr>
              <w:pStyle w:val="Compact"/>
              <w:spacing w:before="40" w:after="60" w:line="247" w:lineRule="auto"/>
              <w:jc w:val="left"/>
            </w:pPr>
            <w:r>
              <w:rPr>
                <w:sz w:val="18"/>
              </w:rPr>
              <w:t xml:space="preserve">TEC-03</w:t>
            </w:r>
          </w:p>
        </w:tc>
        <w:tc>
          <w:tcPr>
            <w:tcW w:type="dxa" w:w="2476"/>
            <w:vAlign w:val="top"/>
            <w:shd w:fill="F5F8FC"/>
          </w:tcPr>
          <w:p>
            <w:pPr>
              <w:pStyle w:val="Compact"/>
              <w:spacing w:before="40" w:after="60" w:line="247" w:lineRule="auto"/>
              <w:jc w:val="left"/>
            </w:pPr>
            <w:r>
              <w:rPr>
                <w:sz w:val="18"/>
              </w:rPr>
              <w:t xml:space="preserve">ISO/IEC 25010</w:t>
            </w:r>
          </w:p>
        </w:tc>
        <w:tc>
          <w:tcPr>
            <w:tcW w:type="dxa" w:w="2762"/>
            <w:vAlign w:val="top"/>
            <w:shd w:fill="F5F8FC"/>
          </w:tcPr>
          <w:p>
            <w:pPr>
              <w:pStyle w:val="Compact"/>
              <w:spacing w:before="40" w:after="60" w:line="247" w:lineRule="auto"/>
              <w:jc w:val="left"/>
            </w:pPr>
            <w:r>
              <w:rPr>
                <w:sz w:val="18"/>
              </w:rPr>
              <w:t xml:space="preserve">Norma técnica de qualidade de produto</w:t>
            </w:r>
          </w:p>
        </w:tc>
        <w:tc>
          <w:tcPr>
            <w:tcW w:type="dxa" w:w="2572"/>
            <w:vAlign w:val="top"/>
            <w:shd w:fill="F5F8FC"/>
          </w:tcPr>
          <w:p>
            <w:pPr>
              <w:pStyle w:val="Compact"/>
              <w:spacing w:before="40" w:after="60" w:line="247" w:lineRule="auto"/>
              <w:jc w:val="left"/>
            </w:pPr>
            <w:r>
              <w:rPr>
                <w:sz w:val="18"/>
              </w:rPr>
              <w:t xml:space="preserve">Citada sem edição no AGENTS.MD. Não se atribuem ao projeto características de uma edição presumida.</w:t>
            </w:r>
          </w:p>
        </w:tc>
      </w:tr>
      <w:tr>
        <w:trPr>
          <w:cantSplit/>
        </w:trPr>
        <w:tc>
          <w:tcPr>
            <w:tcW w:type="dxa" w:w="1714"/>
            <w:vAlign w:val="top"/>
            <w:shd w:fill="FFFFFF"/>
          </w:tcPr>
          <w:p>
            <w:pPr>
              <w:pStyle w:val="Compact"/>
              <w:spacing w:before="40" w:after="60" w:line="247" w:lineRule="auto"/>
              <w:jc w:val="left"/>
            </w:pPr>
            <w:r>
              <w:rPr>
                <w:sz w:val="18"/>
              </w:rPr>
              <w:t xml:space="preserve">TEC-04</w:t>
            </w:r>
          </w:p>
        </w:tc>
        <w:tc>
          <w:tcPr>
            <w:tcW w:type="dxa" w:w="2476"/>
            <w:vAlign w:val="top"/>
            <w:shd w:fill="FFFFFF"/>
          </w:tcPr>
          <w:p>
            <w:pPr>
              <w:pStyle w:val="Compact"/>
              <w:spacing w:before="40" w:after="60" w:line="247" w:lineRule="auto"/>
              <w:jc w:val="left"/>
            </w:pPr>
            <w:r>
              <w:rPr>
                <w:sz w:val="18"/>
              </w:rPr>
              <w:t xml:space="preserve">ISO/IEC 5230 / OpenChain</w:t>
            </w:r>
          </w:p>
        </w:tc>
        <w:tc>
          <w:tcPr>
            <w:tcW w:type="dxa" w:w="2762"/>
            <w:vAlign w:val="top"/>
            <w:shd w:fill="FFFFFF"/>
          </w:tcPr>
          <w:p>
            <w:pPr>
              <w:pStyle w:val="Compact"/>
              <w:spacing w:before="40" w:after="60" w:line="247" w:lineRule="auto"/>
              <w:jc w:val="left"/>
            </w:pPr>
            <w:r>
              <w:rPr>
                <w:sz w:val="18"/>
              </w:rPr>
              <w:t xml:space="preserve">Norma de conformidade de licenças de código aberto</w:t>
            </w:r>
          </w:p>
        </w:tc>
        <w:tc>
          <w:tcPr>
            <w:tcW w:type="dxa" w:w="2572"/>
            <w:vAlign w:val="top"/>
            <w:shd w:fill="FFFFFF"/>
          </w:tcPr>
          <w:p>
            <w:pPr>
              <w:pStyle w:val="Compact"/>
              <w:spacing w:before="40" w:after="60" w:line="247" w:lineRule="auto"/>
              <w:jc w:val="left"/>
            </w:pPr>
            <w:r>
              <w:rPr>
                <w:sz w:val="18"/>
              </w:rPr>
              <w:t xml:space="preserve">O AGENTS.MD não identifica edição ou programa de certificação adotado.</w:t>
            </w:r>
          </w:p>
        </w:tc>
      </w:tr>
      <w:tr>
        <w:trPr>
          <w:cantSplit/>
        </w:trPr>
        <w:tc>
          <w:tcPr>
            <w:tcW w:type="dxa" w:w="1714"/>
            <w:vAlign w:val="top"/>
            <w:shd w:fill="F5F8FC"/>
          </w:tcPr>
          <w:p>
            <w:pPr>
              <w:pStyle w:val="Compact"/>
              <w:spacing w:before="40" w:after="60" w:line="247" w:lineRule="auto"/>
              <w:jc w:val="left"/>
            </w:pPr>
            <w:r>
              <w:rPr>
                <w:sz w:val="18"/>
              </w:rPr>
              <w:t xml:space="preserve">TEC-05</w:t>
            </w:r>
          </w:p>
        </w:tc>
        <w:tc>
          <w:tcPr>
            <w:tcW w:type="dxa" w:w="2476"/>
            <w:vAlign w:val="top"/>
            <w:shd w:fill="F5F8FC"/>
          </w:tcPr>
          <w:p>
            <w:pPr>
              <w:pStyle w:val="Compact"/>
              <w:spacing w:before="40" w:after="60" w:line="247" w:lineRule="auto"/>
              <w:jc w:val="left"/>
            </w:pPr>
            <w:r>
              <w:rPr>
                <w:sz w:val="18"/>
              </w:rPr>
              <w:t xml:space="preserve">SBOM e referência a SPDX/ISO aplicável</w:t>
            </w:r>
          </w:p>
        </w:tc>
        <w:tc>
          <w:tcPr>
            <w:tcW w:type="dxa" w:w="2762"/>
            <w:vAlign w:val="top"/>
            <w:shd w:fill="F5F8FC"/>
          </w:tcPr>
          <w:p>
            <w:pPr>
              <w:pStyle w:val="Compact"/>
              <w:spacing w:before="40" w:after="60" w:line="247" w:lineRule="auto"/>
              <w:jc w:val="left"/>
            </w:pPr>
            <w:r>
              <w:rPr>
                <w:sz w:val="18"/>
              </w:rPr>
              <w:t xml:space="preserve">Inventário e padrões de componentes de software</w:t>
            </w:r>
          </w:p>
        </w:tc>
        <w:tc>
          <w:tcPr>
            <w:tcW w:type="dxa" w:w="2572"/>
            <w:vAlign w:val="top"/>
            <w:shd w:fill="F5F8FC"/>
          </w:tcPr>
          <w:p>
            <w:pPr>
              <w:pStyle w:val="Compact"/>
              <w:spacing w:before="40" w:after="60" w:line="247" w:lineRule="auto"/>
              <w:jc w:val="left"/>
            </w:pPr>
            <w:r>
              <w:rPr>
                <w:sz w:val="18"/>
              </w:rPr>
              <w:t xml:space="preserve">A edição, o formato e o procedimento institucional de geração não foram especificados.</w:t>
            </w:r>
          </w:p>
        </w:tc>
      </w:tr>
    </w:tbl>
    <w:p>
      <w:pPr>
        <w:pStyle w:val="BodyText"/>
      </w:pPr>
      <w:r>
        <w:t xml:space="preserve">As páginas institucionais de Planalto, W3C, Governo Digital, ISO, OpenChain e SPDX foram indicadas como referências para conferência. A tentativa de consulta em 15 de outubro de 2026 recebeu bloqueio de conexão no ambiente documental. Portanto, não houve confirmação externa do conteúdo consolidado dessas fontes nesta etapa. Os endereços e o resultado da consulta estão registrados nas fontes de apoio; as referências bibliográficas constam do capítulo 8. Não se declara leitura integral das normas ISO.</w:t>
      </w:r>
    </w:p>
    <w:bookmarkEnd w:id="110"/>
    <w:bookmarkStart w:id="111" w:name="aplicabilidade"/>
    <w:p>
      <w:pPr>
        <w:pStyle w:val="Heading2"/>
      </w:pPr>
      <w:bookmarkStart w:id="20062" w:name="docsec_063"/>
      <w:r>
        <w:t xml:space="preserve">Aplicabilidade</w:t>
      </w:r>
      <w:bookmarkEnd w:id="20062"/>
    </w:p>
    <w:p>
      <w:pPr>
        <w:pStyle w:val="FirstParagraph"/>
      </w:pPr>
      <w:r>
        <w:t xml:space="preserve">O portal apresenta um componente curricular e recebe manifestações de interesse de representantes de instituições. Não oferece matrícula, área autenticada de docentes, ambiente de aprendizagem, pagamentos ou administração pública de registros. Essa delimitação determina quais controles estão implementados e evita atribuir ao sistema obrigações funcionais de plataformas que ele não pretende substituir.</w:t>
      </w:r>
    </w:p>
    <w:p>
      <w:pPr>
        <w:pStyle w:val="BodyText"/>
      </w:pPr>
      <w:r>
        <w:t xml:space="preserve">A LGPD constitui referência para o tratamento de nome, e-mail, telefone, observações e informações institucionais relacionadas ao contato. O código organiza parte desses dados em um cofre criptografado e mantém informações operacionais separadas. Entretanto, esses mecanismos não determinam a base legal, o prazo de retenção, a responsabilidade institucional ou a forma de atendimento aos titulares. Tais definições dependem da governança do CRA-SP e de documentos operacionais próprios.</w:t>
      </w:r>
    </w:p>
    <w:p>
      <w:pPr>
        <w:pStyle w:val="BodyText"/>
      </w:pPr>
      <w:r>
        <w:t xml:space="preserve">A Lei Brasileira de Inclusão e a meta WCAG 2.2 AA relacionam-se ao acesso às informações e ao formulário. Há recursos de contraste, ampliação de fonte, semântica HTML, nomes acessíveis, diálogo nativo e integração VLibras. O nível AA é uma meta de abrangência definida: resultados automatizados e presença de recursos assistivos não demonstram, isoladamente, atendimento a todos os critérios aplicáveis.</w:t>
      </w:r>
    </w:p>
    <w:p>
      <w:pPr>
        <w:pStyle w:val="BodyText"/>
      </w:pPr>
      <w:r>
        <w:t xml:space="preserve">O e-MAG e a Lei de Governo Digital são citados de forma condicionada. A aplicação concreta dessas referências ao serviço e à instituição não foi objeto de parecer jurídico recebido. A documentação os mantém como norteadores a confirmar; não presume sua aplicação integral nem os exclui apenas porque o portal possui escopo reduzido.</w:t>
      </w:r>
    </w:p>
    <w:p>
      <w:pPr>
        <w:pStyle w:val="BodyText"/>
      </w:pPr>
      <w:r>
        <w:t xml:space="preserve">ISO/IEC 25010 é tratada como referência de qualidade, sem atribuir a ela os limites internos de tamanho e complexidade. ISO/IEC 5230 relaciona-se ao processo de conformidade de licenças de código aberto. SBOM, ou lista de materiais de software, é um inventário de componentes; não substitui a avaliação das obrigações de suas licenças. O AGENTS.MD separa essas responsabilidades e restringe GPLv3, AGPL e outras licenças institucionalmente incompatíveis, salvo autorização expressa.</w:t>
      </w:r>
    </w:p>
    <w:p>
      <w:pPr>
        <w:pStyle w:val="BodyText"/>
      </w:pPr>
      <w:r>
        <w:t xml:space="preserve">Os visitantes não precisam autenticar-se para enviar interesse. O uso de credenciais pelo backend é uma questão distinta: a aplicação utiliza Firebase Admin para persistência, enquanto as regras versionadas recusam operações diretas dos clientes no Firestore. Requisitos de autorização por usuário, acesso a recursos de outra conta e escalonamento de perfis não correspondem a funções públicas existentes nesta versão.</w:t>
      </w:r>
    </w:p>
    <w:bookmarkEnd w:id="111"/>
    <w:bookmarkStart w:id="112" w:name="matriz-de-conformidade"/>
    <w:p>
      <w:pPr>
        <w:pStyle w:val="Heading2"/>
      </w:pPr>
      <w:bookmarkStart w:id="20063" w:name="docsec_064"/>
      <w:r>
        <w:t xml:space="preserve">Matriz de conformidade</w:t>
      </w:r>
      <w:bookmarkEnd w:id="20063"/>
    </w:p>
    <w:p>
      <w:pPr>
        <w:pStyle w:val="FirstParagraph"/>
      </w:pPr>
      <w:r>
        <w:t xml:space="preserve">As situações empregadas são:</w:t>
      </w:r>
      <w:r>
        <w:t xml:space="preserve"> </w:t>
      </w:r>
      <w:r>
        <w:rPr>
          <w:b/>
          <w:bCs/>
        </w:rPr>
        <w:t xml:space="preserve">ATENDIDO</w:t>
      </w:r>
      <w:r>
        <w:t xml:space="preserve">, para o requisito limitado que possui evidência suficiente;</w:t>
      </w:r>
      <w:r>
        <w:t xml:space="preserve"> </w:t>
      </w:r>
      <w:r>
        <w:rPr>
          <w:b/>
          <w:bCs/>
        </w:rPr>
        <w:t xml:space="preserve">PARCIALMENTE ATENDIDO</w:t>
      </w:r>
      <w:r>
        <w:t xml:space="preserve">, quando a evidência cobre somente parte do assunto;</w:t>
      </w:r>
      <w:r>
        <w:t xml:space="preserve"> </w:t>
      </w:r>
      <w:r>
        <w:rPr>
          <w:b/>
          <w:bCs/>
        </w:rPr>
        <w:t xml:space="preserve">NÃO VERIFICADO</w:t>
      </w:r>
      <w:r>
        <w:t xml:space="preserve">, quando a comprovação não foi disponibilizada ou executada; e</w:t>
      </w:r>
      <w:r>
        <w:t xml:space="preserve"> </w:t>
      </w:r>
      <w:r>
        <w:rPr>
          <w:b/>
          <w:bCs/>
        </w:rPr>
        <w:t xml:space="preserve">NÃO APLICÁVEL</w:t>
      </w:r>
      <w:r>
        <w:t xml:space="preserve">, com justificativa de escopo. A ausência de documento comprobatório não é convertida em declaração de descumprimento.</w:t>
      </w:r>
    </w:p>
    <w:p>
      <w:pPr>
        <w:pStyle w:val="BodyText"/>
      </w:pPr>
      <w:r>
        <w:t xml:space="preserve">As matrizes dividem os assuntos para facilitar a leitura e a edição no Word. Todas se referem à revisão documentada, salvo indicação explícita de informação operacional fornecida pelo responsável. O método deste capítulo é a leitura dos arquivos citados e o confronto entre declaração, configuração e evidência; não foram realizadas novas varreduras externas nem gravações no banco real para esta redação.</w:t>
      </w:r>
    </w:p>
    <w:p>
      <w:pPr>
        <w:pStyle w:val="TableCaption"/>
        <w:keepNext/>
      </w:pPr>
      <w:r>
        <w:t xml:space="preserve">Tabela </w:t>
      </w:r>
      <w:r>
        <w:rPr>
          <w:rFonts w:ascii="Open Sans" w:hAnsi="Open Sans"/>
          <w:sz w:val="18"/>
        </w:rPr>
        <w:fldChar w:fldCharType="begin"/>
        <w:instrText xml:space="preserve"> SEQ Tabela </w:instrText>
        <w:fldChar w:fldCharType="separate"/>
        <w:t>36</w:t>
        <w:fldChar w:fldCharType="end"/>
      </w:r>
      <w:r>
        <w:t xml:space="preserve"> — Proteção de dados e acessibilidade.</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 e referência</w:t>
            </w:r>
          </w:p>
        </w:tc>
        <w:tc>
          <w:tcPr>
            <w:tcW w:type="dxa" w:w="2476"/>
            <w:vAlign w:val="top"/>
            <w:shd w:fill="233B82"/>
          </w:tcPr>
          <w:p>
            <w:pPr>
              <w:pStyle w:val="Compact"/>
              <w:spacing w:before="40" w:after="60" w:line="247" w:lineRule="auto"/>
              <w:jc w:val="left"/>
            </w:pPr>
            <w:r>
              <w:rPr>
                <w:b/>
                <w:color w:val="FFFFFF"/>
                <w:sz w:val="18"/>
              </w:rPr>
              <w:t xml:space="preserve">Requisito e aplicabilidade</w:t>
            </w:r>
          </w:p>
        </w:tc>
        <w:tc>
          <w:tcPr>
            <w:tcW w:type="dxa" w:w="2762"/>
            <w:vAlign w:val="top"/>
            <w:shd w:fill="233B82"/>
          </w:tcPr>
          <w:p>
            <w:pPr>
              <w:pStyle w:val="Compact"/>
              <w:spacing w:before="40" w:after="60" w:line="247" w:lineRule="auto"/>
              <w:jc w:val="left"/>
            </w:pPr>
            <w:r>
              <w:rPr>
                <w:b/>
                <w:color w:val="FFFFFF"/>
                <w:sz w:val="18"/>
              </w:rPr>
              <w:t xml:space="preserve">Evidência e método</w:t>
            </w:r>
          </w:p>
        </w:tc>
        <w:tc>
          <w:tcPr>
            <w:tcW w:type="dxa" w:w="2572"/>
            <w:vAlign w:val="top"/>
            <w:shd w:fill="233B82"/>
          </w:tcPr>
          <w:p>
            <w:pPr>
              <w:pStyle w:val="Compact"/>
              <w:spacing w:before="40" w:after="60" w:line="247" w:lineRule="auto"/>
              <w:jc w:val="left"/>
            </w:pPr>
            <w:r>
              <w:rPr>
                <w:b/>
                <w:color w:val="FFFFFF"/>
                <w:sz w:val="18"/>
              </w:rPr>
              <w:t xml:space="preserve">Situação e limite</w:t>
            </w:r>
          </w:p>
        </w:tc>
      </w:tr>
      <w:tr>
        <w:trPr>
          <w:cantSplit/>
        </w:trPr>
        <w:tc>
          <w:tcPr>
            <w:tcW w:type="dxa" w:w="1714"/>
            <w:vAlign w:val="top"/>
            <w:shd w:fill="FFFFFF"/>
          </w:tcPr>
          <w:p>
            <w:pPr>
              <w:pStyle w:val="Compact"/>
              <w:spacing w:before="40" w:after="60" w:line="247" w:lineRule="auto"/>
              <w:jc w:val="left"/>
            </w:pPr>
            <w:r>
              <w:rPr>
                <w:sz w:val="18"/>
              </w:rPr>
              <w:t xml:space="preserve">PD-01 · LEG-01; AGENTS §§ 12–14</w:t>
            </w:r>
          </w:p>
        </w:tc>
        <w:tc>
          <w:tcPr>
            <w:tcW w:type="dxa" w:w="2476"/>
            <w:vAlign w:val="top"/>
            <w:shd w:fill="FFFFFF"/>
          </w:tcPr>
          <w:p>
            <w:pPr>
              <w:pStyle w:val="Compact"/>
              <w:spacing w:before="40" w:after="60" w:line="247" w:lineRule="auto"/>
              <w:jc w:val="left"/>
            </w:pPr>
            <w:r>
              <w:rPr>
                <w:sz w:val="18"/>
              </w:rPr>
              <w:t xml:space="preserve">Proteção técnica dos contatos pessoais coletados pelo formulário</w:t>
            </w:r>
          </w:p>
        </w:tc>
        <w:tc>
          <w:tcPr>
            <w:tcW w:type="dxa" w:w="2762"/>
            <w:vAlign w:val="top"/>
            <w:shd w:fill="FFFFFF"/>
          </w:tcPr>
          <w:p>
            <w:pPr>
              <w:pStyle w:val="Compact"/>
              <w:spacing w:before="40" w:after="60" w:line="247" w:lineRule="auto"/>
              <w:jc w:val="left"/>
            </w:pPr>
            <w:r>
              <w:rPr>
                <w:sz w:val="18"/>
              </w:rPr>
              <w:t xml:space="preserve">Leitura de</w:t>
            </w:r>
            <w:r>
              <w:rPr>
                <w:sz w:val="18"/>
              </w:rPr>
              <w:t xml:space="preserve"> </w:t>
            </w:r>
            <w:r>
              <w:rPr>
                <w:rStyle w:val="VerbatimChar"/>
                <w:sz w:val="17"/>
              </w:rPr>
              <w:t xml:space="preserve">vaultService.ts</w:t>
            </w:r>
            <w:r>
              <w:rPr>
                <w:sz w:val="18"/>
              </w:rPr>
              <w:t xml:space="preserve">: AES-256-GCM para nome, e-mail, telefone e observações; separação do registro operacional.</w:t>
            </w:r>
          </w:p>
        </w:tc>
        <w:tc>
          <w:tcPr>
            <w:tcW w:type="dxa" w:w="2572"/>
            <w:vAlign w:val="top"/>
            <w:shd w:fill="FFFFFF"/>
          </w:tcPr>
          <w:p>
            <w:pPr>
              <w:pStyle w:val="Compact"/>
              <w:spacing w:before="40" w:after="60" w:line="247" w:lineRule="auto"/>
              <w:jc w:val="left"/>
            </w:pPr>
            <w:r>
              <w:rPr>
                <w:sz w:val="18"/>
              </w:rPr>
              <w:t xml:space="preserve">PARCIALMENTE ATENDIDO. Implementação demonstrada; operação e controles organizacionais não são comprovados pelo código.</w:t>
            </w:r>
          </w:p>
        </w:tc>
      </w:tr>
      <w:tr>
        <w:trPr>
          <w:cantSplit/>
        </w:trPr>
        <w:tc>
          <w:tcPr>
            <w:tcW w:type="dxa" w:w="1714"/>
            <w:vAlign w:val="top"/>
            <w:shd w:fill="F5F8FC"/>
          </w:tcPr>
          <w:p>
            <w:pPr>
              <w:pStyle w:val="Compact"/>
              <w:spacing w:before="40" w:after="60" w:line="247" w:lineRule="auto"/>
              <w:jc w:val="left"/>
            </w:pPr>
            <w:r>
              <w:rPr>
                <w:sz w:val="18"/>
              </w:rPr>
              <w:t xml:space="preserve">PD-02 · LEG-01</w:t>
            </w:r>
          </w:p>
        </w:tc>
        <w:tc>
          <w:tcPr>
            <w:tcW w:type="dxa" w:w="2476"/>
            <w:vAlign w:val="top"/>
            <w:shd w:fill="F5F8FC"/>
          </w:tcPr>
          <w:p>
            <w:pPr>
              <w:pStyle w:val="Compact"/>
              <w:spacing w:before="40" w:after="60" w:line="247" w:lineRule="auto"/>
              <w:jc w:val="left"/>
            </w:pPr>
            <w:r>
              <w:rPr>
                <w:sz w:val="18"/>
              </w:rPr>
              <w:t xml:space="preserve">Base legal, finalidade institucional, retenção e atendimento aos titulares</w:t>
            </w:r>
          </w:p>
        </w:tc>
        <w:tc>
          <w:tcPr>
            <w:tcW w:type="dxa" w:w="2762"/>
            <w:vAlign w:val="top"/>
            <w:shd w:fill="F5F8FC"/>
          </w:tcPr>
          <w:p>
            <w:pPr>
              <w:pStyle w:val="Compact"/>
              <w:spacing w:before="40" w:after="60" w:line="247" w:lineRule="auto"/>
              <w:jc w:val="left"/>
            </w:pPr>
            <w:r>
              <w:rPr>
                <w:sz w:val="18"/>
              </w:rPr>
              <w:t xml:space="preserve">Os PDFs e o código descrevem o portal; não apresentam o conjunto de decisões institucionais sobre o tratamento.</w:t>
            </w:r>
          </w:p>
        </w:tc>
        <w:tc>
          <w:tcPr>
            <w:tcW w:type="dxa" w:w="2572"/>
            <w:vAlign w:val="top"/>
            <w:shd w:fill="F5F8FC"/>
          </w:tcPr>
          <w:p>
            <w:pPr>
              <w:pStyle w:val="Compact"/>
              <w:spacing w:before="40" w:after="60" w:line="247" w:lineRule="auto"/>
              <w:jc w:val="left"/>
            </w:pPr>
            <w:r>
              <w:rPr>
                <w:sz w:val="18"/>
              </w:rPr>
              <w:t xml:space="preserve">NÃO VERIFICADO. Exige definição ou documento do controlador, sem presumir consentimento obrigatório.</w:t>
            </w:r>
          </w:p>
        </w:tc>
      </w:tr>
      <w:tr>
        <w:trPr>
          <w:cantSplit/>
        </w:trPr>
        <w:tc>
          <w:tcPr>
            <w:tcW w:type="dxa" w:w="1714"/>
            <w:vAlign w:val="top"/>
            <w:shd w:fill="FFFFFF"/>
          </w:tcPr>
          <w:p>
            <w:pPr>
              <w:pStyle w:val="Compact"/>
              <w:spacing w:before="40" w:after="60" w:line="247" w:lineRule="auto"/>
              <w:jc w:val="left"/>
            </w:pPr>
            <w:r>
              <w:rPr>
                <w:sz w:val="18"/>
              </w:rPr>
              <w:t xml:space="preserve">PD-03 · AGENTS §§ 12–14</w:t>
            </w:r>
          </w:p>
        </w:tc>
        <w:tc>
          <w:tcPr>
            <w:tcW w:type="dxa" w:w="2476"/>
            <w:vAlign w:val="top"/>
            <w:shd w:fill="FFFFFF"/>
          </w:tcPr>
          <w:p>
            <w:pPr>
              <w:pStyle w:val="Compact"/>
              <w:spacing w:before="40" w:after="60" w:line="247" w:lineRule="auto"/>
              <w:jc w:val="left"/>
            </w:pPr>
            <w:r>
              <w:rPr>
                <w:sz w:val="18"/>
              </w:rPr>
              <w:t xml:space="preserve">Minimização dos registros de diagnóstico e proteção dos segredos</w:t>
            </w:r>
          </w:p>
        </w:tc>
        <w:tc>
          <w:tcPr>
            <w:tcW w:type="dxa" w:w="2762"/>
            <w:vAlign w:val="top"/>
            <w:shd w:fill="FFFFFF"/>
          </w:tcPr>
          <w:p>
            <w:pPr>
              <w:pStyle w:val="Compact"/>
              <w:spacing w:before="40" w:after="60" w:line="247" w:lineRule="auto"/>
              <w:jc w:val="left"/>
            </w:pPr>
            <w:r>
              <w:rPr>
                <w:rStyle w:val="VerbatimChar"/>
                <w:sz w:val="17"/>
              </w:rPr>
              <w:t xml:space="preserve">sanitizeErrorMessage</w:t>
            </w:r>
            <w:r>
              <w:rPr>
                <w:sz w:val="18"/>
              </w:rPr>
              <w:t xml:space="preserve"> </w:t>
            </w:r>
            <w:r>
              <w:rPr>
                <w:sz w:val="18"/>
              </w:rPr>
              <w:t xml:space="preserve">oculta padrões de e-mail, telefone e CPF; mensagens públicas de falha são genéricas.</w:t>
            </w:r>
          </w:p>
        </w:tc>
        <w:tc>
          <w:tcPr>
            <w:tcW w:type="dxa" w:w="2572"/>
            <w:vAlign w:val="top"/>
            <w:shd w:fill="FFFFFF"/>
          </w:tcPr>
          <w:p>
            <w:pPr>
              <w:pStyle w:val="Compact"/>
              <w:spacing w:before="40" w:after="60" w:line="247" w:lineRule="auto"/>
              <w:jc w:val="left"/>
            </w:pPr>
            <w:r>
              <w:rPr>
                <w:sz w:val="18"/>
              </w:rPr>
              <w:t xml:space="preserve">PARCIALMENTE ATENDIDO. Abrange os caminhos de código descritos, sem inspeção dos logs e acessos reais.</w:t>
            </w:r>
          </w:p>
        </w:tc>
      </w:tr>
      <w:tr>
        <w:trPr>
          <w:cantSplit/>
        </w:trPr>
        <w:tc>
          <w:tcPr>
            <w:tcW w:type="dxa" w:w="1714"/>
            <w:vAlign w:val="top"/>
            <w:shd w:fill="F5F8FC"/>
          </w:tcPr>
          <w:p>
            <w:pPr>
              <w:pStyle w:val="Compact"/>
              <w:spacing w:before="40" w:after="60" w:line="247" w:lineRule="auto"/>
              <w:jc w:val="left"/>
            </w:pPr>
            <w:r>
              <w:rPr>
                <w:sz w:val="18"/>
              </w:rPr>
              <w:t xml:space="preserve">PD-04 · AGENTS § 12.1</w:t>
            </w:r>
          </w:p>
        </w:tc>
        <w:tc>
          <w:tcPr>
            <w:tcW w:type="dxa" w:w="2476"/>
            <w:vAlign w:val="top"/>
            <w:shd w:fill="F5F8FC"/>
          </w:tcPr>
          <w:p>
            <w:pPr>
              <w:pStyle w:val="Compact"/>
              <w:spacing w:before="40" w:after="60" w:line="247" w:lineRule="auto"/>
              <w:jc w:val="left"/>
            </w:pPr>
            <w:r>
              <w:rPr>
                <w:sz w:val="18"/>
              </w:rPr>
              <w:t xml:space="preserve">HMAC de CPF quando necessário ao logging</w:t>
            </w:r>
          </w:p>
        </w:tc>
        <w:tc>
          <w:tcPr>
            <w:tcW w:type="dxa" w:w="2762"/>
            <w:vAlign w:val="top"/>
            <w:shd w:fill="F5F8FC"/>
          </w:tcPr>
          <w:p>
            <w:pPr>
              <w:pStyle w:val="Compact"/>
              <w:spacing w:before="40" w:after="60" w:line="247" w:lineRule="auto"/>
              <w:jc w:val="left"/>
            </w:pPr>
            <w:r>
              <w:rPr>
                <w:sz w:val="18"/>
              </w:rPr>
              <w:t xml:space="preserve">O formulário não possui campo CPF nem fluxo funcional destinado a esse identificador.</w:t>
            </w:r>
          </w:p>
        </w:tc>
        <w:tc>
          <w:tcPr>
            <w:tcW w:type="dxa" w:w="2572"/>
            <w:vAlign w:val="top"/>
            <w:shd w:fill="F5F8FC"/>
          </w:tcPr>
          <w:p>
            <w:pPr>
              <w:pStyle w:val="Compact"/>
              <w:spacing w:before="40" w:after="60" w:line="247" w:lineRule="auto"/>
              <w:jc w:val="left"/>
            </w:pPr>
            <w:r>
              <w:rPr>
                <w:sz w:val="18"/>
              </w:rPr>
              <w:t xml:space="preserve">NÃO APLICÁVEL ao fluxo documentado de coleta. A política permanece válida para futuras funções pertinentes.</w:t>
            </w:r>
          </w:p>
        </w:tc>
      </w:tr>
      <w:tr>
        <w:trPr>
          <w:cantSplit/>
        </w:trPr>
        <w:tc>
          <w:tcPr>
            <w:tcW w:type="dxa" w:w="1714"/>
            <w:vAlign w:val="top"/>
            <w:shd w:fill="FFFFFF"/>
          </w:tcPr>
          <w:p>
            <w:pPr>
              <w:pStyle w:val="Compact"/>
              <w:spacing w:before="40" w:after="60" w:line="247" w:lineRule="auto"/>
              <w:jc w:val="left"/>
            </w:pPr>
            <w:r>
              <w:rPr>
                <w:sz w:val="18"/>
              </w:rPr>
              <w:t xml:space="preserve">AC-01 · TEC-01; AGENTS § 20</w:t>
            </w:r>
          </w:p>
        </w:tc>
        <w:tc>
          <w:tcPr>
            <w:tcW w:type="dxa" w:w="2476"/>
            <w:vAlign w:val="top"/>
            <w:shd w:fill="FFFFFF"/>
          </w:tcPr>
          <w:p>
            <w:pPr>
              <w:pStyle w:val="Compact"/>
              <w:spacing w:before="40" w:after="60" w:line="247" w:lineRule="auto"/>
              <w:jc w:val="left"/>
            </w:pPr>
            <w:r>
              <w:rPr>
                <w:sz w:val="18"/>
              </w:rPr>
              <w:t xml:space="preserve">Recursos de acesso por teclado, semântica e preferências visuais</w:t>
            </w:r>
          </w:p>
        </w:tc>
        <w:tc>
          <w:tcPr>
            <w:tcW w:type="dxa" w:w="2762"/>
            <w:vAlign w:val="top"/>
            <w:shd w:fill="FFFFFF"/>
          </w:tcPr>
          <w:p>
            <w:pPr>
              <w:pStyle w:val="Compact"/>
              <w:spacing w:before="40" w:after="60" w:line="247" w:lineRule="auto"/>
              <w:jc w:val="left"/>
            </w:pPr>
            <w:r>
              <w:rPr>
                <w:sz w:val="18"/>
              </w:rPr>
              <w:t xml:space="preserve">Leitura de componentes de navegação, formulário, FAQ,</w:t>
            </w:r>
            <w:r>
              <w:rPr>
                <w:sz w:val="18"/>
              </w:rPr>
              <w:t xml:space="preserve"> </w:t>
            </w:r>
            <w:r>
              <w:rPr>
                <w:rStyle w:val="VerbatimChar"/>
                <w:sz w:val="17"/>
              </w:rPr>
              <w:t xml:space="preserve">PrivacyDialog</w:t>
            </w:r>
            <w:r>
              <w:rPr>
                <w:sz w:val="18"/>
              </w:rPr>
              <w:t xml:space="preserve">,</w:t>
            </w:r>
            <w:r>
              <w:rPr>
                <w:sz w:val="18"/>
              </w:rPr>
              <w:t xml:space="preserve"> </w:t>
            </w:r>
            <w:r>
              <w:rPr>
                <w:rStyle w:val="VerbatimChar"/>
                <w:sz w:val="17"/>
              </w:rPr>
              <w:t xml:space="preserve">useAccessibilitySync</w:t>
            </w:r>
            <w:r>
              <w:rPr>
                <w:sz w:val="18"/>
              </w:rPr>
              <w:t xml:space="preserve"> </w:t>
            </w:r>
            <w:r>
              <w:rPr>
                <w:sz w:val="18"/>
              </w:rPr>
              <w:t xml:space="preserve">e estado de acessibilidade.</w:t>
            </w:r>
          </w:p>
        </w:tc>
        <w:tc>
          <w:tcPr>
            <w:tcW w:type="dxa" w:w="2572"/>
            <w:vAlign w:val="top"/>
            <w:shd w:fill="FFFFFF"/>
          </w:tcPr>
          <w:p>
            <w:pPr>
              <w:pStyle w:val="Compact"/>
              <w:spacing w:before="40" w:after="60" w:line="247" w:lineRule="auto"/>
              <w:jc w:val="left"/>
            </w:pPr>
            <w:r>
              <w:rPr>
                <w:sz w:val="18"/>
              </w:rPr>
              <w:t xml:space="preserve">PARCIALMENTE ATENDIDO. Existem recursos concretos; não houve levantamento completo de todos os critérios WCAG nesta documentação.</w:t>
            </w:r>
          </w:p>
        </w:tc>
      </w:tr>
      <w:tr>
        <w:trPr>
          <w:cantSplit/>
        </w:trPr>
        <w:tc>
          <w:tcPr>
            <w:tcW w:type="dxa" w:w="1714"/>
            <w:vAlign w:val="top"/>
            <w:shd w:fill="F5F8FC"/>
          </w:tcPr>
          <w:p>
            <w:pPr>
              <w:pStyle w:val="Compact"/>
              <w:spacing w:before="40" w:after="60" w:line="247" w:lineRule="auto"/>
              <w:jc w:val="left"/>
            </w:pPr>
            <w:r>
              <w:rPr>
                <w:sz w:val="18"/>
              </w:rPr>
              <w:t xml:space="preserve">AC-02 · TEC-01; ACCESS-VLIBRAS</w:t>
            </w:r>
          </w:p>
        </w:tc>
        <w:tc>
          <w:tcPr>
            <w:tcW w:type="dxa" w:w="2476"/>
            <w:vAlign w:val="top"/>
            <w:shd w:fill="F5F8FC"/>
          </w:tcPr>
          <w:p>
            <w:pPr>
              <w:pStyle w:val="Compact"/>
              <w:spacing w:before="40" w:after="60" w:line="247" w:lineRule="auto"/>
              <w:jc w:val="left"/>
            </w:pPr>
            <w:r>
              <w:rPr>
                <w:sz w:val="18"/>
              </w:rPr>
              <w:t xml:space="preserve">Integração assistiva homologada VLibras 7.12.2</w:t>
            </w:r>
          </w:p>
        </w:tc>
        <w:tc>
          <w:tcPr>
            <w:tcW w:type="dxa" w:w="2762"/>
            <w:vAlign w:val="top"/>
            <w:shd w:fill="F5F8FC"/>
          </w:tcPr>
          <w:p>
            <w:pPr>
              <w:pStyle w:val="Compact"/>
              <w:spacing w:before="40" w:after="60" w:line="247" w:lineRule="auto"/>
              <w:jc w:val="left"/>
            </w:pPr>
            <w:r>
              <w:rPr>
                <w:rStyle w:val="VerbatimChar"/>
                <w:sz w:val="17"/>
              </w:rPr>
              <w:t xml:space="preserve">VLibrasWidget.tsx</w:t>
            </w:r>
            <w:r>
              <w:rPr>
                <w:sz w:val="18"/>
              </w:rPr>
              <w:t xml:space="preserve"> </w:t>
            </w:r>
            <w:r>
              <w:rPr>
                <w:sz w:val="18"/>
              </w:rPr>
              <w:t xml:space="preserve">declara versão, integridade do script, tentativas e aviso de indisponibilidade; servidor fornece a ponte Unity.</w:t>
            </w:r>
          </w:p>
        </w:tc>
        <w:tc>
          <w:tcPr>
            <w:tcW w:type="dxa" w:w="2572"/>
            <w:vAlign w:val="top"/>
            <w:shd w:fill="F5F8FC"/>
          </w:tcPr>
          <w:p>
            <w:pPr>
              <w:pStyle w:val="Compact"/>
              <w:spacing w:before="40" w:after="60" w:line="247" w:lineRule="auto"/>
              <w:jc w:val="left"/>
            </w:pPr>
            <w:r>
              <w:rPr>
                <w:sz w:val="18"/>
              </w:rPr>
              <w:t xml:space="preserve">ATENDIDO para a presença da integração descrita. A disponibilidade do serviço externo varia e não equivale à conformidade WCAG integral.</w:t>
            </w:r>
          </w:p>
        </w:tc>
      </w:tr>
      <w:tr>
        <w:trPr>
          <w:cantSplit/>
        </w:trPr>
        <w:tc>
          <w:tcPr>
            <w:tcW w:type="dxa" w:w="1714"/>
            <w:vAlign w:val="top"/>
            <w:shd w:fill="FFFFFF"/>
          </w:tcPr>
          <w:p>
            <w:pPr>
              <w:pStyle w:val="Compact"/>
              <w:spacing w:before="40" w:after="60" w:line="247" w:lineRule="auto"/>
              <w:jc w:val="left"/>
            </w:pPr>
            <w:r>
              <w:rPr>
                <w:sz w:val="18"/>
              </w:rPr>
              <w:t xml:space="preserve">AC-03 · LEG-02 e TEC-02</w:t>
            </w:r>
          </w:p>
        </w:tc>
        <w:tc>
          <w:tcPr>
            <w:tcW w:type="dxa" w:w="2476"/>
            <w:vAlign w:val="top"/>
            <w:shd w:fill="FFFFFF"/>
          </w:tcPr>
          <w:p>
            <w:pPr>
              <w:pStyle w:val="Compact"/>
              <w:spacing w:before="40" w:after="60" w:line="247" w:lineRule="auto"/>
              <w:jc w:val="left"/>
            </w:pPr>
            <w:r>
              <w:rPr>
                <w:sz w:val="18"/>
              </w:rPr>
              <w:t xml:space="preserve">Aplicação institucional da legislação de acessibilidade e do e-MAG</w:t>
            </w:r>
          </w:p>
        </w:tc>
        <w:tc>
          <w:tcPr>
            <w:tcW w:type="dxa" w:w="2762"/>
            <w:vAlign w:val="top"/>
            <w:shd w:fill="FFFFFF"/>
          </w:tcPr>
          <w:p>
            <w:pPr>
              <w:pStyle w:val="Compact"/>
              <w:spacing w:before="40" w:after="60" w:line="247" w:lineRule="auto"/>
              <w:jc w:val="left"/>
            </w:pPr>
            <w:r>
              <w:rPr>
                <w:sz w:val="18"/>
              </w:rPr>
              <w:t xml:space="preserve">Referências do AGENTS.MD e resultados automatizados apresentados nos PDFs.</w:t>
            </w:r>
          </w:p>
        </w:tc>
        <w:tc>
          <w:tcPr>
            <w:tcW w:type="dxa" w:w="2572"/>
            <w:vAlign w:val="top"/>
            <w:shd w:fill="FFFFFF"/>
          </w:tcPr>
          <w:p>
            <w:pPr>
              <w:pStyle w:val="Compact"/>
              <w:spacing w:before="40" w:after="60" w:line="247" w:lineRule="auto"/>
              <w:jc w:val="left"/>
            </w:pPr>
            <w:r>
              <w:rPr>
                <w:sz w:val="18"/>
              </w:rPr>
              <w:t xml:space="preserve">NÃO VERIFICADO quanto ao atendimento jurídico integral e à edição do e-MAG adotada.</w:t>
            </w:r>
          </w:p>
        </w:tc>
      </w:tr>
      <w:tr>
        <w:trPr>
          <w:cantSplit/>
        </w:trPr>
        <w:tc>
          <w:tcPr>
            <w:tcW w:type="dxa" w:w="1714"/>
            <w:vAlign w:val="top"/>
            <w:shd w:fill="F5F8FC"/>
          </w:tcPr>
          <w:p>
            <w:pPr>
              <w:pStyle w:val="Compact"/>
              <w:spacing w:before="40" w:after="60" w:line="247" w:lineRule="auto"/>
              <w:jc w:val="left"/>
            </w:pPr>
            <w:r>
              <w:rPr>
                <w:sz w:val="18"/>
              </w:rPr>
              <w:t xml:space="preserve">GD-01 · LEG-03</w:t>
            </w:r>
          </w:p>
        </w:tc>
        <w:tc>
          <w:tcPr>
            <w:tcW w:type="dxa" w:w="2476"/>
            <w:vAlign w:val="top"/>
            <w:shd w:fill="F5F8FC"/>
          </w:tcPr>
          <w:p>
            <w:pPr>
              <w:pStyle w:val="Compact"/>
              <w:spacing w:before="40" w:after="60" w:line="247" w:lineRule="auto"/>
              <w:jc w:val="left"/>
            </w:pPr>
            <w:r>
              <w:rPr>
                <w:sz w:val="18"/>
              </w:rPr>
              <w:t xml:space="preserve">Enquadramento e requisitos de Governo Digital</w:t>
            </w:r>
          </w:p>
        </w:tc>
        <w:tc>
          <w:tcPr>
            <w:tcW w:type="dxa" w:w="2762"/>
            <w:vAlign w:val="top"/>
            <w:shd w:fill="F5F8FC"/>
          </w:tcPr>
          <w:p>
            <w:pPr>
              <w:pStyle w:val="Compact"/>
              <w:spacing w:before="40" w:after="60" w:line="247" w:lineRule="auto"/>
              <w:jc w:val="left"/>
            </w:pPr>
            <w:r>
              <w:rPr>
                <w:sz w:val="18"/>
              </w:rPr>
              <w:t xml:space="preserve">A referência do AGENTS.MD contém expressamente a condição</w:t>
            </w:r>
            <w:r>
              <w:rPr>
                <w:sz w:val="18"/>
              </w:rPr>
              <w:t xml:space="preserve"> </w:t>
            </w:r>
            <w:r>
              <w:rPr>
                <w:sz w:val="18"/>
              </w:rPr>
              <w:t xml:space="preserve">“</w:t>
            </w:r>
            <w:r>
              <w:rPr>
                <w:sz w:val="18"/>
              </w:rPr>
              <w:t xml:space="preserve">quando aplicável</w:t>
            </w:r>
            <w:r>
              <w:rPr>
                <w:sz w:val="18"/>
              </w:rPr>
              <w:t xml:space="preserve">”</w:t>
            </w:r>
            <w:r>
              <w:rPr>
                <w:sz w:val="18"/>
              </w:rPr>
              <w:t xml:space="preserve">.</w:t>
            </w:r>
          </w:p>
        </w:tc>
        <w:tc>
          <w:tcPr>
            <w:tcW w:type="dxa" w:w="2572"/>
            <w:vAlign w:val="top"/>
            <w:shd w:fill="F5F8FC"/>
          </w:tcPr>
          <w:p>
            <w:pPr>
              <w:pStyle w:val="Compact"/>
              <w:spacing w:before="40" w:after="60" w:line="247" w:lineRule="auto"/>
              <w:jc w:val="left"/>
            </w:pPr>
            <w:r>
              <w:rPr>
                <w:sz w:val="18"/>
              </w:rPr>
              <w:t xml:space="preserve">NÃO VERIFICADO. Não foi recebido enquadramento institucional suficiente para classificar atendimento completo ou não aplicabilidade.</w:t>
            </w:r>
          </w:p>
        </w:tc>
      </w:tr>
    </w:tbl>
    <w:p>
      <w:pPr>
        <w:pStyle w:val="BodyText"/>
      </w:pPr>
      <w:r>
        <w:t xml:space="preserve">O HMAC de e-mail empregado na unicidade reduz a exposição do identificador no índice, mas mantém a possibilidade de associação sob controle do backend. Essa técnica não transforma automaticamente os dados em anônimos. Da mesma forma, criptografar campos não elimina as responsabilidades relativas ao tratamento, ao acesso autorizado e à conservação dos registros.</w:t>
      </w:r>
    </w:p>
    <w:p>
      <w:pPr>
        <w:pStyle w:val="TableCaption"/>
        <w:keepNext/>
      </w:pPr>
      <w:r>
        <w:t xml:space="preserve">Tabela </w:t>
      </w:r>
      <w:r>
        <w:rPr>
          <w:rFonts w:ascii="Open Sans" w:hAnsi="Open Sans"/>
          <w:sz w:val="18"/>
        </w:rPr>
        <w:fldChar w:fldCharType="begin"/>
        <w:instrText xml:space="preserve"> SEQ Tabela </w:instrText>
        <w:fldChar w:fldCharType="separate"/>
        <w:t>37</w:t>
        <w:fldChar w:fldCharType="end"/>
      </w:r>
      <w:r>
        <w:t xml:space="preserve"> — Arquitetura, segurança e decisões internas.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 e fonte interna</w:t>
            </w:r>
          </w:p>
        </w:tc>
        <w:tc>
          <w:tcPr>
            <w:tcW w:type="dxa" w:w="2476"/>
            <w:vAlign w:val="top"/>
            <w:shd w:fill="233B82"/>
          </w:tcPr>
          <w:p>
            <w:pPr>
              <w:pStyle w:val="Compact"/>
              <w:spacing w:before="40" w:after="60" w:line="247" w:lineRule="auto"/>
              <w:jc w:val="left"/>
            </w:pPr>
            <w:r>
              <w:rPr>
                <w:b/>
                <w:color w:val="FFFFFF"/>
                <w:sz w:val="18"/>
              </w:rPr>
              <w:t xml:space="preserve">Requisito e aplicabilidade</w:t>
            </w:r>
          </w:p>
        </w:tc>
        <w:tc>
          <w:tcPr>
            <w:tcW w:type="dxa" w:w="2762"/>
            <w:vAlign w:val="top"/>
            <w:shd w:fill="233B82"/>
          </w:tcPr>
          <w:p>
            <w:pPr>
              <w:pStyle w:val="Compact"/>
              <w:spacing w:before="40" w:after="60" w:line="247" w:lineRule="auto"/>
              <w:jc w:val="left"/>
            </w:pPr>
            <w:r>
              <w:rPr>
                <w:b/>
                <w:color w:val="FFFFFF"/>
                <w:sz w:val="18"/>
              </w:rPr>
              <w:t xml:space="preserve">Evidência e método</w:t>
            </w:r>
          </w:p>
        </w:tc>
        <w:tc>
          <w:tcPr>
            <w:tcW w:type="dxa" w:w="2572"/>
            <w:vAlign w:val="top"/>
            <w:shd w:fill="233B82"/>
          </w:tcPr>
          <w:p>
            <w:pPr>
              <w:pStyle w:val="Compact"/>
              <w:spacing w:before="40" w:after="60" w:line="247" w:lineRule="auto"/>
              <w:jc w:val="left"/>
            </w:pPr>
            <w:r>
              <w:rPr>
                <w:b/>
                <w:color w:val="FFFFFF"/>
                <w:sz w:val="18"/>
              </w:rPr>
              <w:t xml:space="preserve">Situação e limite</w:t>
            </w:r>
          </w:p>
        </w:tc>
      </w:tr>
      <w:tr>
        <w:trPr>
          <w:cantSplit/>
        </w:trPr>
        <w:tc>
          <w:tcPr>
            <w:tcW w:type="dxa" w:w="1714"/>
            <w:vAlign w:val="top"/>
            <w:shd w:fill="FFFFFF"/>
          </w:tcPr>
          <w:p>
            <w:pPr>
              <w:pStyle w:val="Compact"/>
              <w:spacing w:before="40" w:after="60" w:line="247" w:lineRule="auto"/>
              <w:jc w:val="left"/>
            </w:pPr>
            <w:r>
              <w:rPr>
                <w:sz w:val="18"/>
              </w:rPr>
              <w:t xml:space="preserve">AR-01 · AGENTS §§ 7, 10 e 19</w:t>
            </w:r>
          </w:p>
        </w:tc>
        <w:tc>
          <w:tcPr>
            <w:tcW w:type="dxa" w:w="2476"/>
            <w:vAlign w:val="top"/>
            <w:shd w:fill="FFFFFF"/>
          </w:tcPr>
          <w:p>
            <w:pPr>
              <w:pStyle w:val="Compact"/>
              <w:spacing w:before="40" w:after="60" w:line="247" w:lineRule="auto"/>
              <w:jc w:val="left"/>
            </w:pPr>
            <w:r>
              <w:rPr>
                <w:sz w:val="18"/>
              </w:rPr>
              <w:t xml:space="preserve">Thin Client e validação efetiva no servidor</w:t>
            </w:r>
          </w:p>
        </w:tc>
        <w:tc>
          <w:tcPr>
            <w:tcW w:type="dxa" w:w="2762"/>
            <w:vAlign w:val="top"/>
            <w:shd w:fill="FFFFFF"/>
          </w:tcPr>
          <w:p>
            <w:pPr>
              <w:pStyle w:val="Compact"/>
              <w:spacing w:before="40" w:after="60" w:line="247" w:lineRule="auto"/>
              <w:jc w:val="left"/>
            </w:pPr>
            <w:r>
              <w:rPr>
                <w:rStyle w:val="VerbatimChar"/>
                <w:sz w:val="17"/>
              </w:rPr>
              <w:t xml:space="preserve">leadsService.ts</w:t>
            </w:r>
            <w:r>
              <w:rPr>
                <w:sz w:val="18"/>
              </w:rPr>
              <w:t xml:space="preserve"> </w:t>
            </w:r>
            <w:r>
              <w:rPr>
                <w:sz w:val="18"/>
              </w:rPr>
              <w:t xml:space="preserve">envia o pedido;</w:t>
            </w:r>
            <w:r>
              <w:rPr>
                <w:sz w:val="18"/>
              </w:rPr>
              <w:t xml:space="preserve"> </w:t>
            </w:r>
            <w:r>
              <w:rPr>
                <w:rStyle w:val="VerbatimChar"/>
                <w:sz w:val="17"/>
              </w:rPr>
              <w:t xml:space="preserve">server.ts</w:t>
            </w:r>
            <w:r>
              <w:rPr>
                <w:sz w:val="18"/>
              </w:rPr>
              <w:t xml:space="preserve"> </w:t>
            </w:r>
            <w:r>
              <w:rPr>
                <w:sz w:val="18"/>
              </w:rPr>
              <w:t xml:space="preserve">aplica</w:t>
            </w:r>
            <w:r>
              <w:rPr>
                <w:sz w:val="18"/>
              </w:rPr>
              <w:t xml:space="preserve"> </w:t>
            </w:r>
            <w:r>
              <w:rPr>
                <w:rStyle w:val="VerbatimChar"/>
                <w:sz w:val="17"/>
              </w:rPr>
              <w:t xml:space="preserve">LeadRegistrationInputSchema.safeParse</w:t>
            </w:r>
            <w:r>
              <w:rPr>
                <w:sz w:val="18"/>
              </w:rPr>
              <w:t xml:space="preserve"> </w:t>
            </w:r>
            <w:r>
              <w:rPr>
                <w:sz w:val="18"/>
              </w:rPr>
              <w:t xml:space="preserve">antes da persistência.</w:t>
            </w:r>
          </w:p>
        </w:tc>
        <w:tc>
          <w:tcPr>
            <w:tcW w:type="dxa" w:w="2572"/>
            <w:vAlign w:val="top"/>
            <w:shd w:fill="FFFFFF"/>
          </w:tcPr>
          <w:p>
            <w:pPr>
              <w:pStyle w:val="Compact"/>
              <w:spacing w:before="40" w:after="60" w:line="247" w:lineRule="auto"/>
              <w:jc w:val="left"/>
            </w:pPr>
            <w:r>
              <w:rPr>
                <w:sz w:val="18"/>
              </w:rPr>
              <w:t xml:space="preserve">ATENDIDO para o contrato público de manifestação. A interface não concede privilégios ao visitante.</w:t>
            </w:r>
          </w:p>
        </w:tc>
      </w:tr>
      <w:tr>
        <w:trPr>
          <w:cantSplit/>
        </w:trPr>
        <w:tc>
          <w:tcPr>
            <w:tcW w:type="dxa" w:w="1714"/>
            <w:vAlign w:val="top"/>
            <w:shd w:fill="F5F8FC"/>
          </w:tcPr>
          <w:p>
            <w:pPr>
              <w:pStyle w:val="Compact"/>
              <w:spacing w:before="40" w:after="60" w:line="247" w:lineRule="auto"/>
              <w:jc w:val="left"/>
            </w:pPr>
            <w:r>
              <w:rPr>
                <w:sz w:val="18"/>
              </w:rPr>
              <w:t xml:space="preserve">AR-02 · AGENTS §§ 9 e 29</w:t>
            </w:r>
          </w:p>
        </w:tc>
        <w:tc>
          <w:tcPr>
            <w:tcW w:type="dxa" w:w="2476"/>
            <w:vAlign w:val="top"/>
            <w:shd w:fill="F5F8FC"/>
          </w:tcPr>
          <w:p>
            <w:pPr>
              <w:pStyle w:val="Compact"/>
              <w:spacing w:before="40" w:after="60" w:line="247" w:lineRule="auto"/>
              <w:jc w:val="left"/>
            </w:pPr>
            <w:r>
              <w:rPr>
                <w:sz w:val="18"/>
              </w:rPr>
              <w:t xml:space="preserve">Acesso direto ao Firestore negado e persistência privilegiada no backend</w:t>
            </w:r>
          </w:p>
        </w:tc>
        <w:tc>
          <w:tcPr>
            <w:tcW w:type="dxa" w:w="2762"/>
            <w:vAlign w:val="top"/>
            <w:shd w:fill="F5F8FC"/>
          </w:tcPr>
          <w:p>
            <w:pPr>
              <w:pStyle w:val="Compact"/>
              <w:spacing w:before="40" w:after="60" w:line="247" w:lineRule="auto"/>
              <w:jc w:val="left"/>
            </w:pPr>
            <w:r>
              <w:rPr>
                <w:rStyle w:val="VerbatimChar"/>
                <w:sz w:val="17"/>
              </w:rPr>
              <w:t xml:space="preserve">firestore.rules</w:t>
            </w:r>
            <w:r>
              <w:rPr>
                <w:sz w:val="18"/>
              </w:rPr>
              <w:t xml:space="preserve"> </w:t>
            </w:r>
            <w:r>
              <w:rPr>
                <w:sz w:val="18"/>
              </w:rPr>
              <w:t xml:space="preserve">contém somente a negação global;</w:t>
            </w:r>
            <w:r>
              <w:rPr>
                <w:sz w:val="18"/>
              </w:rPr>
              <w:t xml:space="preserve"> </w:t>
            </w:r>
            <w:r>
              <w:rPr>
                <w:rStyle w:val="VerbatimChar"/>
                <w:sz w:val="17"/>
              </w:rPr>
              <w:t xml:space="preserve">firestoreClient.ts</w:t>
            </w:r>
            <w:r>
              <w:rPr>
                <w:sz w:val="18"/>
              </w:rPr>
              <w:t xml:space="preserve"> </w:t>
            </w:r>
            <w:r>
              <w:rPr>
                <w:sz w:val="18"/>
              </w:rPr>
              <w:t xml:space="preserve">importa Firebase Admin.</w:t>
            </w:r>
          </w:p>
        </w:tc>
        <w:tc>
          <w:tcPr>
            <w:tcW w:type="dxa" w:w="2572"/>
            <w:vAlign w:val="top"/>
            <w:shd w:fill="F5F8FC"/>
          </w:tcPr>
          <w:p>
            <w:pPr>
              <w:pStyle w:val="Compact"/>
              <w:spacing w:before="40" w:after="60" w:line="247" w:lineRule="auto"/>
              <w:jc w:val="left"/>
            </w:pPr>
            <w:r>
              <w:rPr>
                <w:sz w:val="18"/>
              </w:rPr>
              <w:t xml:space="preserve">ATENDIDO na configuração versionada. A equipe informou implantação; IAM e regras do ambiente real não foram inspecionados nesta etapa.</w:t>
            </w:r>
          </w:p>
        </w:tc>
      </w:tr>
      <w:tr>
        <w:trPr>
          <w:cantSplit/>
        </w:trPr>
        <w:tc>
          <w:tcPr>
            <w:tcW w:type="dxa" w:w="1714"/>
            <w:vAlign w:val="top"/>
            <w:shd w:fill="FFFFFF"/>
          </w:tcPr>
          <w:p>
            <w:pPr>
              <w:pStyle w:val="Compact"/>
              <w:spacing w:before="40" w:after="60" w:line="247" w:lineRule="auto"/>
              <w:jc w:val="left"/>
            </w:pPr>
            <w:r>
              <w:rPr>
                <w:sz w:val="18"/>
              </w:rPr>
              <w:t xml:space="preserve">AR-03 · AGENTS § 29</w:t>
            </w:r>
          </w:p>
        </w:tc>
        <w:tc>
          <w:tcPr>
            <w:tcW w:type="dxa" w:w="2476"/>
            <w:vAlign w:val="top"/>
            <w:shd w:fill="FFFFFF"/>
          </w:tcPr>
          <w:p>
            <w:pPr>
              <w:pStyle w:val="Compact"/>
              <w:spacing w:before="40" w:after="60" w:line="247" w:lineRule="auto"/>
              <w:jc w:val="left"/>
            </w:pPr>
            <w:r>
              <w:rPr>
                <w:sz w:val="18"/>
              </w:rPr>
              <w:t xml:space="preserve">Consistência entre índice, cofre e registro operacional</w:t>
            </w:r>
          </w:p>
        </w:tc>
        <w:tc>
          <w:tcPr>
            <w:tcW w:type="dxa" w:w="2762"/>
            <w:vAlign w:val="top"/>
            <w:shd w:fill="FFFFFF"/>
          </w:tcPr>
          <w:p>
            <w:pPr>
              <w:pStyle w:val="Compact"/>
              <w:spacing w:before="40" w:after="60" w:line="247" w:lineRule="auto"/>
              <w:jc w:val="left"/>
            </w:pPr>
            <w:r>
              <w:rPr>
                <w:sz w:val="18"/>
              </w:rPr>
              <w:t xml:space="preserve">Leitura de</w:t>
            </w:r>
            <w:r>
              <w:rPr>
                <w:sz w:val="18"/>
              </w:rPr>
              <w:t xml:space="preserve"> </w:t>
            </w:r>
            <w:r>
              <w:rPr>
                <w:rStyle w:val="VerbatimChar"/>
                <w:sz w:val="17"/>
              </w:rPr>
              <w:t xml:space="preserve">leadBucketService.ts</w:t>
            </w:r>
            <w:r>
              <w:rPr>
                <w:sz w:val="18"/>
              </w:rPr>
              <w:t xml:space="preserve">: consulta do índice e escritas vinculadas por</w:t>
            </w:r>
            <w:r>
              <w:rPr>
                <w:sz w:val="18"/>
              </w:rPr>
              <w:t xml:space="preserve"> </w:t>
            </w:r>
            <w:r>
              <w:rPr>
                <w:rStyle w:val="VerbatimChar"/>
                <w:sz w:val="17"/>
              </w:rPr>
              <w:t xml:space="preserve">runTransaction</w:t>
            </w:r>
            <w:r>
              <w:rPr>
                <w:sz w:val="18"/>
              </w:rPr>
              <w:t xml:space="preserve">.</w:t>
            </w:r>
          </w:p>
        </w:tc>
        <w:tc>
          <w:tcPr>
            <w:tcW w:type="dxa" w:w="2572"/>
            <w:vAlign w:val="top"/>
            <w:shd w:fill="FFFFFF"/>
          </w:tcPr>
          <w:p>
            <w:pPr>
              <w:pStyle w:val="Compact"/>
              <w:spacing w:before="40" w:after="60" w:line="247" w:lineRule="auto"/>
              <w:jc w:val="left"/>
            </w:pPr>
            <w:r>
              <w:rPr>
                <w:sz w:val="18"/>
              </w:rPr>
              <w:t xml:space="preserve">ATENDIDO para o mecanismo implementado. Concorrência e recuperação no banco real não foram exercitadas na redação documental.</w:t>
            </w:r>
          </w:p>
        </w:tc>
      </w:tr>
      <w:tr>
        <w:trPr>
          <w:cantSplit/>
        </w:trPr>
        <w:tc>
          <w:tcPr>
            <w:tcW w:type="dxa" w:w="1714"/>
            <w:vAlign w:val="top"/>
            <w:shd w:fill="F5F8FC"/>
          </w:tcPr>
          <w:p>
            <w:pPr>
              <w:pStyle w:val="Compact"/>
              <w:spacing w:before="40" w:after="60" w:line="247" w:lineRule="auto"/>
              <w:jc w:val="left"/>
            </w:pPr>
            <w:r>
              <w:rPr>
                <w:sz w:val="18"/>
              </w:rPr>
              <w:t xml:space="preserve">SE-01 · AGENTS §§ 12 e 13</w:t>
            </w:r>
          </w:p>
        </w:tc>
        <w:tc>
          <w:tcPr>
            <w:tcW w:type="dxa" w:w="2476"/>
            <w:vAlign w:val="top"/>
            <w:shd w:fill="F5F8FC"/>
          </w:tcPr>
          <w:p>
            <w:pPr>
              <w:pStyle w:val="Compact"/>
              <w:spacing w:before="40" w:after="60" w:line="247" w:lineRule="auto"/>
              <w:jc w:val="left"/>
            </w:pPr>
            <w:r>
              <w:rPr>
                <w:sz w:val="18"/>
              </w:rPr>
              <w:t xml:space="preserve">Segredos exclusivamente no backend e gestão segura em produção</w:t>
            </w:r>
          </w:p>
        </w:tc>
        <w:tc>
          <w:tcPr>
            <w:tcW w:type="dxa" w:w="2762"/>
            <w:vAlign w:val="top"/>
            <w:shd w:fill="F5F8FC"/>
          </w:tcPr>
          <w:p>
            <w:pPr>
              <w:pStyle w:val="Compact"/>
              <w:spacing w:before="40" w:after="60" w:line="247" w:lineRule="auto"/>
              <w:jc w:val="left"/>
            </w:pPr>
            <w:r>
              <w:rPr>
                <w:sz w:val="18"/>
              </w:rPr>
              <w:t xml:space="preserve">HMAC e cifra leem</w:t>
            </w:r>
            <w:r>
              <w:rPr>
                <w:sz w:val="18"/>
              </w:rPr>
              <w:t xml:space="preserve"> </w:t>
            </w:r>
            <w:r>
              <w:rPr>
                <w:rStyle w:val="VerbatimChar"/>
                <w:sz w:val="17"/>
              </w:rPr>
              <w:t xml:space="preserve">HMAC_PEPPER_KEY</w:t>
            </w:r>
            <w:r>
              <w:rPr>
                <w:sz w:val="18"/>
              </w:rPr>
              <w:t xml:space="preserve"> </w:t>
            </w:r>
            <w:r>
              <w:rPr>
                <w:sz w:val="18"/>
              </w:rPr>
              <w:t xml:space="preserve">e</w:t>
            </w:r>
            <w:r>
              <w:rPr>
                <w:sz w:val="18"/>
              </w:rPr>
              <w:t xml:space="preserve"> </w:t>
            </w:r>
            <w:r>
              <w:rPr>
                <w:rStyle w:val="VerbatimChar"/>
                <w:sz w:val="17"/>
              </w:rPr>
              <w:t xml:space="preserve">VAULT_ENCRYPTION_KEY</w:t>
            </w:r>
            <w:r>
              <w:rPr>
                <w:sz w:val="18"/>
              </w:rPr>
              <w:t xml:space="preserve"> </w:t>
            </w:r>
            <w:r>
              <w:rPr>
                <w:sz w:val="18"/>
              </w:rPr>
              <w:t xml:space="preserve">no servidor.</w:t>
            </w:r>
          </w:p>
        </w:tc>
        <w:tc>
          <w:tcPr>
            <w:tcW w:type="dxa" w:w="2572"/>
            <w:vAlign w:val="top"/>
            <w:shd w:fill="F5F8FC"/>
          </w:tcPr>
          <w:p>
            <w:pPr>
              <w:pStyle w:val="Compact"/>
              <w:spacing w:before="40" w:after="60" w:line="247" w:lineRule="auto"/>
              <w:jc w:val="left"/>
            </w:pPr>
            <w:r>
              <w:rPr>
                <w:sz w:val="18"/>
              </w:rPr>
              <w:t xml:space="preserve">PARCIALMENTE ATENDIDO. O código demonstra o consumo; origem no Secret Manager, permissões e rotação não foram verificados.</w:t>
            </w:r>
          </w:p>
        </w:tc>
      </w:tr>
      <w:tr>
        <w:trPr>
          <w:cantSplit/>
        </w:trPr>
        <w:tc>
          <w:tcPr>
            <w:tcW w:type="dxa" w:w="1714"/>
            <w:vAlign w:val="top"/>
            <w:shd w:fill="FFFFFF"/>
          </w:tcPr>
          <w:p>
            <w:pPr>
              <w:pStyle w:val="Compact"/>
              <w:spacing w:before="40" w:after="60" w:line="247" w:lineRule="auto"/>
              <w:jc w:val="left"/>
            </w:pPr>
            <w:r>
              <w:rPr>
                <w:sz w:val="18"/>
              </w:rPr>
              <w:t xml:space="preserve">SE-02 · SEC-CSP; AGENTS § 21</w:t>
            </w:r>
          </w:p>
        </w:tc>
        <w:tc>
          <w:tcPr>
            <w:tcW w:type="dxa" w:w="2476"/>
            <w:vAlign w:val="top"/>
            <w:shd w:fill="FFFFFF"/>
          </w:tcPr>
          <w:p>
            <w:pPr>
              <w:pStyle w:val="Compact"/>
              <w:spacing w:before="40" w:after="60" w:line="247" w:lineRule="auto"/>
              <w:jc w:val="left"/>
            </w:pPr>
            <w:r>
              <w:rPr>
                <w:sz w:val="18"/>
              </w:rPr>
              <w:t xml:space="preserve">Política de conteúdo compatível com as integrações homologadas</w:t>
            </w:r>
          </w:p>
        </w:tc>
        <w:tc>
          <w:tcPr>
            <w:tcW w:type="dxa" w:w="2762"/>
            <w:vAlign w:val="top"/>
            <w:shd w:fill="FFFFFF"/>
          </w:tcPr>
          <w:p>
            <w:pPr>
              <w:pStyle w:val="Compact"/>
              <w:spacing w:before="40" w:after="60" w:line="247" w:lineRule="auto"/>
              <w:jc w:val="left"/>
            </w:pPr>
            <w:r>
              <w:rPr>
                <w:rStyle w:val="VerbatimChar"/>
                <w:sz w:val="17"/>
              </w:rPr>
              <w:t xml:space="preserve">securityHeaders.ts</w:t>
            </w:r>
            <w:r>
              <w:rPr>
                <w:sz w:val="18"/>
              </w:rPr>
              <w:t xml:space="preserve">,</w:t>
            </w:r>
            <w:r>
              <w:rPr>
                <w:sz w:val="18"/>
              </w:rPr>
              <w:t xml:space="preserve"> </w:t>
            </w:r>
            <w:r>
              <w:rPr>
                <w:rStyle w:val="VerbatimChar"/>
                <w:sz w:val="17"/>
              </w:rPr>
              <w:t xml:space="preserve">firebase.json</w:t>
            </w:r>
            <w:r>
              <w:rPr>
                <w:sz w:val="18"/>
              </w:rPr>
              <w:t xml:space="preserve"> </w:t>
            </w:r>
            <w:r>
              <w:rPr>
                <w:sz w:val="18"/>
              </w:rPr>
              <w:t xml:space="preserve">e testes de CSP distinguem produção, desenvolvimento e ponte VLibras.</w:t>
            </w:r>
          </w:p>
        </w:tc>
        <w:tc>
          <w:tcPr>
            <w:tcW w:type="dxa" w:w="2572"/>
            <w:vAlign w:val="top"/>
            <w:shd w:fill="FFFFFF"/>
          </w:tcPr>
          <w:p>
            <w:pPr>
              <w:pStyle w:val="Compact"/>
              <w:spacing w:before="40" w:after="60" w:line="247" w:lineRule="auto"/>
              <w:jc w:val="left"/>
            </w:pPr>
            <w:r>
              <w:rPr>
                <w:sz w:val="18"/>
              </w:rPr>
              <w:t xml:space="preserve">ATENDIDO para a configuração documentada. A política da ponte possui permissões próprias, descritas no capítulo de controles.</w:t>
            </w:r>
          </w:p>
        </w:tc>
      </w:tr>
      <w:tr>
        <w:trPr>
          <w:cantSplit/>
        </w:trPr>
        <w:tc>
          <w:tcPr>
            <w:tcW w:type="dxa" w:w="1714"/>
            <w:vAlign w:val="top"/>
            <w:shd w:fill="F5F8FC"/>
          </w:tcPr>
          <w:p>
            <w:pPr>
              <w:pStyle w:val="Compact"/>
              <w:spacing w:before="40" w:after="60" w:line="247" w:lineRule="auto"/>
              <w:jc w:val="left"/>
            </w:pPr>
            <w:r>
              <w:rPr>
                <w:sz w:val="18"/>
              </w:rPr>
              <w:t xml:space="preserve">SE-03 · SEC-POSTHOG e SEC-CDN</w:t>
            </w:r>
          </w:p>
        </w:tc>
        <w:tc>
          <w:tcPr>
            <w:tcW w:type="dxa" w:w="2476"/>
            <w:vAlign w:val="top"/>
            <w:shd w:fill="F5F8FC"/>
          </w:tcPr>
          <w:p>
            <w:pPr>
              <w:pStyle w:val="Compact"/>
              <w:spacing w:before="40" w:after="60" w:line="247" w:lineRule="auto"/>
              <w:jc w:val="left"/>
            </w:pPr>
            <w:r>
              <w:rPr>
                <w:sz w:val="18"/>
              </w:rPr>
              <w:t xml:space="preserve">Ausência de PostHog e proibição do caminho</w:t>
            </w:r>
            <w:r>
              <w:rPr>
                <w:sz w:val="18"/>
              </w:rPr>
              <w:t xml:space="preserve"> </w:t>
            </w:r>
            <w:r>
              <w:rPr>
                <w:rStyle w:val="VerbatimChar"/>
                <w:sz w:val="17"/>
              </w:rPr>
              <w:t xml:space="preserve">cdn.jsdelivr.net/npm/</w:t>
            </w:r>
          </w:p>
        </w:tc>
        <w:tc>
          <w:tcPr>
            <w:tcW w:type="dxa" w:w="2762"/>
            <w:vAlign w:val="top"/>
            <w:shd w:fill="F5F8FC"/>
          </w:tcPr>
          <w:p>
            <w:pPr>
              <w:pStyle w:val="Compact"/>
              <w:spacing w:before="40" w:after="60" w:line="247" w:lineRule="auto"/>
              <w:jc w:val="left"/>
            </w:pPr>
            <w:r>
              <w:rPr>
                <w:sz w:val="18"/>
              </w:rPr>
              <w:t xml:space="preserve">Configurações e testes delimitam o jsDelivr ao caminho GitHub do VLibras 7.12.2.</w:t>
            </w:r>
          </w:p>
        </w:tc>
        <w:tc>
          <w:tcPr>
            <w:tcW w:type="dxa" w:w="2572"/>
            <w:vAlign w:val="top"/>
            <w:shd w:fill="F5F8FC"/>
          </w:tcPr>
          <w:p>
            <w:pPr>
              <w:pStyle w:val="Compact"/>
              <w:spacing w:before="40" w:after="60" w:line="247" w:lineRule="auto"/>
              <w:jc w:val="left"/>
            </w:pPr>
            <w:r>
              <w:rPr>
                <w:sz w:val="18"/>
              </w:rPr>
              <w:t xml:space="preserve">ATENDIDO no escopo versionado. A permissão específica não equivale à liberação de todo o CDN.</w:t>
            </w:r>
          </w:p>
        </w:tc>
      </w:tr>
      <w:tr>
        <w:trPr>
          <w:cantSplit/>
        </w:trPr>
        <w:tc>
          <w:tcPr>
            <w:tcW w:type="dxa" w:w="1714"/>
            <w:vAlign w:val="top"/>
            <w:shd w:fill="FFFFFF"/>
          </w:tcPr>
          <w:p>
            <w:pPr>
              <w:pStyle w:val="Compact"/>
              <w:spacing w:before="40" w:after="60" w:line="247" w:lineRule="auto"/>
              <w:jc w:val="left"/>
            </w:pPr>
            <w:r>
              <w:rPr>
                <w:sz w:val="18"/>
              </w:rPr>
              <w:t xml:space="preserve">SE-04 · AGENTS §§ 15 e 17</w:t>
            </w:r>
          </w:p>
        </w:tc>
        <w:tc>
          <w:tcPr>
            <w:tcW w:type="dxa" w:w="2476"/>
            <w:vAlign w:val="top"/>
            <w:shd w:fill="FFFFFF"/>
          </w:tcPr>
          <w:p>
            <w:pPr>
              <w:pStyle w:val="Compact"/>
              <w:spacing w:before="40" w:after="60" w:line="247" w:lineRule="auto"/>
              <w:jc w:val="left"/>
            </w:pPr>
            <w:r>
              <w:rPr>
                <w:sz w:val="18"/>
              </w:rPr>
              <w:t xml:space="preserve">Erros previsíveis, sem converter falha de persistência em sucesso</w:t>
            </w:r>
          </w:p>
        </w:tc>
        <w:tc>
          <w:tcPr>
            <w:tcW w:type="dxa" w:w="2762"/>
            <w:vAlign w:val="top"/>
            <w:shd w:fill="FFFFFF"/>
          </w:tcPr>
          <w:p>
            <w:pPr>
              <w:pStyle w:val="Compact"/>
              <w:spacing w:before="40" w:after="60" w:line="247" w:lineRule="auto"/>
              <w:jc w:val="left"/>
            </w:pPr>
            <w:r>
              <w:rPr>
                <w:rStyle w:val="VerbatimChar"/>
                <w:sz w:val="17"/>
              </w:rPr>
              <w:t xml:space="preserve">server.ts</w:t>
            </w:r>
            <w:r>
              <w:rPr>
                <w:sz w:val="18"/>
              </w:rPr>
              <w:t xml:space="preserve"> </w:t>
            </w:r>
            <w:r>
              <w:rPr>
                <w:sz w:val="18"/>
              </w:rPr>
              <w:t xml:space="preserve">diferencia validação, duplicidade, limitação, indisponibilidade e erro interno.</w:t>
            </w:r>
          </w:p>
        </w:tc>
        <w:tc>
          <w:tcPr>
            <w:tcW w:type="dxa" w:w="2572"/>
            <w:vAlign w:val="top"/>
            <w:shd w:fill="FFFFFF"/>
          </w:tcPr>
          <w:p>
            <w:pPr>
              <w:pStyle w:val="Compact"/>
              <w:spacing w:before="40" w:after="60" w:line="247" w:lineRule="auto"/>
              <w:jc w:val="left"/>
            </w:pPr>
            <w:r>
              <w:rPr>
                <w:sz w:val="18"/>
              </w:rPr>
              <w:t xml:space="preserve">ATENDIDO para os caminhos implementados. Mensagens e estados estão descritos no contrato da API.</w:t>
            </w:r>
          </w:p>
        </w:tc>
      </w:tr>
      <w:tr>
        <w:trPr>
          <w:cantSplit/>
        </w:trPr>
        <w:tc>
          <w:tcPr>
            <w:tcW w:type="dxa" w:w="1714"/>
            <w:vAlign w:val="top"/>
            <w:shd w:fill="F5F8FC"/>
          </w:tcPr>
          <w:p>
            <w:pPr>
              <w:pStyle w:val="Compact"/>
              <w:spacing w:before="40" w:after="60" w:line="247" w:lineRule="auto"/>
              <w:jc w:val="left"/>
            </w:pPr>
            <w:r>
              <w:rPr>
                <w:sz w:val="18"/>
              </w:rPr>
              <w:t xml:space="preserve">SE-05 · AGENTS § 11</w:t>
            </w:r>
          </w:p>
        </w:tc>
        <w:tc>
          <w:tcPr>
            <w:tcW w:type="dxa" w:w="2476"/>
            <w:vAlign w:val="top"/>
            <w:shd w:fill="F5F8FC"/>
          </w:tcPr>
          <w:p>
            <w:pPr>
              <w:pStyle w:val="Compact"/>
              <w:spacing w:before="40" w:after="60" w:line="247" w:lineRule="auto"/>
              <w:jc w:val="left"/>
            </w:pPr>
            <w:r>
              <w:rPr>
                <w:sz w:val="18"/>
              </w:rPr>
              <w:t xml:space="preserve">Controles de upload de conteúdo de visitantes</w:t>
            </w:r>
          </w:p>
        </w:tc>
        <w:tc>
          <w:tcPr>
            <w:tcW w:type="dxa" w:w="2762"/>
            <w:vAlign w:val="top"/>
            <w:shd w:fill="F5F8FC"/>
          </w:tcPr>
          <w:p>
            <w:pPr>
              <w:pStyle w:val="Compact"/>
              <w:spacing w:before="40" w:after="60" w:line="247" w:lineRule="auto"/>
              <w:jc w:val="left"/>
            </w:pPr>
            <w:r>
              <w:rPr>
                <w:sz w:val="18"/>
              </w:rPr>
              <w:t xml:space="preserve">Não existe endpoint ou campo para envio de arquivos na aplicação documentada.</w:t>
            </w:r>
          </w:p>
        </w:tc>
        <w:tc>
          <w:tcPr>
            <w:tcW w:type="dxa" w:w="2572"/>
            <w:vAlign w:val="top"/>
            <w:shd w:fill="F5F8FC"/>
          </w:tcPr>
          <w:p>
            <w:pPr>
              <w:pStyle w:val="Compact"/>
              <w:spacing w:before="40" w:after="60" w:line="247" w:lineRule="auto"/>
              <w:jc w:val="left"/>
            </w:pPr>
            <w:r>
              <w:rPr>
                <w:sz w:val="18"/>
              </w:rPr>
              <w:t xml:space="preserve">NÃO APLICÁVEL. Os PDFs documentais são insumos deste trabalho, não uploads do produto.</w:t>
            </w:r>
          </w:p>
        </w:tc>
      </w:tr>
      <w:tr>
        <w:trPr>
          <w:cantSplit/>
        </w:trPr>
        <w:tc>
          <w:tcPr>
            <w:tcW w:type="dxa" w:w="1714"/>
            <w:vAlign w:val="top"/>
            <w:shd w:fill="FFFFFF"/>
          </w:tcPr>
          <w:p>
            <w:pPr>
              <w:pStyle w:val="Compact"/>
              <w:spacing w:before="40" w:after="60" w:line="247" w:lineRule="auto"/>
              <w:jc w:val="left"/>
            </w:pPr>
            <w:r>
              <w:rPr>
                <w:sz w:val="18"/>
              </w:rPr>
              <w:t xml:space="preserve">AD-01 · ADR-12.5; AGENTS, anexo A</w:t>
            </w:r>
          </w:p>
        </w:tc>
        <w:tc>
          <w:tcPr>
            <w:tcW w:type="dxa" w:w="2476"/>
            <w:vAlign w:val="top"/>
            <w:shd w:fill="FFFFFF"/>
          </w:tcPr>
          <w:p>
            <w:pPr>
              <w:pStyle w:val="Compact"/>
              <w:spacing w:before="40" w:after="60" w:line="247" w:lineRule="auto"/>
              <w:jc w:val="left"/>
            </w:pPr>
            <w:r>
              <w:rPr>
                <w:sz w:val="18"/>
              </w:rPr>
              <w:t xml:space="preserve">Preservação da decisão referida como limite de verificação inferior a 30 caracteres</w:t>
            </w:r>
          </w:p>
        </w:tc>
        <w:tc>
          <w:tcPr>
            <w:tcW w:type="dxa" w:w="2762"/>
            <w:vAlign w:val="top"/>
            <w:shd w:fill="FFFFFF"/>
          </w:tcPr>
          <w:p>
            <w:pPr>
              <w:pStyle w:val="Compact"/>
              <w:spacing w:before="40" w:after="60" w:line="247" w:lineRule="auto"/>
              <w:jc w:val="left"/>
            </w:pPr>
            <w:r>
              <w:rPr>
                <w:sz w:val="18"/>
              </w:rPr>
              <w:t xml:space="preserve">O registro interno cita a decisão, sem fornecer seu documento detalhado.</w:t>
            </w:r>
          </w:p>
        </w:tc>
        <w:tc>
          <w:tcPr>
            <w:tcW w:type="dxa" w:w="2572"/>
            <w:vAlign w:val="top"/>
            <w:shd w:fill="FFFFFF"/>
          </w:tcPr>
          <w:p>
            <w:pPr>
              <w:pStyle w:val="Compact"/>
              <w:spacing w:before="40" w:after="60" w:line="247" w:lineRule="auto"/>
              <w:jc w:val="left"/>
            </w:pPr>
            <w:r>
              <w:rPr>
                <w:sz w:val="18"/>
              </w:rPr>
              <w:t xml:space="preserve">NÃO VERIFICADO quanto ao conteúdo completo. Não se inventa o significado funcional de um ADR ausente.</w:t>
            </w:r>
          </w:p>
        </w:tc>
      </w:tr>
    </w:tbl>
    <w:p>
      <w:pPr>
        <w:pStyle w:val="TableCaption"/>
        <w:keepNext/>
      </w:pPr>
      <w:r>
        <w:t xml:space="preserve">Tabela </w:t>
      </w:r>
      <w:r>
        <w:rPr>
          <w:rFonts w:ascii="Open Sans" w:hAnsi="Open Sans"/>
          <w:sz w:val="18"/>
        </w:rPr>
        <w:fldChar w:fldCharType="begin"/>
        <w:instrText xml:space="preserve"> SEQ Tabela </w:instrText>
        <w:fldChar w:fldCharType="separate"/>
        <w:t>38</w:t>
        <w:fldChar w:fldCharType="end"/>
      </w:r>
      <w:r>
        <w:t xml:space="preserve"> — Qualidade, dependências e rastreabilidade.</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 e referência</w:t>
            </w:r>
          </w:p>
        </w:tc>
        <w:tc>
          <w:tcPr>
            <w:tcW w:type="dxa" w:w="2476"/>
            <w:vAlign w:val="top"/>
            <w:shd w:fill="233B82"/>
          </w:tcPr>
          <w:p>
            <w:pPr>
              <w:pStyle w:val="Compact"/>
              <w:spacing w:before="40" w:after="60" w:line="247" w:lineRule="auto"/>
              <w:jc w:val="left"/>
            </w:pPr>
            <w:r>
              <w:rPr>
                <w:b/>
                <w:color w:val="FFFFFF"/>
                <w:sz w:val="18"/>
              </w:rPr>
              <w:t xml:space="preserve">Requisito e aplicabilidade</w:t>
            </w:r>
          </w:p>
        </w:tc>
        <w:tc>
          <w:tcPr>
            <w:tcW w:type="dxa" w:w="2762"/>
            <w:vAlign w:val="top"/>
            <w:shd w:fill="233B82"/>
          </w:tcPr>
          <w:p>
            <w:pPr>
              <w:pStyle w:val="Compact"/>
              <w:spacing w:before="40" w:after="60" w:line="247" w:lineRule="auto"/>
              <w:jc w:val="left"/>
            </w:pPr>
            <w:r>
              <w:rPr>
                <w:b/>
                <w:color w:val="FFFFFF"/>
                <w:sz w:val="18"/>
              </w:rPr>
              <w:t xml:space="preserve">Evidência e método</w:t>
            </w:r>
          </w:p>
        </w:tc>
        <w:tc>
          <w:tcPr>
            <w:tcW w:type="dxa" w:w="2572"/>
            <w:vAlign w:val="top"/>
            <w:shd w:fill="233B82"/>
          </w:tcPr>
          <w:p>
            <w:pPr>
              <w:pStyle w:val="Compact"/>
              <w:spacing w:before="40" w:after="60" w:line="247" w:lineRule="auto"/>
              <w:jc w:val="left"/>
            </w:pPr>
            <w:r>
              <w:rPr>
                <w:b/>
                <w:color w:val="FFFFFF"/>
                <w:sz w:val="18"/>
              </w:rPr>
              <w:t xml:space="preserve">Situação e limite</w:t>
            </w:r>
          </w:p>
        </w:tc>
      </w:tr>
      <w:tr>
        <w:trPr>
          <w:cantSplit/>
        </w:trPr>
        <w:tc>
          <w:tcPr>
            <w:tcW w:type="dxa" w:w="1714"/>
            <w:vAlign w:val="top"/>
            <w:shd w:fill="FFFFFF"/>
          </w:tcPr>
          <w:p>
            <w:pPr>
              <w:pStyle w:val="Compact"/>
              <w:spacing w:before="40" w:after="60" w:line="247" w:lineRule="auto"/>
              <w:jc w:val="left"/>
            </w:pPr>
            <w:r>
              <w:rPr>
                <w:sz w:val="18"/>
              </w:rPr>
              <w:t xml:space="preserve">QA-01 · AGENTS § 25</w:t>
            </w:r>
          </w:p>
        </w:tc>
        <w:tc>
          <w:tcPr>
            <w:tcW w:type="dxa" w:w="2476"/>
            <w:vAlign w:val="top"/>
            <w:shd w:fill="FFFFFF"/>
          </w:tcPr>
          <w:p>
            <w:pPr>
              <w:pStyle w:val="Compact"/>
              <w:spacing w:before="40" w:after="60" w:line="247" w:lineRule="auto"/>
              <w:jc w:val="left"/>
            </w:pPr>
            <w:r>
              <w:rPr>
                <w:sz w:val="18"/>
              </w:rPr>
              <w:t xml:space="preserve">Limites internos de tamanho e complexidade</w:t>
            </w:r>
          </w:p>
        </w:tc>
        <w:tc>
          <w:tcPr>
            <w:tcW w:type="dxa" w:w="2762"/>
            <w:vAlign w:val="top"/>
            <w:shd w:fill="FFFFFF"/>
          </w:tcPr>
          <w:p>
            <w:pPr>
              <w:pStyle w:val="Compact"/>
              <w:spacing w:before="40" w:after="60" w:line="247" w:lineRule="auto"/>
              <w:jc w:val="left"/>
            </w:pPr>
            <w:r>
              <w:rPr>
                <w:rStyle w:val="VerbatimChar"/>
                <w:sz w:val="17"/>
              </w:rPr>
              <w:t xml:space="preserve">RELATORIO-CONFORMIDADE-METRICAS.md</w:t>
            </w:r>
            <w:r>
              <w:rPr>
                <w:sz w:val="18"/>
              </w:rPr>
              <w:t xml:space="preserve"> </w:t>
            </w:r>
            <w:r>
              <w:rPr>
                <w:sz w:val="18"/>
              </w:rPr>
              <w:t xml:space="preserve">registra 92 arquivos e 501 membros executáveis; scripts AST definem a medição.</w:t>
            </w:r>
          </w:p>
        </w:tc>
        <w:tc>
          <w:tcPr>
            <w:tcW w:type="dxa" w:w="2572"/>
            <w:vAlign w:val="top"/>
            <w:shd w:fill="FFFFFF"/>
          </w:tcPr>
          <w:p>
            <w:pPr>
              <w:pStyle w:val="Compact"/>
              <w:spacing w:before="40" w:after="60" w:line="247" w:lineRule="auto"/>
              <w:jc w:val="left"/>
            </w:pPr>
            <w:r>
              <w:rPr>
                <w:sz w:val="18"/>
              </w:rPr>
              <w:t xml:space="preserve">ATENDIDO no relatório versionado: máximos de 246 linhas, CC 7, cognitiva 9, aninhamento 3 e linha de 118 caracteres.</w:t>
            </w:r>
          </w:p>
        </w:tc>
      </w:tr>
      <w:tr>
        <w:trPr>
          <w:cantSplit/>
        </w:trPr>
        <w:tc>
          <w:tcPr>
            <w:tcW w:type="dxa" w:w="1714"/>
            <w:vAlign w:val="top"/>
            <w:shd w:fill="F5F8FC"/>
          </w:tcPr>
          <w:p>
            <w:pPr>
              <w:pStyle w:val="Compact"/>
              <w:spacing w:before="40" w:after="60" w:line="247" w:lineRule="auto"/>
              <w:jc w:val="left"/>
            </w:pPr>
            <w:r>
              <w:rPr>
                <w:sz w:val="18"/>
              </w:rPr>
              <w:t xml:space="preserve">QA-02 · AGENTS §§ 27–28</w:t>
            </w:r>
          </w:p>
        </w:tc>
        <w:tc>
          <w:tcPr>
            <w:tcW w:type="dxa" w:w="2476"/>
            <w:vAlign w:val="top"/>
            <w:shd w:fill="F5F8FC"/>
          </w:tcPr>
          <w:p>
            <w:pPr>
              <w:pStyle w:val="Compact"/>
              <w:spacing w:before="40" w:after="60" w:line="247" w:lineRule="auto"/>
              <w:jc w:val="left"/>
            </w:pPr>
            <w:r>
              <w:rPr>
                <w:sz w:val="18"/>
              </w:rPr>
              <w:t xml:space="preserve">Verificações técnicas e preservação dos testes</w:t>
            </w:r>
          </w:p>
        </w:tc>
        <w:tc>
          <w:tcPr>
            <w:tcW w:type="dxa" w:w="2762"/>
            <w:vAlign w:val="top"/>
            <w:shd w:fill="F5F8FC"/>
          </w:tcPr>
          <w:p>
            <w:pPr>
              <w:pStyle w:val="Compact"/>
              <w:spacing w:before="40" w:after="60" w:line="247" w:lineRule="auto"/>
              <w:jc w:val="left"/>
            </w:pPr>
            <w:r>
              <w:rPr>
                <w:sz w:val="18"/>
              </w:rPr>
              <w:t xml:space="preserve">Manifesto e testes oferecem TypeScript, ESLint, build, Vitest e análise de métricas. Evidências de execução estão consolidadas no capítulo 7.</w:t>
            </w:r>
          </w:p>
        </w:tc>
        <w:tc>
          <w:tcPr>
            <w:tcW w:type="dxa" w:w="2572"/>
            <w:vAlign w:val="top"/>
            <w:shd w:fill="F5F8FC"/>
          </w:tcPr>
          <w:p>
            <w:pPr>
              <w:pStyle w:val="Compact"/>
              <w:spacing w:before="40" w:after="60" w:line="247" w:lineRule="auto"/>
              <w:jc w:val="left"/>
            </w:pPr>
            <w:r>
              <w:rPr>
                <w:sz w:val="18"/>
              </w:rPr>
              <w:t xml:space="preserve">ATENDIDO para as verificações documentadas. A presença ou aprovação da suíte não demonstra cobertura de todos os cenários de produção.</w:t>
            </w:r>
          </w:p>
        </w:tc>
      </w:tr>
      <w:tr>
        <w:trPr>
          <w:cantSplit/>
        </w:trPr>
        <w:tc>
          <w:tcPr>
            <w:tcW w:type="dxa" w:w="1714"/>
            <w:vAlign w:val="top"/>
            <w:shd w:fill="FFFFFF"/>
          </w:tcPr>
          <w:p>
            <w:pPr>
              <w:pStyle w:val="Compact"/>
              <w:spacing w:before="40" w:after="60" w:line="247" w:lineRule="auto"/>
              <w:jc w:val="left"/>
            </w:pPr>
            <w:r>
              <w:rPr>
                <w:sz w:val="18"/>
              </w:rPr>
              <w:t xml:space="preserve">QA-03 · TEC-03</w:t>
            </w:r>
          </w:p>
        </w:tc>
        <w:tc>
          <w:tcPr>
            <w:tcW w:type="dxa" w:w="2476"/>
            <w:vAlign w:val="top"/>
            <w:shd w:fill="FFFFFF"/>
          </w:tcPr>
          <w:p>
            <w:pPr>
              <w:pStyle w:val="Compact"/>
              <w:spacing w:before="40" w:after="60" w:line="247" w:lineRule="auto"/>
              <w:jc w:val="left"/>
            </w:pPr>
            <w:r>
              <w:rPr>
                <w:sz w:val="18"/>
              </w:rPr>
              <w:t xml:space="preserve">Modelo de qualidade de produto ISO/IEC 25010</w:t>
            </w:r>
          </w:p>
        </w:tc>
        <w:tc>
          <w:tcPr>
            <w:tcW w:type="dxa" w:w="2762"/>
            <w:vAlign w:val="top"/>
            <w:shd w:fill="FFFFFF"/>
          </w:tcPr>
          <w:p>
            <w:pPr>
              <w:pStyle w:val="Compact"/>
              <w:spacing w:before="40" w:after="60" w:line="247" w:lineRule="auto"/>
              <w:jc w:val="left"/>
            </w:pPr>
            <w:r>
              <w:rPr>
                <w:sz w:val="18"/>
              </w:rPr>
              <w:t xml:space="preserve">Há implementação e evidências de aspectos de qualidade; a edição e uma avaliação formal não foram identificadas.</w:t>
            </w:r>
          </w:p>
        </w:tc>
        <w:tc>
          <w:tcPr>
            <w:tcW w:type="dxa" w:w="2572"/>
            <w:vAlign w:val="top"/>
            <w:shd w:fill="FFFFFF"/>
          </w:tcPr>
          <w:p>
            <w:pPr>
              <w:pStyle w:val="Compact"/>
              <w:spacing w:before="40" w:after="60" w:line="247" w:lineRule="auto"/>
              <w:jc w:val="left"/>
            </w:pPr>
            <w:r>
              <w:rPr>
                <w:sz w:val="18"/>
              </w:rPr>
              <w:t xml:space="preserve">NÃO VERIFICADO quanto à conformidade com a norma. Os números do AGENTS.MD têm origem interna.</w:t>
            </w:r>
          </w:p>
        </w:tc>
      </w:tr>
      <w:tr>
        <w:trPr>
          <w:cantSplit/>
        </w:trPr>
        <w:tc>
          <w:tcPr>
            <w:tcW w:type="dxa" w:w="1714"/>
            <w:vAlign w:val="top"/>
            <w:shd w:fill="F5F8FC"/>
          </w:tcPr>
          <w:p>
            <w:pPr>
              <w:pStyle w:val="Compact"/>
              <w:spacing w:before="40" w:after="60" w:line="247" w:lineRule="auto"/>
              <w:jc w:val="left"/>
            </w:pPr>
            <w:r>
              <w:rPr>
                <w:sz w:val="18"/>
              </w:rPr>
              <w:t xml:space="preserve">SC-01 · TEC-04; AGENTS § 24.1</w:t>
            </w:r>
          </w:p>
        </w:tc>
        <w:tc>
          <w:tcPr>
            <w:tcW w:type="dxa" w:w="2476"/>
            <w:vAlign w:val="top"/>
            <w:shd w:fill="F5F8FC"/>
          </w:tcPr>
          <w:p>
            <w:pPr>
              <w:pStyle w:val="Compact"/>
              <w:spacing w:before="40" w:after="60" w:line="247" w:lineRule="auto"/>
              <w:jc w:val="left"/>
            </w:pPr>
            <w:r>
              <w:rPr>
                <w:sz w:val="18"/>
              </w:rPr>
              <w:t xml:space="preserve">Processo de conformidade de licenças, incluindo dependências transitivas</w:t>
            </w:r>
          </w:p>
        </w:tc>
        <w:tc>
          <w:tcPr>
            <w:tcW w:type="dxa" w:w="2762"/>
            <w:vAlign w:val="top"/>
            <w:shd w:fill="F5F8FC"/>
          </w:tcPr>
          <w:p>
            <w:pPr>
              <w:pStyle w:val="Compact"/>
              <w:spacing w:before="40" w:after="60" w:line="247" w:lineRule="auto"/>
              <w:jc w:val="left"/>
            </w:pPr>
            <w:r>
              <w:rPr>
                <w:sz w:val="18"/>
              </w:rPr>
              <w:t xml:space="preserve">Manifesto e lockfiles identificam componentes; política interna restringe licenças incompatíveis.</w:t>
            </w:r>
          </w:p>
        </w:tc>
        <w:tc>
          <w:tcPr>
            <w:tcW w:type="dxa" w:w="2572"/>
            <w:vAlign w:val="top"/>
            <w:shd w:fill="F5F8FC"/>
          </w:tcPr>
          <w:p>
            <w:pPr>
              <w:pStyle w:val="Compact"/>
              <w:spacing w:before="40" w:after="60" w:line="247" w:lineRule="auto"/>
              <w:jc w:val="left"/>
            </w:pPr>
            <w:r>
              <w:rPr>
                <w:sz w:val="18"/>
              </w:rPr>
              <w:t xml:space="preserve">NÃO VERIFICADO quanto ao processo integral OpenChain e à homologação institucional das licenças.</w:t>
            </w:r>
          </w:p>
        </w:tc>
      </w:tr>
      <w:tr>
        <w:trPr>
          <w:cantSplit/>
        </w:trPr>
        <w:tc>
          <w:tcPr>
            <w:tcW w:type="dxa" w:w="1714"/>
            <w:vAlign w:val="top"/>
            <w:shd w:fill="FFFFFF"/>
          </w:tcPr>
          <w:p>
            <w:pPr>
              <w:pStyle w:val="Compact"/>
              <w:spacing w:before="40" w:after="60" w:line="247" w:lineRule="auto"/>
              <w:jc w:val="left"/>
            </w:pPr>
            <w:r>
              <w:rPr>
                <w:sz w:val="18"/>
              </w:rPr>
              <w:t xml:space="preserve">SC-02 · TEC-05; AGENTS § 24.2</w:t>
            </w:r>
          </w:p>
        </w:tc>
        <w:tc>
          <w:tcPr>
            <w:tcW w:type="dxa" w:w="2476"/>
            <w:vAlign w:val="top"/>
            <w:shd w:fill="FFFFFF"/>
          </w:tcPr>
          <w:p>
            <w:pPr>
              <w:pStyle w:val="Compact"/>
              <w:spacing w:before="40" w:after="60" w:line="247" w:lineRule="auto"/>
              <w:jc w:val="left"/>
            </w:pPr>
            <w:r>
              <w:rPr>
                <w:sz w:val="18"/>
              </w:rPr>
              <w:t xml:space="preserve">Geração e verificação de SBOM</w:t>
            </w:r>
          </w:p>
        </w:tc>
        <w:tc>
          <w:tcPr>
            <w:tcW w:type="dxa" w:w="2762"/>
            <w:vAlign w:val="top"/>
            <w:shd w:fill="FFFFFF"/>
          </w:tcPr>
          <w:p>
            <w:pPr>
              <w:pStyle w:val="Compact"/>
              <w:spacing w:before="40" w:after="60" w:line="247" w:lineRule="auto"/>
              <w:jc w:val="left"/>
            </w:pPr>
            <w:r>
              <w:rPr>
                <w:sz w:val="18"/>
              </w:rPr>
              <w:t xml:space="preserve">Não foi localizado artefato SBOM versionado ou especificação do formato adotado entre os materiais examinados.</w:t>
            </w:r>
          </w:p>
        </w:tc>
        <w:tc>
          <w:tcPr>
            <w:tcW w:type="dxa" w:w="2572"/>
            <w:vAlign w:val="top"/>
            <w:shd w:fill="FFFFFF"/>
          </w:tcPr>
          <w:p>
            <w:pPr>
              <w:pStyle w:val="Compact"/>
              <w:spacing w:before="40" w:after="60" w:line="247" w:lineRule="auto"/>
              <w:jc w:val="left"/>
            </w:pPr>
            <w:r>
              <w:rPr>
                <w:sz w:val="18"/>
              </w:rPr>
              <w:t xml:space="preserve">NÃO VERIFICADO. Lockfiles e lista de dependências não são apresentados como substitutos do SBOM exigido.</w:t>
            </w:r>
          </w:p>
        </w:tc>
      </w:tr>
      <w:tr>
        <w:trPr>
          <w:cantSplit/>
        </w:trPr>
        <w:tc>
          <w:tcPr>
            <w:tcW w:type="dxa" w:w="1714"/>
            <w:vAlign w:val="top"/>
            <w:shd w:fill="F5F8FC"/>
          </w:tcPr>
          <w:p>
            <w:pPr>
              <w:pStyle w:val="Compact"/>
              <w:spacing w:before="40" w:after="60" w:line="247" w:lineRule="auto"/>
              <w:jc w:val="left"/>
            </w:pPr>
            <w:r>
              <w:rPr>
                <w:sz w:val="18"/>
              </w:rPr>
              <w:t xml:space="preserve">RA-01 · AGENTS §§ 35–37</w:t>
            </w:r>
          </w:p>
        </w:tc>
        <w:tc>
          <w:tcPr>
            <w:tcW w:type="dxa" w:w="2476"/>
            <w:vAlign w:val="top"/>
            <w:shd w:fill="F5F8FC"/>
          </w:tcPr>
          <w:p>
            <w:pPr>
              <w:pStyle w:val="Compact"/>
              <w:spacing w:before="40" w:after="60" w:line="247" w:lineRule="auto"/>
              <w:jc w:val="left"/>
            </w:pPr>
            <w:r>
              <w:rPr>
                <w:sz w:val="18"/>
              </w:rPr>
              <w:t xml:space="preserve">Revisão identificável e artefatos documentais rastreáveis</w:t>
            </w:r>
          </w:p>
        </w:tc>
        <w:tc>
          <w:tcPr>
            <w:tcW w:type="dxa" w:w="2762"/>
            <w:vAlign w:val="top"/>
            <w:shd w:fill="F5F8FC"/>
          </w:tcPr>
          <w:p>
            <w:pPr>
              <w:pStyle w:val="Compact"/>
              <w:spacing w:before="40" w:after="60" w:line="247" w:lineRule="auto"/>
              <w:jc w:val="left"/>
            </w:pPr>
            <w:r>
              <w:rPr>
                <w:sz w:val="18"/>
              </w:rPr>
              <w:t xml:space="preserve">Commit completo, fontes e datas são registrados;</w:t>
            </w:r>
            <w:r>
              <w:rPr>
                <w:sz w:val="18"/>
              </w:rPr>
              <w:t xml:space="preserve"> </w:t>
            </w:r>
            <w:r>
              <w:rPr>
                <w:rStyle w:val="VerbatimChar"/>
                <w:sz w:val="17"/>
              </w:rPr>
              <w:t xml:space="preserve">CODIGOFONTE.txt</w:t>
            </w:r>
            <w:r>
              <w:rPr>
                <w:sz w:val="18"/>
              </w:rPr>
              <w:t xml:space="preserve"> </w:t>
            </w:r>
            <w:r>
              <w:rPr>
                <w:sz w:val="18"/>
              </w:rPr>
              <w:t xml:space="preserve">representa o consolidado de 112 arquivos.</w:t>
            </w:r>
          </w:p>
        </w:tc>
        <w:tc>
          <w:tcPr>
            <w:tcW w:type="dxa" w:w="2572"/>
            <w:vAlign w:val="top"/>
            <w:shd w:fill="F5F8FC"/>
          </w:tcPr>
          <w:p>
            <w:pPr>
              <w:pStyle w:val="Compact"/>
              <w:spacing w:before="40" w:after="60" w:line="247" w:lineRule="auto"/>
              <w:jc w:val="left"/>
            </w:pPr>
            <w:r>
              <w:rPr>
                <w:sz w:val="18"/>
              </w:rPr>
              <w:t xml:space="preserve">ATENDIDO no escopo documental. O consolidado não substitui as fontes nem comprova qual revisão está publicada.</w:t>
            </w:r>
          </w:p>
        </w:tc>
      </w:tr>
    </w:tbl>
    <w:bookmarkEnd w:id="112"/>
    <w:bookmarkStart w:id="113" w:name="pendências-e-divergências"/>
    <w:p>
      <w:pPr>
        <w:pStyle w:val="Heading2"/>
      </w:pPr>
      <w:bookmarkStart w:id="20064" w:name="docsec_065"/>
      <w:r>
        <w:t xml:space="preserve">Pendências e divergências</w:t>
      </w:r>
      <w:bookmarkEnd w:id="20064"/>
    </w:p>
    <w:p>
      <w:pPr>
        <w:pStyle w:val="FirstParagraph"/>
      </w:pPr>
      <w:r>
        <w:t xml:space="preserve">Os pontos classificados como não verificados delimitam as evidências disponíveis. Eles não alteram o propósito do produto nem significam, automaticamente, que um procedimento institucional inexista. Para fechar a rastreabilidade fora do repositório, seriam necessários os documentos correspondentes: identificação do controlador e decisões sobre tratamento; rotina de retenção e exclusão; atendimento a titulares; gestão de incidentes; contratos pertinentes; e responsabilidade operacional sobre contas e segredos.</w:t>
      </w:r>
    </w:p>
    <w:p>
      <w:pPr>
        <w:pStyle w:val="BodyText"/>
      </w:pPr>
      <w:r>
        <w:t xml:space="preserve">Também permanecem externos à demonstração por código o IAM efetivo, a identidade do serviço que grava no banco, a origem dos segredos no ambiente publicado, o processo de rotação e a correspondência entre os domínios de desenvolvimento e produção e o commit documentado. A implantação das regras fechadas e as correções foram informadas pela equipe do projeto. Esta documentação preserva essa origem da informação.</w:t>
      </w:r>
    </w:p>
    <w:p>
      <w:pPr>
        <w:pStyle w:val="BodyText"/>
      </w:pPr>
      <w:r>
        <w:t xml:space="preserve">No campo normativo, a edição adotada de ISO/IEC 25010, a referência detalhada ISO/IEC 5230/OpenChain, a versão do e-MAG e o padrão de SBOM precisam de identificação para que uma matriz futura avalie critérios específicos. As tentativas de consulta oficial bloqueadas não foram substituídas por citações presumidas. A fonte detalhada do ADR-12.5 também não foi localizada entre os materiais recebidos.</w:t>
      </w:r>
    </w:p>
    <w:p>
      <w:pPr>
        <w:pStyle w:val="BodyText"/>
      </w:pPr>
      <w:r>
        <w:t xml:space="preserve">As classificações gerais empregadas pelo relatório automático de métricas pertencem ao seu escopo de análise estática. Expressões de homologação presentes nesse artefato não são estendidas, nesta documentação, à LGPD, à acessibilidade integral, às licenças ou à operação em produção. Os resultados externos são mantidos com suas datas e condições no capítulo 1; não são utilizados para preencher lacunas organizacionais.</w:t>
      </w:r>
    </w:p>
    <w:bookmarkEnd w:id="113"/>
    <w:bookmarkStart w:id="114" w:name="síntese-do-atendimento"/>
    <w:p>
      <w:pPr>
        <w:pStyle w:val="Heading2"/>
      </w:pPr>
      <w:bookmarkStart w:id="20065" w:name="docsec_066"/>
      <w:r>
        <w:t xml:space="preserve">Síntese do atendimento</w:t>
      </w:r>
      <w:bookmarkEnd w:id="20065"/>
    </w:p>
    <w:p>
      <w:pPr>
        <w:pStyle w:val="FirstParagraph"/>
      </w:pPr>
      <w:r>
        <w:t xml:space="preserve">A revisão documentada oferece evidência técnica para a organização do portal, o contrato do formulário, a validação no servidor, a separação entre cofre e dados operacionais, a transação de persistência e a configuração de bloqueio direto do Firestore. Também implementa controles de conteúdo e recursos de acessibilidade compatíveis com as decisões internas descritas.</w:t>
      </w:r>
    </w:p>
    <w:p>
      <w:pPr>
        <w:pStyle w:val="BodyText"/>
      </w:pPr>
      <w:r>
        <w:t xml:space="preserve">O atendimento demonstrado limita-se a esses mecanismos e às evidências identificadas. As referências legais, normativas e institucionais continuam exigindo interpretação e comprovação conforme seu alcance próprio. Por isso, não se declara pleno atendimento jurídico, certificação ISO ou conformidade completa WCAG. O conjunto permite manter o sistema e ampliar a rastreabilidade com documentos institucionais, sem confundir implementação, resultado de scanner, informação da equipe e controle efetivamente verificado no ambiente publicado.</w:t>
      </w:r>
    </w:p>
    <w:bookmarkEnd w:id="114"/>
    <w:bookmarkEnd w:id="115"/>
    <w:sectPr w:rsidR="00FC693F" w:rsidRPr="0006063C" w:rsidSect="00034616">
      <w:headerReference w:type="default" r:id="rId12"/>
      <w:footerReference w:type="default" r:id="rId13"/>
      <w:pgSz w:h="16838" w:w="11906"/>
      <w:pgMar w:bottom="1191" w:footer="454" w:gutter="0" w:header="454" w:left="1191" w:right="1191"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rFonts w:ascii="Open Sans" w:hAnsi="Open Sans"/>
        <w:color w:val="64748B"/>
        <w:sz w:val="16"/>
      </w:rPr>
      <w:t>Edição 2.0 · 15/10/2026</w:t>
      <w:tab/>
      <w:t xml:space="preserve">Página </w:t>
    </w:r>
    <w:r>
      <w:rPr>
        <w:rFonts w:ascii="Open Sans" w:hAnsi="Open Sans"/>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64748B"/>
        <w:sz w:val="16"/>
      </w:rPr>
      <w:t>CRA-SP • DOCUMENTAÇÃO TÉCNICA • Componente Curricular de ASG e ODS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abstractNum w:abstractNumId="991">
    <w:multiLevelType w:val="multilevel"/>
    <w:lvl w:ilvl="0">
      <w:start w:val="1"/>
      <w:numFmt w:val="decimal"/>
      <w:pStyle w:val="Heading1"/>
      <w:lvlText w:val="%1"/>
      <w:suff w:val="space"/>
      <w:lvlJc w:val="left"/>
    </w:lvl>
    <w:lvl w:ilvl="1">
      <w:start w:val="1"/>
      <w:numFmt w:val="decimal"/>
      <w:pStyle w:val="Heading2"/>
      <w:lvlText w:val="%1.%2"/>
      <w:suff w:val="space"/>
      <w:lvlJc w:val="left"/>
      <w:lvlRestart w:val="1"/>
    </w:lvl>
    <w:lvl w:ilvl="2">
      <w:start w:val="1"/>
      <w:numFmt w:val="decimal"/>
      <w:pStyle w:val="Heading3"/>
      <w:lvlText w:val="%1.%2.%3"/>
      <w:suff w:val="space"/>
      <w:lvlJc w:val="left"/>
      <w:lvlRestart w:val="2"/>
    </w:lvl>
  </w:abstract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cs="Open Sans" w:eastAsia="Open Sans" w:hAnsi="Open Sans"/>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before="0" w:line="259" w:lineRule="auto"/>
      <w:jc w:val="both"/>
    </w:pPr>
    <w:rPr>
      <w:rFonts w:ascii="Open Sans" w:cs="Open Sans" w:eastAsia="Open Sans" w:hAnsi="Open Sans"/>
      <w:color w:val="253044"/>
      <w:sz w:val="21"/>
      <w:lang w:val="pt-BR"/>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spacing w:after="0" w:line="240" w:lineRule="auto"/>
    </w:pPr>
    <w:rPr>
      <w:rFonts w:ascii="Open Sans" w:hAnsi="Open Sans"/>
      <w:color w:val="64748B"/>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jc w:val="left"/>
      <w:outlineLvl w:val="0"/>
      <w:numPr>
        <w:ilvl w:val="0"/>
        <w:numId w:val="1001"/>
      </w:numPr>
    </w:pPr>
    <w:rPr>
      <w:rFonts w:ascii="Open Sans" w:cs="Open Sans" w:eastAsia="Open Sans" w:hAnsi="Open Sans"/>
      <w:b/>
      <w:bCs/>
      <w:color w:val="233B82"/>
      <w:sz w:val="34"/>
      <w:szCs w:val="28"/>
    </w:rPr>
  </w:style>
  <w:style w:styleId="Heading2" w:type="paragraph">
    <w:name w:val="heading 2"/>
    <w:basedOn w:val="Normal"/>
    <w:next w:val="Normal"/>
    <w:link w:val="Heading2Char"/>
    <w:uiPriority w:val="9"/>
    <w:unhideWhenUsed/>
    <w:qFormat/>
    <w:rsid w:val="00FC693F"/>
    <w:pPr>
      <w:keepNext/>
      <w:keepLines/>
      <w:spacing w:after="140" w:before="240"/>
      <w:jc w:val="left"/>
      <w:outlineLvl w:val="1"/>
      <w:numPr>
        <w:ilvl w:val="1"/>
        <w:numId w:val="1001"/>
      </w:numPr>
    </w:pPr>
    <w:rPr>
      <w:rFonts w:ascii="Open Sans" w:cs="Open Sans" w:eastAsia="Open Sans" w:hAnsi="Open Sans"/>
      <w:b/>
      <w:bCs/>
      <w:color w:val="233B82"/>
      <w:sz w:val="24"/>
      <w:szCs w:val="26"/>
    </w:rPr>
  </w:style>
  <w:style w:styleId="Heading3" w:type="paragraph">
    <w:name w:val="heading 3"/>
    <w:basedOn w:val="Normal"/>
    <w:next w:val="Normal"/>
    <w:link w:val="Heading3Char"/>
    <w:uiPriority w:val="9"/>
    <w:unhideWhenUsed/>
    <w:qFormat/>
    <w:rsid w:val="00FC693F"/>
    <w:pPr>
      <w:keepNext/>
      <w:keepLines/>
      <w:spacing w:after="80" w:before="160"/>
      <w:jc w:val="left"/>
      <w:outlineLvl w:val="2"/>
      <w:numPr>
        <w:ilvl w:val="2"/>
        <w:numId w:val="1001"/>
      </w:numPr>
    </w:pPr>
    <w:rPr>
      <w:rFonts w:ascii="Open Sans" w:cs="Open Sans" w:eastAsia="Open Sans" w:hAnsi="Open Sans"/>
      <w:b/>
      <w:bCs/>
      <w:color w:val="233B82"/>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cs="Open Sans" w:eastAsia="Open Sans" w:hAnsi="Open Sans"/>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cs="Open Sans" w:eastAsia="Open Sans" w:hAnsi="Open San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cs="Open Sans" w:eastAsia="Open Sans" w:hAnsi="Open San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cs="Open Sans" w:eastAsia="Open Sans" w:hAnsi="Open San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cs="Open Sans" w:eastAsia="Open Sans" w:hAnsi="Open San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Open Sans" w:cs="Open Sans" w:eastAsia="Open Sans" w:hAnsi="Open Sans"/>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cs="Open Sans" w:eastAsia="Open Sans" w:hAnsi="Open San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Open Sans" w:cs="Open Sans" w:eastAsia="Open Sans" w:hAnsi="Open Sans"/>
      <w:b/>
      <w:bCs/>
      <w:color w:themeColor="accent1" w:val="4F81BD"/>
      <w:sz w:val="26"/>
      <w:szCs w:val="26"/>
    </w:rPr>
  </w:style>
  <w:style w:customStyle="1" w:styleId="Heading3Char" w:type="character">
    <w:name w:val="Heading 3 Char"/>
    <w:basedOn w:val="DefaultParagraphFont"/>
    <w:link w:val="Heading3"/>
    <w:uiPriority w:val="9"/>
    <w:rsid w:val="00FC693F"/>
    <w:rPr>
      <w:rFonts w:ascii="Open Sans" w:cs="Open Sans" w:eastAsia="Open Sans" w:hAnsi="Open Sans"/>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Open Sans" w:cs="Open Sans" w:eastAsia="Open Sans" w:hAnsi="Open Sans"/>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Open Sans" w:cs="Open Sans" w:eastAsia="Open Sans" w:hAnsi="Open San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cs="Open Sans" w:eastAsia="Open Sans" w:hAnsi="Open Sans"/>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Open Sans" w:cs="Open Sans" w:eastAsia="Open Sans" w:hAnsi="Open Sans"/>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before="0" w:line="259" w:lineRule="auto"/>
      <w:jc w:val="both"/>
    </w:pPr>
    <w:rPr>
      <w:rFonts w:ascii="Open Sans" w:cs="Open Sans" w:eastAsia="Open Sans" w:hAnsi="Open Sans"/>
      <w:sz w:val="21"/>
      <w:lang w:val="pt-BR"/>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Open Sans" w:cs="Open Sans" w:eastAsia="Open Sans" w:hAnsi="Open Sans"/>
      <w:sz w:val="20"/>
      <w:szCs w:val="20"/>
    </w:rPr>
  </w:style>
  <w:style w:customStyle="1" w:styleId="MacroTextChar" w:type="character">
    <w:name w:val="Macro Text Char"/>
    <w:basedOn w:val="DefaultParagraphFont"/>
    <w:link w:val="MacroText"/>
    <w:uiPriority w:val="99"/>
    <w:rsid w:val="0029639D"/>
    <w:rPr>
      <w:rFonts w:ascii="Open Sans" w:cs="Open Sans" w:eastAsia="Open Sans" w:hAnsi="Open Sans"/>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cs="Open Sans" w:eastAsia="Open Sans" w:hAnsi="Open Sans"/>
      <w:b/>
      <w:bCs/>
      <w:i/>
      <w:iCs/>
      <w:color w:themeColor="accent1" w:val="4F81BD"/>
    </w:rPr>
  </w:style>
  <w:style w:customStyle="1" w:styleId="Heading5Char" w:type="character">
    <w:name w:val="Heading 5 Char"/>
    <w:basedOn w:val="DefaultParagraphFont"/>
    <w:link w:val="Heading5"/>
    <w:uiPriority w:val="9"/>
    <w:semiHidden/>
    <w:rsid w:val="00FC693F"/>
    <w:rPr>
      <w:rFonts w:ascii="Open Sans" w:cs="Open Sans" w:eastAsia="Open Sans" w:hAnsi="Open Sans"/>
      <w:color w:themeColor="accent1" w:themeShade="7F" w:val="243F60"/>
    </w:rPr>
  </w:style>
  <w:style w:customStyle="1" w:styleId="Heading6Char" w:type="character">
    <w:name w:val="Heading 6 Char"/>
    <w:basedOn w:val="DefaultParagraphFont"/>
    <w:link w:val="Heading6"/>
    <w:uiPriority w:val="9"/>
    <w:semiHidden/>
    <w:rsid w:val="00FC693F"/>
    <w:rPr>
      <w:rFonts w:ascii="Open Sans" w:cs="Open Sans" w:eastAsia="Open Sans" w:hAnsi="Open Sans"/>
      <w:i/>
      <w:iCs/>
      <w:color w:themeColor="accent1" w:themeShade="7F" w:val="243F60"/>
    </w:rPr>
  </w:style>
  <w:style w:customStyle="1" w:styleId="Heading7Char" w:type="character">
    <w:name w:val="Heading 7 Char"/>
    <w:basedOn w:val="DefaultParagraphFont"/>
    <w:link w:val="Heading7"/>
    <w:uiPriority w:val="9"/>
    <w:semiHidden/>
    <w:rsid w:val="00FC693F"/>
    <w:rPr>
      <w:rFonts w:ascii="Open Sans" w:cs="Open Sans" w:eastAsia="Open Sans" w:hAnsi="Open Sans"/>
      <w:i/>
      <w:iCs/>
      <w:color w:themeColor="text1" w:themeTint="BF" w:val="404040"/>
    </w:rPr>
  </w:style>
  <w:style w:customStyle="1" w:styleId="Heading8Char" w:type="character">
    <w:name w:val="Heading 8 Char"/>
    <w:basedOn w:val="DefaultParagraphFont"/>
    <w:link w:val="Heading8"/>
    <w:uiPriority w:val="9"/>
    <w:semiHidden/>
    <w:rsid w:val="00FC693F"/>
    <w:rPr>
      <w:rFonts w:ascii="Open Sans" w:cs="Open Sans" w:eastAsia="Open Sans" w:hAnsi="Open Sans"/>
      <w:color w:themeColor="accent1" w:val="4F81BD"/>
      <w:sz w:val="20"/>
      <w:szCs w:val="20"/>
    </w:rPr>
  </w:style>
  <w:style w:customStyle="1" w:styleId="Heading9Char" w:type="character">
    <w:name w:val="Heading 9 Char"/>
    <w:basedOn w:val="DefaultParagraphFont"/>
    <w:link w:val="Heading9"/>
    <w:uiPriority w:val="9"/>
    <w:semiHidden/>
    <w:rsid w:val="00FC693F"/>
    <w:rPr>
      <w:rFonts w:ascii="Open Sans" w:cs="Open Sans" w:eastAsia="Open Sans" w:hAnsi="Open Sans"/>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40" w:lineRule="auto"/>
      <w:jc w:val="center"/>
    </w:pPr>
    <w:rPr>
      <w:rFonts w:ascii="Open Sans" w:cs="Open Sans" w:eastAsia="Open Sans" w:hAnsi="Open Sans"/>
      <w:b/>
      <w:bCs/>
      <w:i/>
      <w:color w:val="64748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Open Sans" w:cs="Open Sans" w:eastAsia="Open Sans" w:hAnsi="Open San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Open Sans" w:cs="Open Sans" w:eastAsia="Open Sans" w:hAnsi="Open San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Open Sans" w:cs="Open Sans" w:eastAsia="Open Sans" w:hAnsi="Open San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Open Sans" w:cs="Open Sans" w:eastAsia="Open Sans" w:hAnsi="Open San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Open Sans" w:cs="Open Sans" w:eastAsia="Open Sans" w:hAnsi="Open San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Open Sans" w:cs="Open Sans" w:eastAsia="Open Sans" w:hAnsi="Open San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Open Sans" w:cs="Open Sans" w:eastAsia="Open Sans" w:hAnsi="Open San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next w:val="BodyText"/>
    <w:qFormat/>
    <w:pPr>
      <w:widowControl/>
      <w:spacing w:after="100" w:before="0" w:line="259" w:lineRule="auto"/>
      <w:jc w:val="both"/>
    </w:pPr>
    <w:rPr>
      <w:rFonts w:ascii="Open Sans" w:cs="Open Sans" w:eastAsia="Open Sans" w:hAnsi="Open Sans"/>
      <w:sz w:val="21"/>
      <w:lang w:val="pt-BR"/>
    </w:rPr>
  </w:style>
  <w:style w:customStyle="1" w:styleId="Compact" w:type="paragraph">
    <w:name w:val="Compact"/>
    <w:basedOn w:val="Normal"/>
    <w:qFormat/>
    <w:pPr>
      <w:widowControl/>
      <w:spacing w:after="100" w:before="0" w:line="259" w:lineRule="auto"/>
      <w:jc w:val="both"/>
    </w:pPr>
    <w:rPr>
      <w:rFonts w:ascii="Open Sans" w:cs="Open Sans" w:eastAsia="Open Sans" w:hAnsi="Open Sans"/>
      <w:sz w:val="21"/>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spacing w:after="120" w:line="240" w:lineRule="auto"/>
      <w:jc w:val="center"/>
    </w:pPr>
    <w:rPr>
      <w:rFonts w:ascii="Open Sans" w:cs="Open Sans" w:eastAsia="Open Sans" w:hAnsi="Open Sans"/>
      <w:i/>
      <w:color w:val="64748B"/>
      <w:sz w:val="18"/>
    </w:rPr>
  </w:style>
  <w:style w:customStyle="1" w:styleId="ImageCaption" w:type="paragraph">
    <w:name w:val="Image Caption"/>
    <w:basedOn w:val="Caption"/>
    <w:pPr>
      <w:spacing w:after="120" w:line="240" w:lineRule="auto"/>
      <w:jc w:val="center"/>
    </w:pPr>
    <w:rPr>
      <w:rFonts w:ascii="Open Sans" w:cs="Open Sans" w:eastAsia="Open Sans" w:hAnsi="Open Sans"/>
      <w:i/>
      <w:color w:val="64748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DejaVu Sans Mono" w:cs="DejaVu Sans Mono" w:eastAsia="DejaVu Sans Mono" w:hAnsi="DejaVu Sans Mono"/>
      <w:color w:val="334155"/>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33B82"/>
      <w:u w:val="single"/>
    </w:rPr>
  </w:style>
  <w:style w:customStyle="1" w:styleId="SourceCode" w:type="paragraph">
    <w:name w:val="Source Code"/>
    <w:pPr>
      <w:spacing w:after="80" w:line="240" w:lineRule="auto"/>
      <w:jc w:val="left"/>
    </w:pPr>
    <w:rPr>
      <w:rFonts w:ascii="DejaVu Sans Mono" w:cs="DejaVu Sans Mono" w:eastAsia="DejaVu Sans Mono" w:hAnsi="DejaVu Sans Mono"/>
      <w:color w:val="334155"/>
      <w:sz w:val="17"/>
    </w:rPr>
  </w:style>
  <w:style w:customStyle="1" w:styleId="TOC1" w:type="paragraph">
    <w:name w:val="TOC 1"/>
    <w:basedOn w:val="Normal"/>
    <w:pPr>
      <w:keepNext w:val="0"/>
      <w:spacing w:after="60" w:before="0" w:line="240" w:lineRule="auto"/>
      <w:jc w:val="left"/>
    </w:pPr>
    <w:rPr>
      <w:rFonts w:ascii="Open Sans" w:cs="Open Sans" w:eastAsia="Open Sans" w:hAnsi="Open Sans"/>
      <w:b/>
      <w:color w:val="233B82"/>
      <w:sz w:val="20"/>
    </w:rPr>
  </w:style>
  <w:style w:customStyle="1" w:styleId="TOC2" w:type="paragraph">
    <w:name w:val="TOC 2"/>
    <w:basedOn w:val="Normal"/>
    <w:pPr>
      <w:keepNext w:val="0"/>
      <w:spacing w:after="60" w:before="0" w:line="240" w:lineRule="auto"/>
      <w:ind w:left="255"/>
      <w:jc w:val="left"/>
    </w:pPr>
    <w:rPr>
      <w:rFonts w:ascii="Open Sans" w:cs="Open Sans" w:eastAsia="Open Sans" w:hAnsi="Open Sans"/>
      <w:color w:val="334155"/>
      <w:sz w:val="18"/>
    </w:rPr>
  </w:style>
  <w:style w:customStyle="1" w:styleId="FrontTitle" w:type="paragraph">
    <w:name w:val="Front Title"/>
    <w:basedOn w:val="Normal"/>
    <w:pPr>
      <w:keepNext w:val="0"/>
      <w:spacing w:after="280" w:before="0" w:line="240" w:lineRule="auto"/>
      <w:jc w:val="left"/>
    </w:pPr>
    <w:rPr>
      <w:rFonts w:ascii="Open Sans" w:cs="Open Sans" w:eastAsia="Open Sans" w:hAnsi="Open Sans"/>
      <w:b/>
      <w:color w:val="233B82"/>
      <w:sz w:val="40"/>
    </w:rPr>
  </w:style>
  <w:style w:customStyle="1" w:styleId="DocMetadata" w:type="paragraph">
    <w:name w:val="Doc Metadata"/>
    <w:basedOn w:val="Normal"/>
    <w:pPr>
      <w:keepNext w:val="0"/>
      <w:spacing w:after="120" w:before="0" w:line="240" w:lineRule="auto"/>
      <w:jc w:val="left"/>
    </w:pPr>
    <w:rPr>
      <w:rFonts w:ascii="Open Sans" w:cs="Open Sans" w:eastAsia="Open Sans" w:hAnsi="Open Sans"/>
      <w:color w:val="253044"/>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verArtwork">
    <w:name w:val="Cover Artwork"/>
    <w:pPr>
      <w:spacing w:before="0" w:after="0"/>
      <w:ind w:left="0" w:right="0" w:firstLine="0"/>
      <w:jc w:val="left"/>
    </w:pPr>
    <w:rPr>
      <w:rFonts w:ascii="Open Sans" w:hAnsi="Open Sans"/>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8" Type="http://schemas.openxmlformats.org/officeDocument/2006/relationships/image" Target="media/rId38.png"/><Relationship Id="rId62" Type="http://schemas.openxmlformats.org/officeDocument/2006/relationships/image" Target="media/rId62.png"/><Relationship Id="rId83" Type="http://schemas.openxmlformats.org/officeDocument/2006/relationships/image" Target="media/rId83.png"/><Relationship Id="rId95" Type="http://schemas.openxmlformats.org/officeDocument/2006/relationships/hyperlink" Target="https://github.com/desenvolvimentoprofissional-oss/asg-ods" TargetMode="External"/><Relationship Id="rId96" Type="http://schemas.openxmlformats.org/officeDocument/2006/relationships/hyperlink" Target="https://github.com/desenvolvimentoprofissional-oss/asg-ods/tree/1d05eb64bfdb9f7f579221a144165a66f1ba25e4" TargetMode="External"/><Relationship Id="rId106" Type="http://schemas.openxmlformats.org/officeDocument/2006/relationships/hyperlink" Target="https://openchainproject.org/license-compliance" TargetMode="External"/><Relationship Id="rId107" Type="http://schemas.openxmlformats.org/officeDocument/2006/relationships/hyperlink" Target="https://spdx.dev/use/specifications/" TargetMode="External"/><Relationship Id="rId103" Type="http://schemas.openxmlformats.org/officeDocument/2006/relationships/hyperlink" Target="https://www.gov.br/governodigital/pt-br/acessibilidade-e-usuario/acessibilidade-digital/modelo-de-acessibilidade" TargetMode="External"/><Relationship Id="rId104" Type="http://schemas.openxmlformats.org/officeDocument/2006/relationships/hyperlink" Target="https://www.iso.org/search.html?q=ISO%2FIEC%2025010" TargetMode="External"/><Relationship Id="rId105" Type="http://schemas.openxmlformats.org/officeDocument/2006/relationships/hyperlink" Target="https://www.iso.org/search.html?q=ISO%2FIEC%205230" TargetMode="External"/><Relationship Id="rId100" Type="http://schemas.openxmlformats.org/officeDocument/2006/relationships/hyperlink" Target="https://www.planalto.gov.br/ccivil_03/_ato2015-2018/2015/lei/l131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9-2022/2021/lei/l14129.htm" TargetMode="External"/><Relationship Id="rId102" Type="http://schemas.openxmlformats.org/officeDocument/2006/relationships/hyperlink" Target="https://www.w3.org/TR/WCAG22/"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footnotes.xml.rels><?xml version='1.0' encoding='UTF-8' standalone='yes'?>
<Relationships xmlns="http://schemas.openxmlformats.org/package/2006/relationships"><Relationship Id="rId95" Type="http://schemas.openxmlformats.org/officeDocument/2006/relationships/hyperlink" Target="https://github.com/desenvolvimentoprofissional-oss/asg-ods" TargetMode="External"/><Relationship Id="rId96" Type="http://schemas.openxmlformats.org/officeDocument/2006/relationships/hyperlink" Target="https://github.com/desenvolvimentoprofissional-oss/asg-ods/tree/1d05eb64bfdb9f7f579221a144165a66f1ba25e4" TargetMode="External"/><Relationship Id="rId106" Type="http://schemas.openxmlformats.org/officeDocument/2006/relationships/hyperlink" Target="https://openchainproject.org/license-compliance" TargetMode="External"/><Relationship Id="rId107" Type="http://schemas.openxmlformats.org/officeDocument/2006/relationships/hyperlink" Target="https://spdx.dev/use/specifications/" TargetMode="External"/><Relationship Id="rId103" Type="http://schemas.openxmlformats.org/officeDocument/2006/relationships/hyperlink" Target="https://www.gov.br/governodigital/pt-br/acessibilidade-e-usuario/acessibilidade-digital/modelo-de-acessibilidade" TargetMode="External"/><Relationship Id="rId104" Type="http://schemas.openxmlformats.org/officeDocument/2006/relationships/hyperlink" Target="https://www.iso.org/search.html?q=ISO%2FIEC%2025010" TargetMode="External"/><Relationship Id="rId105" Type="http://schemas.openxmlformats.org/officeDocument/2006/relationships/hyperlink" Target="https://www.iso.org/search.html?q=ISO%2FIEC%205230" TargetMode="External"/><Relationship Id="rId100" Type="http://schemas.openxmlformats.org/officeDocument/2006/relationships/hyperlink" Target="https://www.planalto.gov.br/ccivil_03/_ato2015-2018/2015/lei/l131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9-2022/2021/lei/l14129.htm" TargetMode="External"/><Relationship Id="rId102"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 Componente Curricular de ASG e ODS</dc:title>
  <dc:creator>Conselho Regional de Administração de São Paulo — CRA-SP</dc:creator>
  <cp:keywords>CRA-SP, ASG, ODS, documentação técnica, React, Express, Firestore</cp:keywords>
  <dcterms:created xsi:type="dcterms:W3CDTF">2026-10-15T18:53:18Z</dcterms:created>
  <dcterms:modified xsi:type="dcterms:W3CDTF">2026-10-15T18:53:18Z</dcterms:modified>
  <dc:subject>Arquitetura, funcionalidades, API, dados, operação, evidências e requisitos</dc:subject>
  <cp:lastModifiedBy>CRA-SP</cp:lastModifiedBy>
  <cp:version>2.0</cp:version>
  <dc:description/>
</cp:coreProperties>
</file>

<file path=docProps/custom.xml><?xml version="1.0" encoding="utf-8"?>
<Properties xmlns="http://schemas.openxmlformats.org/officeDocument/2006/custom-properties" xmlns:vt="http://schemas.openxmlformats.org/officeDocument/2006/docPropsVTypes"/>
</file>