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 descr="Capa aprovada da documentação técnica do Componente Curricular de ASG e ODS, edição 1.0. Inclui logo CRA-SP, banner principal e endereços de desenvolvimento e final do site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exec-a0fff409-bf1a-4cf3-8d56-f2d6530c91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" w:lineRule="exact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— Documentação Técnica do Componente Curricular de ASG e ODS</dc:title>
  <dc:subject>Capa aprovada, edição 1.0, 13 de outubro de 2026</dc:subject>
  <dc:creator>Conselho Regional de Administração de São Paulo — CRA-SP</dc:creator>
  <cp:keywords/>
  <dc:description>Capa de uma página contendo a imagem aprovada; arquivo independente da documentação técnica original.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