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left"/>
        <w:spacing w:before="0" w:after="0" w:line="20" w:lineRule="exact"/>
        <w:keepNext w:val="0"/>
      </w:pPr>
      <w:r>
        <w:rPr>
          <w:rFonts w:ascii="Open Sans" w:hAnsi="Open Sans" w:cs="Open Sans"/>
          <w:sz w:val="2"/>
          <w:szCs w:val="2"/>
          <w:color w:val="233B82"/>
        </w:rPr>
        <w:t/>
      </w:r>
      <w:r>
        <w:drawing>
          <wp:anchor distT="0" distB="0" distL="0" distR="0" simplePos="0" relativeHeight="0" behindDoc="1" locked="0" layoutInCell="0" allowOverlap="1">
            <wp:simplePos x="0" y="0"/>
            <wp:positionH relativeFrom="page">
              <wp:posOffset>0</wp:posOffset>
            </wp:positionH>
            <wp:positionV relativeFrom="page">
              <wp:posOffset>0</wp:posOffset>
            </wp:positionV>
            <wp:extent cx="7560056" cy="4654550"/>
            <wp:effectExtent l="0" t="0" r="0" b="0"/>
            <wp:wrapNone/>
            <wp:docPr id="1" name="Picture 1" descr="Imagem editorial do repositório: estudante em ambiente educacional. Não é captura funcional da aplicação." title="Banner institucional CRA-SP Educa"/>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Picture 1" descr="Imagem editorial do repositório: estudante em ambiente educacional. Não é captura funcional da aplicação." title="Banner institucional CRA-SP Educa"/>
                    <pic:cNvPicPr>
                      <a:picLocks noChangeAspect="1" noChangeArrowheads="1"/>
                    </pic:cNvPicPr>
                  </pic:nvPicPr>
                  <pic:blipFill>
                    <a:blip r:embed="rId2"/>
                    <a:srcRect t="3850" b="3850" l="0" r="0"/>
                    <a:stretch>
                      <a:fillRect/>
                    </a:stretch>
                  </pic:blipFill>
                  <pic:spPr bwMode="auto">
                    <a:xfrm>
                      <a:off x="0" y="0"/>
                      <a:ext cx="7560056" cy="4654550"/>
                    </a:xfrm>
                    <a:prstGeom prst="rect">
                      <a:avLst/>
                    </a:prstGeom>
                    <a:noFill/>
                  </pic:spPr>
                </pic:pic>
              </a:graphicData>
            </a:graphic>
          </wp:anchor>
        </w:drawing>
      </w:r>
      <w:r>
        <w:pict>
          <v:rect id="cover601" style="position:absolute;margin-left:0pt;margin-top:0pt;width:595.28pt;height:366.5pt;z-index:1;mso-position-horizontal-relative:page;mso-position-vertical-relative:page" stroked="f" filled="t" fillcolor="#0B1523">
            <v:fill opacity="0.42"/>
            <w10:wrap type="none"/>
          </v:rect>
        </w:pict>
      </w:r>
      <w:r>
        <w:pict>
          <v:group id="craLogoWhite" coordsize="762000,557000" alt="Marca CRA-SP em branco" style="position:absolute;margin-left:31.6pt;margin-top:38.37pt;width:63.75pt;height:46.6pt;z-index:30;mso-position-horizontal-relative:page;mso-position-vertical-relative:page">
            <v:shape id="craLogoPath0" coordsize="762000,557000" path="m200810,179521 l282180,98156 l192534,8510 l20748,180292 l192107,351635 l282519,261224 l200810,179521 x e" style="position:absolute;left:0;top:0;width:762000;height:557000" fillcolor="#FFFFFF" stroked="f" o:title="Marca institucional CRA-SP"/>
            <v:shape id="craLogoPath1" coordsize="762000,557000" path="m569295,8516 l479649,98167 l561019,179526 l479310,261229 l569743,351641 l741081,180297 l569295,8516 x e" style="position:absolute;left:0;top:0;width:762000;height:557000" fillcolor="#FFFFFF" stroked="f" o:title="Marca institucional CRA-SP"/>
            <v:shape id="craLogoPath2" coordsize="762000,557000" path="m558909,276 l558644,0 l201852,0 l201581,276 l380243,178943 l558909,276 x e" style="position:absolute;left:0;top:0;width:762000;height:557000" fillcolor="#FFFFFF" stroked="f" o:title="Marca institucional CRA-SP"/>
            <v:shape id="craLogoPath3" coordsize="762000,557000" path="m201529,358307 l558540,358307 l380040,179818 l201529,358307 x e" style="position:absolute;left:0;top:0;width:762000;height:557000" fillcolor="#FFFFFF" stroked="f" o:title="Marca institucional CRA-SP"/>
            <v:shape id="craLogoPath4" coordsize="762000,557000" path="m112620,411255 l112620,455005 c107141,448906,101667,444458,96219,441625 c90781,438781,84932,437339,78734,437339 c67224,437339,57917,441281,50797,449109 c43682,456990,40125,467224,40125,479849 c40125,491635,43750,501385,51005,509161 c58260,516927,67495,520792,78734,520792 c84932,520792,90781,519354,96219,516516 c101667,513677,107141,509182,112620,503026 l112620,546885 c106255,549927,99953,552245,93651,553797 c87396,555344,81016,556083,74620,556083 c66578,556083,59188,555130,52401,553219 c45625,551333,39365,548422,33677,544547 c22729,537188,14380,527948,8620,516786 c2870,505594,0,493036,0,479073 c0,467844,1812,457630,5469,448427 c9109,439219,14609,430901,21969,423406 c28927,416245,36766,410917,45495,407349 c54182,403828,63906,402047,74620,402047 c81016,402047,87396,402792,93651,404333 c99953,405885,106255,408203,112620,411255 x m135214,552385 l135214,405562 l177042,405562 c193406,405562,204839,406328,211276,407823 c217714,409344,223286,411865,227979,415391 c233260,419401,237323,424547,240172,430729 c243010,436958,244406,443812,244406,451302 c244406,462667,241635,471911,236068,479031 c230479,486156,222339,490880,211646,493203 l251641,552385 l206417,552385 l172729,494917 l172729,552385 l135214,552385 x m172729,474958 l180161,474958 c188781,474958,195089,473484,199062,470542 c203026,467609,205021,462979,205021,456708 c205021,449354,203156,444115,199432,441000 c195734,437891,189505,436349,180740,436349 l172729,436349 l172729,474958 x m305714,497516 l345536,497516 l330573,449073 c330125,447615,329474,445245,328698,441964 c327870,438714,326844,434500,325578,429333 c324724,432958,323865,436380,323010,439667 c322193,442953,321328,446073,320479,449073 l305714,497516 x m249656,552385 l300312,405562 l350469,405562 l401193,552385 l361380,552385 l353948,526099 l297083,526099 l289464,552385 l249656,552385 x e" style="position:absolute;left:0;top:0;width:762000;height:557000" fillcolor="#FFFFFF" stroked="f" o:title="Marca institucional CRA-SP"/>
            <v:shape id="craLogoPath5" coordsize="762000,557000" path="m411536,492802 l478719,492802 l478719,465531 l411536,465531 l411536,492802 x e" style="position:absolute;left:0;top:0;width:762000;height:557000" fillcolor="#FFFFFF" stroked="f" o:title="Marca institucional CRA-SP"/>
            <v:shape id="craLogoPath6" coordsize="762000,557000" path="m646742,554410 l646742,406451 l707862,406451 c718940,406451,728500,408619,736543,412954 c744635,417240,750872,423236,755255,430943 c759638,438601,761829,447511,761829,457673 c761829,467884,759590,476818,755110,484476 c750679,492086,744346,497986,736110,502176 c727874,506367,718097,508462,706778,508462 l669066,508462 l669066,480286 l700132,480286 c705526,480286,710029,479347,713642,477469 c717302,475590,720071,472965,721950,469594 c723828,466174,724767,462201,724767,457673 c724767,453098,723828,449148,721950,445825 c720071,442454,717302,439853,713642,438023 c709981,436192,705478,435277,700132,435277 l682504,435277 l682504,554410 l646742,554410 x e" style="position:absolute;left:0;top:0;width:762000;height:557000" fillcolor="#FFFFFF" stroked="f" o:title="Marca institucional CRA-SP"/>
            <v:shape id="craLogoPath7" coordsize="762000,557000" path="m592414,450810 c591932,445512,589789,441394,585984,438456 c582227,435470,576857,433977,569873,433977 c565249,433977,561396,434579,558314,435783 c555231,436987,552920,438649,551378,440768 c549837,442839,549042,445223,548994,447920 c548898,450136,549331,452086,550295,453772 c551306,455458,552751,456951,554629,458251 c556556,459504,558868,460611,561565,461575 c564262,462538,567296,463381,570668,464103 l583383,466993 c590704,468582,597158,470702,602745,473351 c608380,476000,613100,479154,616905,482815 c620758,486475,623672,490689,625647,495458 c627621,500226,628633,505572,628681,511496 c628633,520840,626273,528859,621601,535554 c616929,542248,610210,547378,601444,550942 c592727,554506,582203,556288,569873,556288 c557495,556288,546706,554434,537507,550725 c528308,547017,521156,541382,516050,533820 c510945,526258,508320,516698,508176,505138 l542420,505138 c542709,509907,543985,513880,546249,517059 c548513,520238,551619,522646,555569,524283 c559566,525921,564190,526740,569440,526740 c574256,526740,578350,526090,581721,524789 c585141,523489,587766,521683,589596,519371 c591426,517059,592366,514410,592414,511424 c592366,508630,591499,506246,589813,504272 c588127,502249,585526,500515,582010,499070 c578543,497577,574112,496204,568717,494952 l553257,491340 c540445,488402,530355,483658,522986,477107 c515617,470509,511956,461599,512005,450377 c511956,441225,514413,433206,519374,426319 c524334,419431,531198,414061,539964,410208 c548729,406355,558723,404428,569945,404428 c581408,404428,591354,406379,599783,410280 c608259,414133,614834,419552,619506,426536 c624178,433519,626562,441611,626658,450810 l592414,450810 x e" style="position:absolute;left:0;top:0;width:762000;height:557000" fillcolor="#FFFFFF" stroked="f" o:title="Marca institucional CRA-SP"/>
            <w10:wrap type="none"/>
          </v:group>
        </w:pict>
      </w:r>
      <w:r>
        <w:pict>
          <v:rect id="cover602" style="position:absolute;margin-left:32.16pt;margin-top:110.59pt;width:280pt;height:64pt;z-index:10;mso-position-horizontal-relative:page;mso-position-vertical-relative:page" stroked="f" filled="f">
            <v:textbox inset="0,0,0,0">
              <w:txbxContent>
                <w:p>
                  <w:pPr>
                    <w:jc w:val="left"/>
                    <w:spacing w:before="0" w:after="0" w:line="540" w:lineRule="exact"/>
                  </w:pPr>
                  <w:r>
                    <w:rPr>
                      <w:rFonts w:ascii="Open Sans" w:hAnsi="Open Sans" w:cs="Open Sans"/>
                      <w:sz w:val="44"/>
                      <w:szCs w:val="44"/>
                      <w:color w:val="FFFFFF"/>
                      <w:b/>
                      <w:spacing w:val="22"/>
                    </w:rPr>
                    <w:t>DOCUMENTAÇÃO</w:t>
                  </w:r>
                  <w:r>
                    <w:rPr>
                      <w:rFonts w:ascii="Open Sans" w:hAnsi="Open Sans" w:cs="Open Sans"/>
                      <w:sz w:val="44"/>
                      <w:szCs w:val="44"/>
                      <w:color w:val="FFFFFF"/>
                      <w:b/>
                      <w:spacing w:val="22"/>
                    </w:rPr>
                    <w:br/>
                    <w:t>TÉCNICA</w:t>
                  </w:r>
                </w:p>
              </w:txbxContent>
            </v:textbox>
            <w10:wrap type="none"/>
          </v:rect>
        </w:pict>
      </w:r>
      <w:r>
        <w:pict>
          <v:rect id="cover603" style="position:absolute;margin-left:36.11pt;margin-top:400.03pt;width:75.61pt;height:3.39pt;z-index:10;mso-position-horizontal-relative:page;mso-position-vertical-relative:page" stroked="f" filled="t" fillcolor="#F4B000">
            <w10:wrap type="none"/>
          </v:rect>
        </w:pict>
      </w:r>
      <w:r>
        <w:pict>
          <v:rect id="cover604" style="position:absolute;margin-left:34.98pt;margin-top:416.5pt;width:530pt;height:76pt;z-index:10;mso-position-horizontal-relative:page;mso-position-vertical-relative:page" stroked="f" filled="f">
            <v:textbox inset="0,0,0,0">
              <w:txbxContent>
                <w:p>
                  <w:pPr>
                    <w:jc w:val="left"/>
                    <w:spacing w:before="0" w:after="0" w:line="1240" w:lineRule="exact"/>
                  </w:pPr>
                  <w:r>
                    <w:rPr>
                      <w:rFonts w:ascii="Open Sans" w:hAnsi="Open Sans" w:cs="Open Sans"/>
                      <w:sz w:val="96"/>
                      <w:szCs w:val="96"/>
                      <w:color w:val="003A9E"/>
                      <w:b/>
                    </w:rPr>
                    <w:t>CRA-SP Educa</w:t>
                  </w:r>
                </w:p>
              </w:txbxContent>
            </v:textbox>
            <w10:wrap type="none"/>
          </v:rect>
        </w:pict>
      </w:r>
      <w:r>
        <w:pict>
          <v:rect id="cover605" style="position:absolute;margin-left:36pt;margin-top:491pt;width:527pt;height:35pt;z-index:10;mso-position-horizontal-relative:page;mso-position-vertical-relative:page" stroked="f" filled="f">
            <v:textbox inset="0,0,0,0">
              <w:txbxContent>
                <w:p>
                  <w:pPr>
                    <w:jc w:val="left"/>
                    <w:spacing w:before="0" w:after="0" w:line="500" w:lineRule="exact"/>
                  </w:pPr>
                  <w:r>
                    <w:rPr>
                      <w:rFonts w:ascii="Open Sans" w:hAnsi="Open Sans" w:cs="Open Sans"/>
                      <w:sz w:val="37"/>
                      <w:szCs w:val="37"/>
                      <w:color w:val="003A9E"/>
                      <w:b/>
                    </w:rPr>
                    <w:t>Conector educacional de cursos e oportunidades</w:t>
                  </w:r>
                </w:p>
              </w:txbxContent>
            </v:textbox>
            <w10:wrap type="none"/>
          </v:rect>
        </w:pict>
      </w:r>
      <w:r>
        <w:pict>
          <v:rect id="cover606" style="position:absolute;margin-left:35.55pt;margin-top:535.44pt;width:530pt;height:33pt;z-index:10;mso-position-horizontal-relative:page;mso-position-vertical-relative:page" stroked="f" filled="f">
            <v:textbox inset="0,0,0,0">
              <w:txbxContent>
                <w:p>
                  <w:pPr>
                    <w:jc w:val="left"/>
                    <w:spacing w:before="0" w:after="0" w:line="500" w:lineRule="exact"/>
                  </w:pPr>
                  <w:r>
                    <w:rPr>
                      <w:rFonts w:ascii="Open Sans" w:hAnsi="Open Sans" w:cs="Open Sans"/>
                      <w:sz w:val="37"/>
                      <w:szCs w:val="37"/>
                      <w:color w:val="003A9E"/>
                      <w:b/>
                    </w:rPr>
                    <w:t>Conselho Regional de Administração de São Paulo</w:t>
                  </w:r>
                </w:p>
              </w:txbxContent>
            </v:textbox>
            <w10:wrap type="none"/>
          </v:rect>
        </w:pict>
      </w:r>
      <w:r>
        <w:pict>
          <v:rect id="cover607" style="position:absolute;margin-left:45.36pt;margin-top:585.56pt;width:476.26pt;height:148.46pt;z-index:10;mso-position-horizontal-relative:page;mso-position-vertical-relative:page" stroked="f" filled="t" fillcolor="#F1F4F8">
            <w10:wrap type="none"/>
          </v:rect>
        </w:pict>
      </w:r>
      <w:r>
        <w:pict>
          <v:rect id="cover608" style="position:absolute;margin-left:59.544pt;margin-top:595.2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b/>
                    </w:rPr>
                    <w:t>Edição 1.1 · 16 de outubro de 2026</w:t>
                  </w:r>
                </w:p>
              </w:txbxContent>
            </v:textbox>
            <w10:wrap type="none"/>
          </v:rect>
        </w:pict>
      </w:r>
      <w:r>
        <w:pict>
          <v:rect id="cover609" style="position:absolute;margin-left:59.544pt;margin-top:616.1600000000001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rPr>
                    <w:t>Repositório: desenvolvimentoprofissional-oss/educa</w:t>
                  </w:r>
                </w:p>
              </w:txbxContent>
            </v:textbox>
            <w10:wrap type="none"/>
          </v:rect>
        </w:pict>
      </w:r>
      <w:r>
        <w:pict>
          <v:rect id="cover610" style="position:absolute;margin-left:59.544pt;margin-top:637.12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rPr>
                    <w:t>Código de referência: main · 52c5224</w:t>
                  </w:r>
                </w:p>
              </w:txbxContent>
            </v:textbox>
            <w10:wrap type="none"/>
          </v:rect>
        </w:pict>
      </w:r>
      <w:r>
        <w:pict>
          <v:rect id="cover611" style="position:absolute;margin-left:59.544pt;margin-top:658.08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rPr>
                    <w:t>Revisão completa: 52c5224d3fb3372e97859468cf1d44439effdc18</w:t>
                  </w:r>
                </w:p>
              </w:txbxContent>
            </v:textbox>
            <w10:wrap type="none"/>
          </v:rect>
        </w:pict>
      </w:r>
      <w:r>
        <w:pict>
          <v:rect id="cover612" style="position:absolute;margin-left:59.544pt;margin-top:679.0400000000001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rPr>
                    <w:t>Endereço documentado: https://crasp-educa.ai.studio/</w:t>
                  </w:r>
                </w:p>
              </w:txbxContent>
            </v:textbox>
            <w10:wrap type="none"/>
          </v:rect>
        </w:pict>
      </w:r>
      <w:r>
        <w:pict>
          <v:rect id="cover613" style="position:absolute;margin-left:59.544pt;margin-top:700.0pt;width:448pt;height:18pt;z-index:11;mso-position-horizontal-relative:page;mso-position-vertical-relative:page" stroked="f" filled="f">
            <v:textbox inset="0,0,0,0">
              <w:txbxContent>
                <w:p>
                  <w:pPr>
                    <w:jc w:val="left"/>
                    <w:spacing w:before="0" w:after="0" w:line="260" w:lineRule="exact"/>
                  </w:pPr>
                  <w:r>
                    <w:rPr>
                      <w:rFonts w:ascii="Open Sans" w:hAnsi="Open Sans" w:cs="Open Sans"/>
                      <w:sz w:val="19"/>
                      <w:szCs w:val="19"/>
                      <w:color w:val="233B82"/>
                    </w:rPr>
                    <w:t>Corpo principal · anexos reunidos posteriormente pelo responsável</w:t>
                  </w:r>
                </w:p>
              </w:txbxContent>
            </v:textbox>
            <w10:wrap type="none"/>
          </v:rect>
        </w:pict>
      </w:r>
    </w:p>
    <w:p>
      <w:pPr>
        <w:jc w:val="left"/>
        <w:spacing w:before="0" w:after="0" w:line="20" w:lineRule="exact"/>
        <w:sectPr>
          <w:type w:val="nextPage"/>
          <w:pgSz w:w="11906" w:h="16838"/>
          <w:pgMar w:left="0" w:right="0" w:gutter="0" w:header="0" w:top="0" w:footer="0" w:bottom="0"/>
          <w:pgNumType w:fmt="decimal"/>
          <w:formProt w:val="false"/>
          <w:textDirection w:val="lrTb"/>
          <w:docGrid w:type="default" w:linePitch="360" w:charSpace="0"/>
        </w:sectPr>
      </w:pPr>
      <w:r>
        <w:rPr>
          <w:rFonts w:ascii="Open Sans" w:hAnsi="Open Sans" w:cs="Open Sans"/>
          <w:sz w:val="2"/>
          <w:szCs w:val="2"/>
          <w:color w:val="233B82"/>
        </w:rPr>
        <w:t/>
      </w:r>
    </w:p>
    <w:p>
      <w:pPr>
        <w:pStyle w:val="FrontHeading"/>
        <w:rPr/>
      </w:pPr>
      <w:r>
        <w:rPr/>
        <w:t>Sumário</w:t>
      </w:r>
    </w:p>
    <w:sdt>
      <w:sdtPr>
        <w:docPartObj>
          <w:docPartGallery w:val="Table of Contents"/>
          <w:docPartUnique w:val="true"/>
        </w:docPartObj>
      </w:sdtPr>
      <w:sdtContent>
        <w:p>
          <w:pPr>
            <w:pStyle w:val="TOC1"/>
            <w:tabs>
              <w:tab w:val="clear" w:pos="720"/>
              <w:tab w:val="right" w:pos="9523" w:leader="dot"/>
            </w:tabs>
            <w:rPr/>
          </w:pPr>
          <w:r>
            <w:fldChar w:fldCharType="begin"/>
          </w:r>
          <w:r>
            <w:rPr>
              <w:rStyle w:val="IndexLink"/>
              <w:webHidden/>
            </w:rPr>
            <w:instrText xml:space="preserve"> TOC \z \o "1-2" \u \h</w:instrText>
          </w:r>
          <w:r>
            <w:rPr>
              <w:rStyle w:val="IndexLink"/>
              <w:webHidden/>
            </w:rPr>
            <w:fldChar w:fldCharType="separate"/>
          </w:r>
          <w:hyperlink w:anchor="__RefHeading___Toc8704_608013930" w:tooltip="Resultados externos e metodologia documental">
            <w:r>
              <w:rPr>
                <w:rStyle w:val="IndexLink"/>
                <w:webHidden/>
              </w:rPr>
              <w:t>1 Resultados externos e metodologia documental</w:t>
              <w:tab/>
              <w:t>5</w:t>
            </w:r>
          </w:hyperlink>
        </w:p>
        <w:p>
          <w:pPr>
            <w:pStyle w:val="TOC2"/>
            <w:tabs>
              <w:tab w:val="clear" w:pos="720"/>
              <w:tab w:val="right" w:pos="9523" w:leader="dot"/>
            </w:tabs>
            <w:rPr/>
          </w:pPr>
          <w:hyperlink w:anchor="__RefHeading___Toc8706_608013930" w:tooltip="Quadro dos resultados dos scanners">
            <w:r>
              <w:rPr>
                <w:rStyle w:val="IndexLink"/>
                <w:webHidden/>
              </w:rPr>
              <w:t>1.1 Quadro dos resultados dos scanners</w:t>
              <w:tab/>
              <w:t>5</w:t>
            </w:r>
          </w:hyperlink>
        </w:p>
        <w:p>
          <w:pPr>
            <w:pStyle w:val="TOC2"/>
            <w:tabs>
              <w:tab w:val="clear" w:pos="720"/>
              <w:tab w:val="right" w:pos="9523" w:leader="dot"/>
            </w:tabs>
            <w:rPr/>
          </w:pPr>
          <w:hyperlink w:anchor="__RefHeading___Toc8708_608013930" w:tooltip="Indicadores complementares">
            <w:r>
              <w:rPr>
                <w:rStyle w:val="IndexLink"/>
                <w:webHidden/>
              </w:rPr>
              <w:t>1.2 Indicadores complementares</w:t>
              <w:tab/>
              <w:t>6</w:t>
            </w:r>
          </w:hyperlink>
        </w:p>
        <w:p>
          <w:pPr>
            <w:pStyle w:val="TOC2"/>
            <w:tabs>
              <w:tab w:val="clear" w:pos="720"/>
              <w:tab w:val="right" w:pos="9523" w:leader="dot"/>
            </w:tabs>
            <w:rPr/>
          </w:pPr>
          <w:hyperlink w:anchor="__RefHeading___Toc8710_608013930" w:tooltip="Identificação e metodologia">
            <w:r>
              <w:rPr>
                <w:rStyle w:val="IndexLink"/>
                <w:webHidden/>
              </w:rPr>
              <w:t>1.3 Identificação e metodologia</w:t>
              <w:tab/>
              <w:t>10</w:t>
            </w:r>
          </w:hyperlink>
        </w:p>
        <w:p>
          <w:pPr>
            <w:pStyle w:val="TOC2"/>
            <w:tabs>
              <w:tab w:val="clear" w:pos="720"/>
              <w:tab w:val="right" w:pos="9523" w:leader="dot"/>
            </w:tabs>
            <w:rPr/>
          </w:pPr>
          <w:hyperlink w:anchor="__RefHeading___Toc8712_608013930" w:tooltip="Cobertura e limites das evidências">
            <w:r>
              <w:rPr>
                <w:rStyle w:val="IndexLink"/>
                <w:webHidden/>
              </w:rPr>
              <w:t>1.4 Cobertura e limites das evidências</w:t>
              <w:tab/>
              <w:t>12</w:t>
            </w:r>
          </w:hyperlink>
        </w:p>
        <w:p>
          <w:pPr>
            <w:pStyle w:val="TOC1"/>
            <w:tabs>
              <w:tab w:val="clear" w:pos="720"/>
              <w:tab w:val="right" w:pos="9523" w:leader="dot"/>
            </w:tabs>
            <w:rPr/>
          </w:pPr>
          <w:hyperlink w:anchor="__RefHeading___Toc8714_608013930" w:tooltip="Visão do produto e arquitetura">
            <w:r>
              <w:rPr>
                <w:rStyle w:val="IndexLink"/>
                <w:webHidden/>
              </w:rPr>
              <w:t>2 Visão do produto e arquitetura</w:t>
              <w:tab/>
              <w:t>13</w:t>
            </w:r>
          </w:hyperlink>
        </w:p>
        <w:p>
          <w:pPr>
            <w:pStyle w:val="TOC2"/>
            <w:tabs>
              <w:tab w:val="clear" w:pos="720"/>
              <w:tab w:val="right" w:pos="9523" w:leader="dot"/>
            </w:tabs>
            <w:rPr/>
          </w:pPr>
          <w:hyperlink w:anchor="__RefHeading___Toc8716_608013930" w:tooltip="Finalidade e público">
            <w:r>
              <w:rPr>
                <w:rStyle w:val="IndexLink"/>
                <w:webHidden/>
              </w:rPr>
              <w:t>2.1 Finalidade e público</w:t>
              <w:tab/>
              <w:t>13</w:t>
            </w:r>
          </w:hyperlink>
        </w:p>
        <w:p>
          <w:pPr>
            <w:pStyle w:val="TOC2"/>
            <w:tabs>
              <w:tab w:val="clear" w:pos="720"/>
              <w:tab w:val="right" w:pos="9523" w:leader="dot"/>
            </w:tabs>
            <w:rPr/>
          </w:pPr>
          <w:hyperlink w:anchor="__RefHeading___Toc8718_608013930" w:tooltip="Estrutura do produto">
            <w:r>
              <w:rPr>
                <w:rStyle w:val="IndexLink"/>
                <w:webHidden/>
              </w:rPr>
              <w:t>2.2 Estrutura do produto</w:t>
              <w:tab/>
              <w:t>13</w:t>
            </w:r>
          </w:hyperlink>
        </w:p>
        <w:p>
          <w:pPr>
            <w:pStyle w:val="TOC2"/>
            <w:tabs>
              <w:tab w:val="clear" w:pos="720"/>
              <w:tab w:val="right" w:pos="9523" w:leader="dot"/>
            </w:tabs>
            <w:rPr/>
          </w:pPr>
          <w:hyperlink w:anchor="__RefHeading___Toc8720_608013930" w:tooltip="Mapa de páginas e percurso de navegação">
            <w:r>
              <w:rPr>
                <w:rStyle w:val="IndexLink"/>
                <w:webHidden/>
              </w:rPr>
              <w:t>2.3 Mapa de páginas e percurso de navegação</w:t>
              <w:tab/>
              <w:t>14</w:t>
            </w:r>
          </w:hyperlink>
        </w:p>
        <w:p>
          <w:pPr>
            <w:pStyle w:val="TOC2"/>
            <w:tabs>
              <w:tab w:val="clear" w:pos="720"/>
              <w:tab w:val="right" w:pos="9523" w:leader="dot"/>
            </w:tabs>
            <w:rPr/>
          </w:pPr>
          <w:hyperlink w:anchor="__RefHeading___Toc8722_608013930" w:tooltip="Composição da interface">
            <w:r>
              <w:rPr>
                <w:rStyle w:val="IndexLink"/>
                <w:webHidden/>
              </w:rPr>
              <w:t>2.4 Composição da interface</w:t>
              <w:tab/>
              <w:t>16</w:t>
            </w:r>
          </w:hyperlink>
        </w:p>
        <w:p>
          <w:pPr>
            <w:pStyle w:val="TOC2"/>
            <w:tabs>
              <w:tab w:val="clear" w:pos="720"/>
              <w:tab w:val="right" w:pos="9523" w:leader="dot"/>
            </w:tabs>
            <w:rPr/>
          </w:pPr>
          <w:hyperlink w:anchor="__RefHeading___Toc8724_608013930" w:tooltip="Catálogos, textos e identidade visual">
            <w:r>
              <w:rPr>
                <w:rStyle w:val="IndexLink"/>
                <w:webHidden/>
              </w:rPr>
              <w:t>2.5 Catálogos, textos e identidade visual</w:t>
              <w:tab/>
              <w:t>17</w:t>
            </w:r>
          </w:hyperlink>
        </w:p>
        <w:p>
          <w:pPr>
            <w:pStyle w:val="TOC2"/>
            <w:tabs>
              <w:tab w:val="clear" w:pos="720"/>
              <w:tab w:val="right" w:pos="9523" w:leader="dot"/>
            </w:tabs>
            <w:rPr/>
          </w:pPr>
          <w:hyperlink w:anchor="__RefHeading___Toc8726_608013930" w:tooltip="Interações e recursos globais">
            <w:r>
              <w:rPr>
                <w:rStyle w:val="IndexLink"/>
                <w:webHidden/>
              </w:rPr>
              <w:t>2.6 Interações e recursos globais</w:t>
              <w:tab/>
              <w:t>18</w:t>
            </w:r>
          </w:hyperlink>
        </w:p>
        <w:p>
          <w:pPr>
            <w:pStyle w:val="TOC2"/>
            <w:tabs>
              <w:tab w:val="clear" w:pos="720"/>
              <w:tab w:val="right" w:pos="9523" w:leader="dot"/>
            </w:tabs>
            <w:rPr/>
          </w:pPr>
          <w:hyperlink w:anchor="__RefHeading___Toc8728_608013930" w:tooltip="Fronteiras entre as camadas">
            <w:r>
              <w:rPr>
                <w:rStyle w:val="IndexLink"/>
                <w:webHidden/>
              </w:rPr>
              <w:t>2.7 Fronteiras entre as camadas</w:t>
              <w:tab/>
              <w:t>19</w:t>
            </w:r>
          </w:hyperlink>
        </w:p>
        <w:p>
          <w:pPr>
            <w:pStyle w:val="TOC2"/>
            <w:tabs>
              <w:tab w:val="clear" w:pos="720"/>
              <w:tab w:val="right" w:pos="9523" w:leader="dot"/>
            </w:tabs>
            <w:rPr/>
          </w:pPr>
          <w:hyperlink w:anchor="__RefHeading___Toc8730_608013930" w:tooltip="Operação principal conectando as camadas">
            <w:r>
              <w:rPr>
                <w:rStyle w:val="IndexLink"/>
                <w:webHidden/>
              </w:rPr>
              <w:t>2.8 Operação principal conectando as camadas</w:t>
              <w:tab/>
              <w:t>20</w:t>
            </w:r>
          </w:hyperlink>
        </w:p>
        <w:p>
          <w:pPr>
            <w:pStyle w:val="TOC1"/>
            <w:tabs>
              <w:tab w:val="clear" w:pos="720"/>
              <w:tab w:val="right" w:pos="9523" w:leader="dot"/>
            </w:tabs>
            <w:rPr/>
          </w:pPr>
          <w:hyperlink w:anchor="__RefHeading___Toc8732_608013930" w:tooltip="Interface web, navegação e interação">
            <w:r>
              <w:rPr>
                <w:rStyle w:val="IndexLink"/>
                <w:webHidden/>
              </w:rPr>
              <w:t>3 Interface web, navegação e interação</w:t>
              <w:tab/>
              <w:t>22</w:t>
            </w:r>
          </w:hyperlink>
        </w:p>
        <w:p>
          <w:pPr>
            <w:pStyle w:val="TOC2"/>
            <w:tabs>
              <w:tab w:val="clear" w:pos="720"/>
              <w:tab w:val="right" w:pos="9523" w:leader="dot"/>
            </w:tabs>
            <w:rPr/>
          </w:pPr>
          <w:hyperlink w:anchor="__RefHeading___Toc8734_608013930" w:tooltip="Montagem da aplicação">
            <w:r>
              <w:rPr>
                <w:rStyle w:val="IndexLink"/>
                <w:webHidden/>
              </w:rPr>
              <w:t>3.1 Montagem da aplicação</w:t>
              <w:tab/>
              <w:t>22</w:t>
            </w:r>
          </w:hyperlink>
        </w:p>
        <w:p>
          <w:pPr>
            <w:pStyle w:val="TOC2"/>
            <w:tabs>
              <w:tab w:val="clear" w:pos="720"/>
              <w:tab w:val="right" w:pos="9523" w:leader="dot"/>
            </w:tabs>
            <w:rPr/>
          </w:pPr>
          <w:hyperlink w:anchor="__RefHeading___Toc8736_608013930" w:tooltip="Rotas e páginas">
            <w:r>
              <w:rPr>
                <w:rStyle w:val="IndexLink"/>
                <w:webHidden/>
              </w:rPr>
              <w:t>3.2 Rotas e páginas</w:t>
              <w:tab/>
              <w:t>22</w:t>
            </w:r>
          </w:hyperlink>
        </w:p>
        <w:p>
          <w:pPr>
            <w:pStyle w:val="TOC2"/>
            <w:tabs>
              <w:tab w:val="clear" w:pos="720"/>
              <w:tab w:val="right" w:pos="9523" w:leader="dot"/>
            </w:tabs>
            <w:rPr/>
          </w:pPr>
          <w:hyperlink w:anchor="__RefHeading___Toc8738_608013930" w:tooltip="Layouts e navegação">
            <w:r>
              <w:rPr>
                <w:rStyle w:val="IndexLink"/>
                <w:webHidden/>
              </w:rPr>
              <w:t>3.3 Layouts e navegação</w:t>
              <w:tab/>
              <w:t>23</w:t>
            </w:r>
          </w:hyperlink>
        </w:p>
        <w:p>
          <w:pPr>
            <w:pStyle w:val="TOC2"/>
            <w:tabs>
              <w:tab w:val="clear" w:pos="720"/>
              <w:tab w:val="right" w:pos="9523" w:leader="dot"/>
            </w:tabs>
            <w:rPr/>
          </w:pPr>
          <w:hyperlink w:anchor="__RefHeading___Toc8740_608013930" w:tooltip="Formulários e componentes">
            <w:r>
              <w:rPr>
                <w:rStyle w:val="IndexLink"/>
                <w:webHidden/>
              </w:rPr>
              <w:t>3.4 Formulários e componentes</w:t>
              <w:tab/>
              <w:t>24</w:t>
            </w:r>
          </w:hyperlink>
        </w:p>
        <w:p>
          <w:pPr>
            <w:pStyle w:val="TOC2"/>
            <w:tabs>
              <w:tab w:val="clear" w:pos="720"/>
              <w:tab w:val="right" w:pos="9523" w:leader="dot"/>
            </w:tabs>
            <w:rPr/>
          </w:pPr>
          <w:hyperlink w:anchor="__RefHeading___Toc8742_608013930" w:tooltip="Envio, mensagens e confirmação">
            <w:r>
              <w:rPr>
                <w:rStyle w:val="IndexLink"/>
                <w:webHidden/>
              </w:rPr>
              <w:t>3.5 Envio, mensagens e confirmação</w:t>
              <w:tab/>
              <w:t>29</w:t>
            </w:r>
          </w:hyperlink>
        </w:p>
        <w:p>
          <w:pPr>
            <w:pStyle w:val="TOC2"/>
            <w:tabs>
              <w:tab w:val="clear" w:pos="720"/>
              <w:tab w:val="right" w:pos="9523" w:leader="dot"/>
            </w:tabs>
            <w:rPr/>
          </w:pPr>
          <w:hyperlink w:anchor="__RefHeading___Toc8744_608013930" w:tooltip="Preferências e recursos de acessibilidade">
            <w:r>
              <w:rPr>
                <w:rStyle w:val="IndexLink"/>
                <w:webHidden/>
              </w:rPr>
              <w:t>3.6 Preferências e recursos de acessibilidade</w:t>
              <w:tab/>
              <w:t>30</w:t>
            </w:r>
          </w:hyperlink>
        </w:p>
        <w:p>
          <w:pPr>
            <w:pStyle w:val="TOC2"/>
            <w:tabs>
              <w:tab w:val="clear" w:pos="720"/>
              <w:tab w:val="right" w:pos="9523" w:leader="dot"/>
            </w:tabs>
            <w:rPr/>
          </w:pPr>
          <w:hyperlink w:anchor="__RefHeading___Toc8746_608013930" w:tooltip="Governança e privacidade">
            <w:r>
              <w:rPr>
                <w:rStyle w:val="IndexLink"/>
                <w:webHidden/>
              </w:rPr>
              <w:t>3.7 Governança e privacidade</w:t>
              <w:tab/>
              <w:t>31</w:t>
            </w:r>
          </w:hyperlink>
        </w:p>
        <w:p>
          <w:pPr>
            <w:pStyle w:val="TOC2"/>
            <w:tabs>
              <w:tab w:val="clear" w:pos="720"/>
              <w:tab w:val="right" w:pos="9523" w:leader="dot"/>
            </w:tabs>
            <w:rPr/>
          </w:pPr>
          <w:hyperlink w:anchor="__RefHeading___Toc8748_608013930" w:tooltip="Navegação por teclado e apresentação">
            <w:r>
              <w:rPr>
                <w:rStyle w:val="IndexLink"/>
                <w:webHidden/>
              </w:rPr>
              <w:t>3.8 Navegação por teclado e apresentação</w:t>
              <w:tab/>
              <w:t>32</w:t>
            </w:r>
          </w:hyperlink>
        </w:p>
        <w:p>
          <w:pPr>
            <w:pStyle w:val="TOC2"/>
            <w:tabs>
              <w:tab w:val="clear" w:pos="720"/>
              <w:tab w:val="right" w:pos="9523" w:leader="dot"/>
            </w:tabs>
            <w:rPr/>
          </w:pPr>
          <w:hyperlink w:anchor="__RefHeading___Toc8750_608013930" w:tooltip="Inventário funcional dos componentes">
            <w:r>
              <w:rPr>
                <w:rStyle w:val="IndexLink"/>
                <w:webHidden/>
              </w:rPr>
              <w:t>3.9 Inventário funcional dos componentes</w:t>
              <w:tab/>
              <w:t>33</w:t>
            </w:r>
          </w:hyperlink>
        </w:p>
        <w:p>
          <w:pPr>
            <w:pStyle w:val="TOC1"/>
            <w:tabs>
              <w:tab w:val="clear" w:pos="720"/>
              <w:tab w:val="right" w:pos="9523" w:leader="dot"/>
            </w:tabs>
            <w:rPr/>
          </w:pPr>
          <w:hyperlink w:anchor="__RefHeading___Toc8752_608013930" w:tooltip="Backend, API e processamento das requisições">
            <w:r>
              <w:rPr>
                <w:rStyle w:val="IndexLink"/>
                <w:webHidden/>
              </w:rPr>
              <w:t>4 Backend, API e processamento das requisições</w:t>
              <w:tab/>
              <w:t>35</w:t>
            </w:r>
          </w:hyperlink>
        </w:p>
        <w:p>
          <w:pPr>
            <w:pStyle w:val="TOC2"/>
            <w:tabs>
              <w:tab w:val="clear" w:pos="720"/>
              <w:tab w:val="right" w:pos="9523" w:leader="dot"/>
            </w:tabs>
            <w:rPr/>
          </w:pPr>
          <w:hyperlink w:anchor="__RefHeading___Toc8754_608013930" w:tooltip="Organização do servidor e ciclo de inicialização">
            <w:r>
              <w:rPr>
                <w:rStyle w:val="IndexLink"/>
                <w:webHidden/>
              </w:rPr>
              <w:t>4.1 Organização do servidor e ciclo de inicialização</w:t>
              <w:tab/>
              <w:t>35</w:t>
            </w:r>
          </w:hyperlink>
        </w:p>
        <w:p>
          <w:pPr>
            <w:pStyle w:val="TOC2"/>
            <w:tabs>
              <w:tab w:val="clear" w:pos="720"/>
              <w:tab w:val="right" w:pos="9523" w:leader="dot"/>
            </w:tabs>
            <w:rPr/>
          </w:pPr>
          <w:hyperlink w:anchor="__RefHeading___Toc8756_608013930" w:tooltip="Sequência dos controles de borda e limites de requisição">
            <w:r>
              <w:rPr>
                <w:rStyle w:val="IndexLink"/>
                <w:webHidden/>
              </w:rPr>
              <w:t>4.2 Sequência dos controles de borda e limites de requisição</w:t>
              <w:tab/>
              <w:t>35</w:t>
            </w:r>
          </w:hyperlink>
        </w:p>
        <w:p>
          <w:pPr>
            <w:pStyle w:val="TOC2"/>
            <w:tabs>
              <w:tab w:val="clear" w:pos="720"/>
              <w:tab w:val="right" w:pos="9523" w:leader="dot"/>
            </w:tabs>
            <w:rPr/>
          </w:pPr>
          <w:hyperlink w:anchor="__RefHeading___Toc8758_608013930" w:tooltip="Inventário da API e composição dos caminhos">
            <w:r>
              <w:rPr>
                <w:rStyle w:val="IndexLink"/>
                <w:webHidden/>
              </w:rPr>
              <w:t>4.3 Inventário da API e composição dos caminhos</w:t>
              <w:tab/>
              <w:t>37</w:t>
            </w:r>
          </w:hyperlink>
        </w:p>
        <w:p>
          <w:pPr>
            <w:pStyle w:val="TOC2"/>
            <w:tabs>
              <w:tab w:val="clear" w:pos="720"/>
              <w:tab w:val="right" w:pos="9523" w:leader="dot"/>
            </w:tabs>
            <w:rPr/>
          </w:pPr>
          <w:hyperlink w:anchor="__RefHeading___Toc8760_608013930" w:tooltip="Autenticação, autorização e semântica das respostas">
            <w:r>
              <w:rPr>
                <w:rStyle w:val="IndexLink"/>
                <w:webHidden/>
              </w:rPr>
              <w:t>4.4 Autenticação, autorização e semântica das respostas</w:t>
              <w:tab/>
              <w:t>39</w:t>
            </w:r>
          </w:hyperlink>
        </w:p>
        <w:p>
          <w:pPr>
            <w:pStyle w:val="TOC2"/>
            <w:tabs>
              <w:tab w:val="clear" w:pos="720"/>
              <w:tab w:val="right" w:pos="9523" w:leader="dot"/>
            </w:tabs>
            <w:rPr/>
          </w:pPr>
          <w:hyperlink w:anchor="__RefHeading___Toc8762_608013930" w:tooltip="Contrato cadastral e criação do perfil">
            <w:r>
              <w:rPr>
                <w:rStyle w:val="IndexLink"/>
                <w:webHidden/>
              </w:rPr>
              <w:t>4.5 Contrato cadastral e criação do perfil</w:t>
              <w:tab/>
              <w:t>40</w:t>
            </w:r>
          </w:hyperlink>
        </w:p>
        <w:p>
          <w:pPr>
            <w:pStyle w:val="TOC2"/>
            <w:tabs>
              <w:tab w:val="clear" w:pos="720"/>
              <w:tab w:val="right" w:pos="9523" w:leader="dot"/>
            </w:tabs>
            <w:rPr/>
          </w:pPr>
          <w:hyperlink w:anchor="__RefHeading___Toc8764_608013930" w:tooltip="Leituras públicas, cache e resposta de sessão">
            <w:r>
              <w:rPr>
                <w:rStyle w:val="IndexLink"/>
                <w:webHidden/>
              </w:rPr>
              <w:t>4.6 Leituras públicas, cache e resposta de sessão</w:t>
              <w:tab/>
              <w:t>42</w:t>
            </w:r>
          </w:hyperlink>
        </w:p>
        <w:p>
          <w:pPr>
            <w:pStyle w:val="TOC2"/>
            <w:tabs>
              <w:tab w:val="clear" w:pos="720"/>
              <w:tab w:val="right" w:pos="9523" w:leader="dot"/>
            </w:tabs>
            <w:rPr/>
          </w:pPr>
          <w:hyperlink w:anchor="__RefHeading___Toc8766_608013930" w:tooltip="Jornadas de cursos, transições e contagem de matrículas">
            <w:r>
              <w:rPr>
                <w:rStyle w:val="IndexLink"/>
                <w:webHidden/>
              </w:rPr>
              <w:t>4.7 Jornadas de cursos, transições e contagem de matrículas</w:t>
              <w:tab/>
              <w:t>42</w:t>
            </w:r>
          </w:hyperlink>
        </w:p>
        <w:p>
          <w:pPr>
            <w:pStyle w:val="TOC2"/>
            <w:tabs>
              <w:tab w:val="clear" w:pos="720"/>
              <w:tab w:val="right" w:pos="9523" w:leader="dot"/>
            </w:tabs>
            <w:rPr/>
          </w:pPr>
          <w:hyperlink w:anchor="__RefHeading___Toc8768_608013930" w:tooltip="Certificados e avaliação: contrato, verificações e falha parcial">
            <w:r>
              <w:rPr>
                <w:rStyle w:val="IndexLink"/>
                <w:webHidden/>
              </w:rPr>
              <w:t>4.8 Certificados e avaliação: contrato, verificações e falha parcial</w:t>
              <w:tab/>
              <w:t>44</w:t>
            </w:r>
          </w:hyperlink>
        </w:p>
        <w:p>
          <w:pPr>
            <w:pStyle w:val="TOC2"/>
            <w:tabs>
              <w:tab w:val="clear" w:pos="720"/>
              <w:tab w:val="right" w:pos="9523" w:leader="dot"/>
            </w:tabs>
            <w:rPr/>
          </w:pPr>
          <w:hyperlink w:anchor="__RefHeading___Toc8770_608013930" w:tooltip="Jornadas de vagas e declaração de resultado">
            <w:r>
              <w:rPr>
                <w:rStyle w:val="IndexLink"/>
                <w:webHidden/>
              </w:rPr>
              <w:t>4.9 Jornadas de vagas e declaração de resultado</w:t>
              <w:tab/>
              <w:t>46</w:t>
            </w:r>
          </w:hyperlink>
        </w:p>
        <w:p>
          <w:pPr>
            <w:pStyle w:val="TOC2"/>
            <w:tabs>
              <w:tab w:val="clear" w:pos="720"/>
              <w:tab w:val="right" w:pos="9523" w:leader="dot"/>
            </w:tabs>
            <w:rPr/>
          </w:pPr>
          <w:hyperlink w:anchor="__RefHeading___Toc8772_608013930" w:tooltip="Contato, suporte e consultas acadêmicas e-MEC">
            <w:r>
              <w:rPr>
                <w:rStyle w:val="IndexLink"/>
                <w:webHidden/>
              </w:rPr>
              <w:t>4.10 Contato, suporte e consultas acadêmicas e-MEC</w:t>
              <w:tab/>
              <w:t>47</w:t>
            </w:r>
          </w:hyperlink>
        </w:p>
        <w:p>
          <w:pPr>
            <w:pStyle w:val="TOC2"/>
            <w:tabs>
              <w:tab w:val="clear" w:pos="720"/>
              <w:tab w:val="right" w:pos="9523" w:leader="dot"/>
            </w:tabs>
            <w:rPr/>
          </w:pPr>
          <w:hyperlink w:anchor="__RefHeading___Toc8774_608013930" w:tooltip="Integração cliente, repetição e limites do processamento">
            <w:r>
              <w:rPr>
                <w:rStyle w:val="IndexLink"/>
                <w:webHidden/>
              </w:rPr>
              <w:t>4.11 Integração cliente, repetição e limites do processamento</w:t>
              <w:tab/>
              <w:t>49</w:t>
            </w:r>
          </w:hyperlink>
        </w:p>
        <w:p>
          <w:pPr>
            <w:pStyle w:val="TOC1"/>
            <w:tabs>
              <w:tab w:val="clear" w:pos="720"/>
              <w:tab w:val="right" w:pos="9523" w:leader="dot"/>
            </w:tabs>
            <w:rPr/>
          </w:pPr>
          <w:hyperlink w:anchor="__RefHeading___Toc8776_608013930" w:tooltip="Serviços, dados, persistência e criptografia">
            <w:r>
              <w:rPr>
                <w:rStyle w:val="IndexLink"/>
                <w:webHidden/>
              </w:rPr>
              <w:t>5 Serviços, dados, persistência e criptografia</w:t>
              <w:tab/>
              <w:t>50</w:t>
            </w:r>
          </w:hyperlink>
        </w:p>
        <w:p>
          <w:pPr>
            <w:pStyle w:val="TOC2"/>
            <w:tabs>
              <w:tab w:val="clear" w:pos="720"/>
              <w:tab w:val="right" w:pos="9523" w:leader="dot"/>
            </w:tabs>
            <w:rPr/>
          </w:pPr>
          <w:hyperlink w:anchor="__RefHeading___Toc8778_608013930" w:tooltip="Configuração dos serviços e seleção das bases">
            <w:r>
              <w:rPr>
                <w:rStyle w:val="IndexLink"/>
                <w:webHidden/>
              </w:rPr>
              <w:t>5.1 Configuração dos serviços e seleção das bases</w:t>
              <w:tab/>
              <w:t>50</w:t>
            </w:r>
          </w:hyperlink>
        </w:p>
        <w:p>
          <w:pPr>
            <w:pStyle w:val="TOC2"/>
            <w:tabs>
              <w:tab w:val="clear" w:pos="720"/>
              <w:tab w:val="right" w:pos="9523" w:leader="dot"/>
            </w:tabs>
            <w:rPr/>
          </w:pPr>
          <w:hyperlink w:anchor="__RefHeading___Toc8780_608013930" w:tooltip="Entidades, coleções e vínculos">
            <w:r>
              <w:rPr>
                <w:rStyle w:val="IndexLink"/>
                <w:webHidden/>
              </w:rPr>
              <w:t>5.2 Entidades, coleções e vínculos</w:t>
              <w:tab/>
              <w:t>51</w:t>
            </w:r>
          </w:hyperlink>
        </w:p>
        <w:p>
          <w:pPr>
            <w:pStyle w:val="TOC2"/>
            <w:tabs>
              <w:tab w:val="clear" w:pos="720"/>
              <w:tab w:val="right" w:pos="9523" w:leader="dot"/>
            </w:tabs>
            <w:rPr/>
          </w:pPr>
          <w:hyperlink w:anchor="__RefHeading___Toc8782_608013930" w:tooltip="Agregação, capacidade e crescimento">
            <w:r>
              <w:rPr>
                <w:rStyle w:val="IndexLink"/>
                <w:webHidden/>
              </w:rPr>
              <w:t>5.3 Agregação, capacidade e crescimento</w:t>
              <w:tab/>
              <w:t>62</w:t>
            </w:r>
          </w:hyperlink>
        </w:p>
        <w:p>
          <w:pPr>
            <w:pStyle w:val="TOC2"/>
            <w:tabs>
              <w:tab w:val="clear" w:pos="720"/>
              <w:tab w:val="right" w:pos="9523" w:leader="dot"/>
            </w:tabs>
            <w:rPr/>
          </w:pPr>
          <w:hyperlink w:anchor="__RefHeading___Toc8784_608013930" w:tooltip="Transações, unicidade e concorrência">
            <w:r>
              <w:rPr>
                <w:rStyle w:val="IndexLink"/>
                <w:webHidden/>
              </w:rPr>
              <w:t>5.4 Transações, unicidade e concorrência</w:t>
              <w:tab/>
              <w:t>63</w:t>
            </w:r>
          </w:hyperlink>
        </w:p>
        <w:p>
          <w:pPr>
            <w:pStyle w:val="TOC2"/>
            <w:tabs>
              <w:tab w:val="clear" w:pos="720"/>
              <w:tab w:val="right" w:pos="9523" w:leader="dot"/>
            </w:tabs>
            <w:rPr/>
          </w:pPr>
          <w:hyperlink w:anchor="__RefHeading___Toc8786_608013930" w:tooltip="Hashes, HMAC e cifragem">
            <w:r>
              <w:rPr>
                <w:rStyle w:val="IndexLink"/>
                <w:webHidden/>
              </w:rPr>
              <w:t>5.5 Hashes, HMAC e cifragem</w:t>
              <w:tab/>
              <w:t>65</w:t>
            </w:r>
          </w:hyperlink>
        </w:p>
        <w:p>
          <w:pPr>
            <w:pStyle w:val="TOC2"/>
            <w:tabs>
              <w:tab w:val="clear" w:pos="720"/>
              <w:tab w:val="right" w:pos="9523" w:leader="dot"/>
            </w:tabs>
            <w:rPr/>
          </w:pPr>
          <w:hyperlink w:anchor="__RefHeading___Toc8788_608013930" w:tooltip="Logs, sanitização e minimização das respostas">
            <w:r>
              <w:rPr>
                <w:rStyle w:val="IndexLink"/>
                <w:webHidden/>
              </w:rPr>
              <w:t>5.6 Logs, sanitização e minimização das respostas</w:t>
              <w:tab/>
              <w:t>66</w:t>
            </w:r>
          </w:hyperlink>
        </w:p>
        <w:p>
          <w:pPr>
            <w:pStyle w:val="TOC1"/>
            <w:tabs>
              <w:tab w:val="clear" w:pos="720"/>
              <w:tab w:val="right" w:pos="9523" w:leader="dot"/>
            </w:tabs>
            <w:rPr/>
          </w:pPr>
          <w:hyperlink w:anchor="__RefHeading___Toc8790_608013930" w:tooltip="HTTP, integridade e distribuição">
            <w:r>
              <w:rPr>
                <w:rStyle w:val="IndexLink"/>
                <w:webHidden/>
              </w:rPr>
              <w:t>6 HTTP, integridade e distribuição</w:t>
              <w:tab/>
              <w:t>68</w:t>
            </w:r>
          </w:hyperlink>
        </w:p>
        <w:p>
          <w:pPr>
            <w:pStyle w:val="TOC2"/>
            <w:tabs>
              <w:tab w:val="clear" w:pos="720"/>
              <w:tab w:val="right" w:pos="9523" w:leader="dot"/>
            </w:tabs>
            <w:rPr/>
          </w:pPr>
          <w:hyperlink w:anchor="__RefHeading___Toc8792_608013930" w:tooltip="Políticas HTTP e fronteira de responsabilidade">
            <w:r>
              <w:rPr>
                <w:rStyle w:val="IndexLink"/>
                <w:webHidden/>
              </w:rPr>
              <w:t>6.1 Políticas HTTP e fronteira de responsabilidade</w:t>
              <w:tab/>
              <w:t>68</w:t>
            </w:r>
          </w:hyperlink>
        </w:p>
        <w:p>
          <w:pPr>
            <w:pStyle w:val="TOC2"/>
            <w:tabs>
              <w:tab w:val="clear" w:pos="720"/>
              <w:tab w:val="right" w:pos="9523" w:leader="dot"/>
            </w:tabs>
            <w:rPr/>
          </w:pPr>
          <w:hyperlink w:anchor="__RefHeading___Toc8794_608013930" w:tooltip="Content Security Policy e integrações permitidas">
            <w:r>
              <w:rPr>
                <w:rStyle w:val="IndexLink"/>
                <w:webHidden/>
              </w:rPr>
              <w:t>6.2 Content Security Policy e integrações permitidas</w:t>
              <w:tab/>
              <w:t>69</w:t>
            </w:r>
          </w:hyperlink>
        </w:p>
        <w:p>
          <w:pPr>
            <w:pStyle w:val="TOC2"/>
            <w:tabs>
              <w:tab w:val="clear" w:pos="720"/>
              <w:tab w:val="right" w:pos="9523" w:leader="dot"/>
            </w:tabs>
            <w:rPr/>
          </w:pPr>
          <w:hyperlink w:anchor="__RefHeading___Toc8796_608013930" w:tooltip="Compartilhamento público, cache HTTP e fallback">
            <w:r>
              <w:rPr>
                <w:rStyle w:val="IndexLink"/>
                <w:webHidden/>
              </w:rPr>
              <w:t>6.3 Compartilhamento público, cache HTTP e fallback</w:t>
              <w:tab/>
              <w:t>71</w:t>
            </w:r>
          </w:hyperlink>
        </w:p>
        <w:p>
          <w:pPr>
            <w:pStyle w:val="TOC2"/>
            <w:tabs>
              <w:tab w:val="clear" w:pos="720"/>
              <w:tab w:val="right" w:pos="9523" w:leader="dot"/>
            </w:tabs>
            <w:rPr/>
          </w:pPr>
          <w:hyperlink w:anchor="__RefHeading___Toc8798_608013930" w:tooltip="Integridade dos arquivos gerados no build">
            <w:r>
              <w:rPr>
                <w:rStyle w:val="IndexLink"/>
                <w:webHidden/>
              </w:rPr>
              <w:t>6.4 Integridade dos arquivos gerados no build</w:t>
              <w:tab/>
              <w:t>72</w:t>
            </w:r>
          </w:hyperlink>
        </w:p>
        <w:p>
          <w:pPr>
            <w:pStyle w:val="TOC2"/>
            <w:tabs>
              <w:tab w:val="clear" w:pos="720"/>
              <w:tab w:val="right" w:pos="9523" w:leader="dot"/>
            </w:tabs>
            <w:rPr/>
          </w:pPr>
          <w:hyperlink w:anchor="__RefHeading___Toc8800_608013930" w:tooltip="VLibras: carregamento, persistência e recuperação">
            <w:r>
              <w:rPr>
                <w:rStyle w:val="IndexLink"/>
                <w:webHidden/>
              </w:rPr>
              <w:t>6.5 VLibras: carregamento, persistência e recuperação</w:t>
              <w:tab/>
              <w:t>73</w:t>
            </w:r>
          </w:hyperlink>
        </w:p>
        <w:p>
          <w:pPr>
            <w:pStyle w:val="TOC2"/>
            <w:tabs>
              <w:tab w:val="clear" w:pos="720"/>
              <w:tab w:val="right" w:pos="9523" w:leader="dot"/>
            </w:tabs>
            <w:rPr/>
          </w:pPr>
          <w:hyperlink w:anchor="__RefHeading___Toc8802_608013930" w:tooltip="Metadados, descoberta e recursos públicos">
            <w:r>
              <w:rPr>
                <w:rStyle w:val="IndexLink"/>
                <w:webHidden/>
              </w:rPr>
              <w:t>6.6 Metadados, descoberta e recursos públicos</w:t>
              <w:tab/>
              <w:t>74</w:t>
            </w:r>
          </w:hyperlink>
        </w:p>
        <w:p>
          <w:pPr>
            <w:pStyle w:val="TOC1"/>
            <w:tabs>
              <w:tab w:val="clear" w:pos="720"/>
              <w:tab w:val="right" w:pos="9523" w:leader="dot"/>
            </w:tabs>
            <w:rPr/>
          </w:pPr>
          <w:hyperlink w:anchor="__RefHeading___Toc8804_608013930" w:tooltip="Operação, configuração e testes">
            <w:r>
              <w:rPr>
                <w:rStyle w:val="IndexLink"/>
                <w:webHidden/>
              </w:rPr>
              <w:t>7 Operação, configuração e testes</w:t>
              <w:tab/>
              <w:t>76</w:t>
            </w:r>
          </w:hyperlink>
        </w:p>
        <w:p>
          <w:pPr>
            <w:pStyle w:val="TOC2"/>
            <w:tabs>
              <w:tab w:val="clear" w:pos="720"/>
              <w:tab w:val="right" w:pos="9523" w:leader="dot"/>
            </w:tabs>
            <w:rPr/>
          </w:pPr>
          <w:hyperlink w:anchor="__RefHeading___Toc8806_608013930" w:tooltip="Runtime, versões e instalação reproduzível">
            <w:r>
              <w:rPr>
                <w:rStyle w:val="IndexLink"/>
                <w:webHidden/>
              </w:rPr>
              <w:t>7.1 Runtime, versões e instalação reproduzível</w:t>
              <w:tab/>
              <w:t>76</w:t>
            </w:r>
          </w:hyperlink>
        </w:p>
        <w:p>
          <w:pPr>
            <w:pStyle w:val="TOC2"/>
            <w:tabs>
              <w:tab w:val="clear" w:pos="720"/>
              <w:tab w:val="right" w:pos="9523" w:leader="dot"/>
            </w:tabs>
            <w:rPr/>
          </w:pPr>
          <w:hyperlink w:anchor="__RefHeading___Toc8808_608013930" w:tooltip="Comandos e sequência de geração">
            <w:r>
              <w:rPr>
                <w:rStyle w:val="IndexLink"/>
                <w:webHidden/>
              </w:rPr>
              <w:t>7.2 Comandos e sequência de geração</w:t>
              <w:tab/>
              <w:t>77</w:t>
            </w:r>
          </w:hyperlink>
        </w:p>
        <w:p>
          <w:pPr>
            <w:pStyle w:val="TOC2"/>
            <w:tabs>
              <w:tab w:val="clear" w:pos="720"/>
              <w:tab w:val="right" w:pos="9523" w:leader="dot"/>
            </w:tabs>
            <w:rPr/>
          </w:pPr>
          <w:hyperlink w:anchor="__RefHeading___Toc8810_608013930" w:tooltip="Desenvolvimento, produção e distribuição monolítica">
            <w:r>
              <w:rPr>
                <w:rStyle w:val="IndexLink"/>
                <w:webHidden/>
              </w:rPr>
              <w:t>7.3 Desenvolvimento, produção e distribuição monolítica</w:t>
              <w:tab/>
              <w:t>78</w:t>
            </w:r>
          </w:hyperlink>
        </w:p>
        <w:p>
          <w:pPr>
            <w:pStyle w:val="TOC2"/>
            <w:tabs>
              <w:tab w:val="clear" w:pos="720"/>
              <w:tab w:val="right" w:pos="9523" w:leader="dot"/>
            </w:tabs>
            <w:rPr/>
          </w:pPr>
          <w:hyperlink w:anchor="__RefHeading___Toc8812_608013930" w:tooltip="Variáveis, credenciais e precedência">
            <w:r>
              <w:rPr>
                <w:rStyle w:val="IndexLink"/>
                <w:webHidden/>
              </w:rPr>
              <w:t>7.4 Variáveis, credenciais e precedência</w:t>
              <w:tab/>
              <w:t>80</w:t>
            </w:r>
          </w:hyperlink>
        </w:p>
        <w:p>
          <w:pPr>
            <w:pStyle w:val="TOC2"/>
            <w:tabs>
              <w:tab w:val="clear" w:pos="720"/>
              <w:tab w:val="right" w:pos="9523" w:leader="dot"/>
            </w:tabs>
            <w:rPr/>
          </w:pPr>
          <w:hyperlink w:anchor="__RefHeading___Toc8814_608013930" w:tooltip="Serviços de dados, manutenção e continuidade">
            <w:r>
              <w:rPr>
                <w:rStyle w:val="IndexLink"/>
                <w:webHidden/>
              </w:rPr>
              <w:t>7.5 Serviços de dados, manutenção e continuidade</w:t>
              <w:tab/>
              <w:t>81</w:t>
            </w:r>
          </w:hyperlink>
        </w:p>
        <w:p>
          <w:pPr>
            <w:pStyle w:val="TOC2"/>
            <w:tabs>
              <w:tab w:val="clear" w:pos="720"/>
              <w:tab w:val="right" w:pos="9523" w:leader="dot"/>
            </w:tabs>
            <w:rPr/>
          </w:pPr>
          <w:hyperlink w:anchor="__RefHeading___Toc8816_608013930" w:tooltip="Testes disponíveis e resultados históricos relatados">
            <w:r>
              <w:rPr>
                <w:rStyle w:val="IndexLink"/>
                <w:webHidden/>
              </w:rPr>
              <w:t>7.6 Testes disponíveis e resultados históricos relatados</w:t>
              <w:tab/>
              <w:t>83</w:t>
            </w:r>
          </w:hyperlink>
        </w:p>
        <w:p>
          <w:pPr>
            <w:pStyle w:val="TOC2"/>
            <w:tabs>
              <w:tab w:val="clear" w:pos="720"/>
              <w:tab w:val="right" w:pos="9523" w:leader="dot"/>
            </w:tabs>
            <w:rPr/>
          </w:pPr>
          <w:hyperlink w:anchor="__RefHeading___Toc8818_608013930" w:tooltip="Métricas estáticas e interpretação dos avisos">
            <w:r>
              <w:rPr>
                <w:rStyle w:val="IndexLink"/>
                <w:webHidden/>
              </w:rPr>
              <w:t>7.7 Métricas estáticas e interpretação dos avisos</w:t>
              <w:tab/>
              <w:t>85</w:t>
            </w:r>
          </w:hyperlink>
        </w:p>
        <w:p>
          <w:pPr>
            <w:pStyle w:val="TOC2"/>
            <w:tabs>
              <w:tab w:val="clear" w:pos="720"/>
              <w:tab w:val="right" w:pos="9523" w:leader="dot"/>
            </w:tabs>
            <w:rPr/>
          </w:pPr>
          <w:hyperlink w:anchor="__RefHeading___Toc8820_608013930" w:tooltip="Catálogo operacional dos arquivos e artefatos históricos">
            <w:r>
              <w:rPr>
                <w:rStyle w:val="IndexLink"/>
                <w:webHidden/>
              </w:rPr>
              <w:t>7.8 Catálogo operacional dos arquivos e artefatos históricos</w:t>
              <w:tab/>
              <w:t>86</w:t>
            </w:r>
          </w:hyperlink>
        </w:p>
        <w:p>
          <w:pPr>
            <w:pStyle w:val="TOC1"/>
            <w:tabs>
              <w:tab w:val="clear" w:pos="720"/>
              <w:tab w:val="right" w:pos="9523" w:leader="dot"/>
            </w:tabs>
            <w:rPr/>
          </w:pPr>
          <w:hyperlink w:anchor="__RefHeading___Toc8822_608013930" w:tooltip="Glossário e referências">
            <w:r>
              <w:rPr>
                <w:rStyle w:val="IndexLink"/>
                <w:webHidden/>
              </w:rPr>
              <w:t>8 Glossário e referências</w:t>
              <w:tab/>
              <w:t>88</w:t>
            </w:r>
          </w:hyperlink>
        </w:p>
        <w:p>
          <w:pPr>
            <w:pStyle w:val="TOC2"/>
            <w:tabs>
              <w:tab w:val="clear" w:pos="720"/>
              <w:tab w:val="right" w:pos="9523" w:leader="dot"/>
            </w:tabs>
            <w:rPr/>
          </w:pPr>
          <w:hyperlink w:anchor="__RefHeading___Toc8824_608013930" w:tooltip="Glossário de termos do sistema">
            <w:r>
              <w:rPr>
                <w:rStyle w:val="IndexLink"/>
                <w:webHidden/>
              </w:rPr>
              <w:t>8.1 Glossário de termos do sistema</w:t>
              <w:tab/>
              <w:t>88</w:t>
            </w:r>
          </w:hyperlink>
        </w:p>
        <w:p>
          <w:pPr>
            <w:pStyle w:val="TOC2"/>
            <w:tabs>
              <w:tab w:val="clear" w:pos="720"/>
              <w:tab w:val="right" w:pos="9523" w:leader="dot"/>
            </w:tabs>
            <w:rPr/>
          </w:pPr>
          <w:hyperlink w:anchor="__RefHeading___Toc8826_608013930" w:tooltip="Fontes de implementação">
            <w:r>
              <w:rPr>
                <w:rStyle w:val="IndexLink"/>
                <w:webHidden/>
              </w:rPr>
              <w:t>8.2 Fontes de implementação</w:t>
              <w:tab/>
              <w:t>91</w:t>
            </w:r>
          </w:hyperlink>
        </w:p>
        <w:p>
          <w:pPr>
            <w:pStyle w:val="TOC2"/>
            <w:tabs>
              <w:tab w:val="clear" w:pos="720"/>
              <w:tab w:val="right" w:pos="9523" w:leader="dot"/>
            </w:tabs>
            <w:rPr/>
          </w:pPr>
          <w:hyperlink w:anchor="__RefHeading___Toc8828_608013930" w:tooltip="Fontes das evidências externas">
            <w:r>
              <w:rPr>
                <w:rStyle w:val="IndexLink"/>
                <w:webHidden/>
              </w:rPr>
              <w:t>8.3 Fontes das evidências externas</w:t>
              <w:tab/>
              <w:t>93</w:t>
            </w:r>
          </w:hyperlink>
        </w:p>
        <w:p>
          <w:pPr>
            <w:pStyle w:val="TOC2"/>
            <w:tabs>
              <w:tab w:val="clear" w:pos="720"/>
              <w:tab w:val="right" w:pos="9523" w:leader="dot"/>
            </w:tabs>
            <w:rPr/>
          </w:pPr>
          <w:hyperlink w:anchor="__RefHeading___Toc8830_608013930" w:tooltip="Fontes institucionais e informações complementares">
            <w:r>
              <w:rPr>
                <w:rStyle w:val="IndexLink"/>
                <w:webHidden/>
              </w:rPr>
              <w:t>8.4 Fontes institucionais e informações complementares</w:t>
              <w:tab/>
              <w:t>94</w:t>
            </w:r>
          </w:hyperlink>
        </w:p>
        <w:p>
          <w:pPr>
            <w:pStyle w:val="TOC1"/>
            <w:tabs>
              <w:tab w:val="clear" w:pos="720"/>
              <w:tab w:val="right" w:pos="9523" w:leader="dot"/>
            </w:tabs>
            <w:rPr/>
          </w:pPr>
          <w:hyperlink w:anchor="__RefHeading___Toc8832_608013930" w:tooltip="Requisitos, conformidade e pendências">
            <w:r>
              <w:rPr>
                <w:rStyle w:val="IndexLink"/>
                <w:webHidden/>
              </w:rPr>
              <w:t>9 Requisitos, conformidade e pendências</w:t>
              <w:tab/>
              <w:t>95</w:t>
            </w:r>
          </w:hyperlink>
        </w:p>
        <w:p>
          <w:pPr>
            <w:pStyle w:val="TOC2"/>
            <w:tabs>
              <w:tab w:val="clear" w:pos="720"/>
              <w:tab w:val="right" w:pos="9523" w:leader="dot"/>
            </w:tabs>
            <w:rPr/>
          </w:pPr>
          <w:hyperlink w:anchor="__RefHeading___Toc8834_608013930" w:tooltip="Norteadores e natureza dos requisitos">
            <w:r>
              <w:rPr>
                <w:rStyle w:val="IndexLink"/>
                <w:webHidden/>
              </w:rPr>
              <w:t>9.1 Norteadores e natureza dos requisitos</w:t>
              <w:tab/>
              <w:t>95</w:t>
            </w:r>
          </w:hyperlink>
        </w:p>
        <w:p>
          <w:pPr>
            <w:pStyle w:val="TOC2"/>
            <w:tabs>
              <w:tab w:val="clear" w:pos="720"/>
              <w:tab w:val="right" w:pos="9523" w:leader="dot"/>
            </w:tabs>
            <w:rPr/>
          </w:pPr>
          <w:hyperlink w:anchor="__RefHeading___Toc8836_608013930" w:tooltip="Critérios de classificação e de aplicabilidade">
            <w:r>
              <w:rPr>
                <w:rStyle w:val="IndexLink"/>
                <w:webHidden/>
              </w:rPr>
              <w:t>9.2 Critérios de classificação e de aplicabilidade</w:t>
              <w:tab/>
              <w:t>96</w:t>
            </w:r>
          </w:hyperlink>
        </w:p>
        <w:p>
          <w:pPr>
            <w:pStyle w:val="TOC2"/>
            <w:tabs>
              <w:tab w:val="clear" w:pos="720"/>
              <w:tab w:val="right" w:pos="9523" w:leader="dot"/>
            </w:tabs>
            <w:rPr/>
          </w:pPr>
          <w:hyperlink w:anchor="__RefHeading___Toc8838_608013930" w:tooltip="Matriz de arquitetura, identidade e integridade">
            <w:r>
              <w:rPr>
                <w:rStyle w:val="IndexLink"/>
                <w:webHidden/>
              </w:rPr>
              <w:t>9.3 Matriz de arquitetura, identidade e integridade</w:t>
              <w:tab/>
              <w:t>97</w:t>
            </w:r>
          </w:hyperlink>
        </w:p>
        <w:p>
          <w:pPr>
            <w:pStyle w:val="TOC2"/>
            <w:tabs>
              <w:tab w:val="clear" w:pos="720"/>
              <w:tab w:val="right" w:pos="9523" w:leader="dot"/>
            </w:tabs>
            <w:rPr/>
          </w:pPr>
          <w:hyperlink w:anchor="__RefHeading___Toc8840_608013930" w:tooltip="Matriz de dados pessoais e governança">
            <w:r>
              <w:rPr>
                <w:rStyle w:val="IndexLink"/>
                <w:webHidden/>
              </w:rPr>
              <w:t>9.4 Matriz de dados pessoais e governança</w:t>
              <w:tab/>
              <w:t>98</w:t>
            </w:r>
          </w:hyperlink>
        </w:p>
        <w:p>
          <w:pPr>
            <w:pStyle w:val="TOC2"/>
            <w:tabs>
              <w:tab w:val="clear" w:pos="720"/>
              <w:tab w:val="right" w:pos="9523" w:leader="dot"/>
            </w:tabs>
            <w:rPr/>
          </w:pPr>
          <w:hyperlink w:anchor="__RefHeading___Toc8842_608013930" w:tooltip="Matriz de acessibilidade, desempenho e evidências externas">
            <w:r>
              <w:rPr>
                <w:rStyle w:val="IndexLink"/>
                <w:webHidden/>
              </w:rPr>
              <w:t>9.5 Matriz de acessibilidade, desempenho e evidências externas</w:t>
              <w:tab/>
              <w:t>99</w:t>
            </w:r>
          </w:hyperlink>
        </w:p>
        <w:p>
          <w:pPr>
            <w:pStyle w:val="TOC2"/>
            <w:tabs>
              <w:tab w:val="clear" w:pos="720"/>
              <w:tab w:val="right" w:pos="9523" w:leader="dot"/>
            </w:tabs>
            <w:rPr/>
          </w:pPr>
          <w:hyperlink w:anchor="__RefHeading___Toc8844_608013930" w:tooltip="Matriz de manutenção, capacidade e processo">
            <w:r>
              <w:rPr>
                <w:rStyle w:val="IndexLink"/>
                <w:webHidden/>
              </w:rPr>
              <w:t>9.6 Matriz de manutenção, capacidade e processo</w:t>
              <w:tab/>
              <w:t>101</w:t>
            </w:r>
          </w:hyperlink>
        </w:p>
        <w:p>
          <w:pPr>
            <w:pStyle w:val="TOC2"/>
            <w:tabs>
              <w:tab w:val="clear" w:pos="720"/>
              <w:tab w:val="right" w:pos="9523" w:leader="dot"/>
            </w:tabs>
            <w:rPr/>
          </w:pPr>
          <w:hyperlink w:anchor="__RefHeading___Toc8846_608013930" w:tooltip="Pendências, divergências e acompanhamento">
            <w:r>
              <w:rPr>
                <w:rStyle w:val="IndexLink"/>
                <w:webHidden/>
              </w:rPr>
              <w:t>9.7 Pendências, divergências e acompanhamento</w:t>
              <w:tab/>
              <w:t>102</w:t>
            </w:r>
          </w:hyperlink>
        </w:p>
        <w:p>
          <w:pPr>
            <w:pStyle w:val="TOC2"/>
            <w:tabs>
              <w:tab w:val="clear" w:pos="720"/>
              <w:tab w:val="right" w:pos="9523" w:leader="dot"/>
            </w:tabs>
            <w:rPr/>
          </w:pPr>
          <w:hyperlink w:anchor="__RefHeading___Toc8848_608013930" w:tooltip="Referências normativas para consulta institucional">
            <w:r>
              <w:rPr>
                <w:rStyle w:val="IndexLink"/>
                <w:webHidden/>
              </w:rPr>
              <w:t>9.8 Referências normativas para consulta institucional</w:t>
              <w:tab/>
              <w:t>103</w:t>
            </w:r>
          </w:hyperlink>
        </w:p>
        <w:p>
          <w:pPr>
            <w:pStyle w:val="TOC2"/>
            <w:tabs>
              <w:tab w:val="clear" w:pos="720"/>
              <w:tab w:val="right" w:pos="9523" w:leader="dot"/>
            </w:tabs>
            <w:rPr/>
          </w:pPr>
          <w:hyperlink w:anchor="__RefHeading___Toc8850_608013930" w:tooltip="Síntese do atendimento documentado">
            <w:r>
              <w:rPr>
                <w:rStyle w:val="IndexLink"/>
                <w:webHidden/>
              </w:rPr>
              <w:t>9.9 Síntese do atendimento documentado</w:t>
              <w:tab/>
              <w:t>108</w:t>
            </w:r>
          </w:hyperlink>
          <w:r>
            <w:rPr>
              <w:rStyle w:val="IndexLink"/>
            </w:rPr>
            <w:fldChar w:fldCharType="end"/>
          </w:r>
        </w:p>
      </w:sdtContent>
    </w:sdt>
    <w:p>
      <w:pPr>
        <w:pStyle w:val="Normal"/>
        <w:rPr/>
      </w:pPr>
      <w:r>
        <w:rPr/>
      </w:r>
      <w:r>
        <w:br w:type="page"/>
      </w:r>
    </w:p>
    <w:p>
      <w:pPr>
        <w:pStyle w:val="FrontHeading"/>
        <w:keepNext w:val="true"/>
        <w:spacing w:before="0" w:after="100"/>
        <w:rPr/>
      </w:pPr>
      <w:r>
        <w:rPr/>
        <w:t>Identificação documental</w:t>
      </w:r>
    </w:p>
    <w:p>
      <w:pPr>
        <w:pStyle w:val="Normal"/>
        <w:rPr/>
      </w:pPr>
      <w:r>
        <w:rPr/>
        <w:t>Documentação técnica do conector educacional CRA-SP Educa para manutenção, operação e transferência de conhecimento. A edição 1.1 revisa o Word recebido e aplica o modelo visual institucional ao código de referência identificado abaixo.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7143"/>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714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Identificação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Sistema</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CRA-SP Educa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Instituição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Conselho Regional de Administração de São Paulo — CRA-SP</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Edição e data</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 · 16 de outubro de 2026</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Repositório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desenvolvimentoprofissional-oss/educa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Branch e revisão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main · 52c5224d3fb3372e97859468cf1d44439effdc18</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Endereço documentado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hyperlink r:id="rId5">
              <w:r>
                <w:rPr>
                  <w:rStyle w:val="Style"/>
                  <w:color w:val="233B82"/>
                  <w:u w:val="single"/>
                </w:rPr>
                <w:t>https://crasp-educa.ai.studio/</w:t>
              </w:r>
            </w:hyperlink>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Padrão documental</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AGENTE-DOCUMENTACAO.md, versão 1.0; referência visual tecnica (1).pdf. Anexos separados por orientação expressa do responsável.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Fonte de análises</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Análises Site Crasp Educa.pdf, 35 páginas, citado na documentação de entrada. O PDF original dos scanners não foi reapresentado nesta edição.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Referência editorial</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tecnica (1).pdf · Componente Curricular de ASG e ODS · 60 páginas; modelo visual fornecido pelo responsável.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Composição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Nove capítulos; texto e tabelas editáveis; cinco diagramas gráficos. Capturas e relatórios originais serão reunidos posteriormente pelo responsável.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Responsável informado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Adm. Marcelo Torres · Inovação e Desenvolvimento Profissional.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Controle desta edição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1.1 · revisão editorial, gráficos, rastreabilidade e verificação local; código de referência preservado.</w:t>
            </w:r>
          </w:p>
        </w:tc>
      </w:tr>
    </w:tbl>
    <w:p>
      <w:pPr>
        <w:pStyle w:val="Normal"/>
        <w:spacing w:lineRule="auto" w:line="240" w:before="0" w:after="20"/>
        <w:rPr/>
      </w:pPr>
      <w:r>
        <w:rPr/>
      </w:r>
    </w:p>
    <w:p>
      <w:pPr>
        <w:pStyle w:val="Normal"/>
        <w:rPr/>
      </w:pPr>
      <w:r>
        <w:rPr/>
        <w:t>Resultados históricos de scanners e suítes locais são preservados do Word de origem. Seus PDFs e relatórios brutos não foram reapresentados nesta edição. As verificações executadas agora estão separadas na seção 7.6.1; não incluem acesso aos serviços Firebase.</w:t>
      </w:r>
    </w:p>
    <w:p>
      <w:pPr>
        <w:pStyle w:val="Normal"/>
        <w:rPr/>
      </w:pPr>
      <w:r>
        <w:rPr/>
        <w:t>Por orientação expressa do responsável, as capturas e os relatórios originais serão reunidos por ele posteriormente. Este arquivo contém o corpo principal em Word, com conteúdo e diagramas próprios do CRA-SP Educa.</w:t>
      </w:r>
    </w:p>
    <w:p>
      <w:pPr>
        <w:pStyle w:val="Normal"/>
        <w:rPr/>
      </w:pPr>
      <w:r>
        <w:rPr/>
        <w:t xml:space="preserve">As figuras de navegação (Figura </w:t>
      </w:r>
      <w:r>
        <w:rPr/>
        <w:fldChar w:fldCharType="begin"/>
      </w:r>
      <w:r>
        <w:rPr/>
        <w:instrText xml:space="preserve"> REF fig1 \h </w:instrText>
      </w:r>
      <w:r>
        <w:rPr/>
        <w:fldChar w:fldCharType="separate"/>
      </w:r>
      <w:r>
        <w:rPr/>
        <w:t>1</w:t>
      </w:r>
      <w:r>
        <w:rPr/>
        <w:fldChar w:fldCharType="end"/>
      </w:r>
      <w:r>
        <w:rPr/>
        <w:t xml:space="preserve">), camadas (Figura </w:t>
      </w:r>
      <w:r>
        <w:rPr/>
        <w:fldChar w:fldCharType="begin"/>
      </w:r>
      <w:r>
        <w:rPr/>
        <w:instrText xml:space="preserve"> REF fig2 \h </w:instrText>
      </w:r>
      <w:r>
        <w:rPr/>
        <w:fldChar w:fldCharType="separate"/>
      </w:r>
      <w:r>
        <w:rPr/>
        <w:t>2</w:t>
      </w:r>
      <w:r>
        <w:rPr/>
        <w:fldChar w:fldCharType="end"/>
      </w:r>
      <w:r>
        <w:rPr/>
        <w:t xml:space="preserve">), estados (Figura </w:t>
      </w:r>
      <w:r>
        <w:rPr/>
        <w:fldChar w:fldCharType="begin"/>
      </w:r>
      <w:r>
        <w:rPr/>
        <w:instrText xml:space="preserve"> REF fig3 \h </w:instrText>
      </w:r>
      <w:r>
        <w:rPr/>
        <w:fldChar w:fldCharType="separate"/>
      </w:r>
      <w:r>
        <w:rPr/>
        <w:t>3</w:t>
      </w:r>
      <w:r>
        <w:rPr/>
        <w:fldChar w:fldCharType="end"/>
      </w:r>
      <w:r>
        <w:rPr/>
        <w:t xml:space="preserve">), dados (Figura </w:t>
      </w:r>
      <w:r>
        <w:rPr/>
        <w:fldChar w:fldCharType="begin"/>
      </w:r>
      <w:r>
        <w:rPr/>
        <w:instrText xml:space="preserve"> REF fig4 \h </w:instrText>
      </w:r>
      <w:r>
        <w:rPr/>
        <w:fldChar w:fldCharType="separate"/>
      </w:r>
      <w:r>
        <w:rPr/>
        <w:t>4</w:t>
      </w:r>
      <w:r>
        <w:rPr/>
        <w:fldChar w:fldCharType="end"/>
      </w:r>
      <w:r>
        <w:rPr/>
        <w:t xml:space="preserve">) e distribuição (Figura </w:t>
      </w:r>
      <w:r>
        <w:rPr/>
        <w:fldChar w:fldCharType="begin"/>
      </w:r>
      <w:r>
        <w:rPr/>
        <w:instrText xml:space="preserve"> REF fig5 \h </w:instrText>
      </w:r>
      <w:r>
        <w:rPr/>
        <w:fldChar w:fldCharType="separate"/>
      </w:r>
      <w:r>
        <w:rPr/>
        <w:t>5</w:t>
      </w:r>
      <w:r>
        <w:rPr/>
        <w:fldChar w:fldCharType="end"/>
      </w:r>
      <w:r>
        <w:rPr/>
        <w:t>) possuem referências navegáveis.</w:t>
      </w:r>
    </w:p>
    <w:p>
      <w:pPr>
        <w:pStyle w:val="Heading1"/>
        <w:rPr/>
      </w:pPr>
      <w:bookmarkStart w:id="0" w:name="__RefHeading___Toc8704_608013930"/>
      <w:bookmarkEnd w:id="0"/>
      <w:r>
        <w:rPr/>
        <w:t>Resultados externos e metodologia documental</w:t>
      </w:r>
    </w:p>
    <w:p>
      <w:pPr>
        <w:pStyle w:val="Heading2"/>
        <w:rPr/>
      </w:pPr>
      <w:bookmarkStart w:id="1" w:name="__RefHeading___Toc8706_608013930"/>
      <w:bookmarkEnd w:id="1"/>
      <w:r>
        <w:rPr/>
        <w:t>Quadro dos resultados dos scanners</w:t>
      </w:r>
    </w:p>
    <w:p>
      <w:pPr>
        <w:pStyle w:val="Normal"/>
        <w:rPr/>
      </w:pPr>
      <w:r>
        <w:rPr/>
        <w:t xml:space="preserve">Segundo o Word de origem, o material Análises Site Crasp Educa.pdf reúne 35 páginas de evidências externas sobre </w:t>
      </w:r>
      <w:hyperlink r:id="rId6">
        <w:r>
          <w:rPr>
            <w:rStyle w:val="Style"/>
            <w:color w:val="233B82"/>
            <w:u w:val="single"/>
          </w:rPr>
          <w:t>https://crasp-educa.ai.studio/</w:t>
        </w:r>
      </w:hyperlink>
      <w:r>
        <w:rPr/>
        <w:t>. O relato identifica sete ferramentas e oito relatórios, considerando separadamente computador e celular no PageSpeed Insights. Esta edição preserva esses dados e utiliza os identificadores E01 a E08 em todos os capítulos. As referências às páginas indicam a localização declarada no material original, que não foi recebido nesta etapa; vários recortes são continuações de uma execução e não são contados como testes independentes.</w:t>
      </w:r>
    </w:p>
    <w:p>
      <w:pPr>
        <w:pStyle w:val="Normal"/>
        <w:rPr/>
      </w:pPr>
      <w:r>
        <w:rPr/>
        <w:t>Os resultados abaixo são preservados do Word de origem. A edição anterior declara transcrição e conferência do texto e das imagens; essa conferência não foi repetida nesta etapa, pois o PDF de análises não foi fornecido. Notas, métricas, horários e condições permanecem como registrados, sem cálculo de média dos scanners ou conversão em nota geral do código. As capturas e os relatórios originais serão anexados posteriormente pelo responsável.</w:t>
      </w:r>
    </w:p>
    <w:p>
      <w:pPr>
        <w:pStyle w:val="Caption"/>
        <w:keepNext w:val="true"/>
        <w:rPr/>
      </w:pPr>
      <w:r>
        <w:rPr/>
        <w:t xml:space="preserve">Tabela </w:t>
      </w:r>
      <w:bookmarkStart w:id="2" w:name="tbl1"/>
      <w:r>
        <w:rPr/>
        <w:fldChar w:fldCharType="begin"/>
      </w:r>
      <w:r>
        <w:rPr/>
        <w:instrText xml:space="preserve"> SEQ Tabela \* ARABIC </w:instrText>
      </w:r>
      <w:r>
        <w:rPr/>
        <w:fldChar w:fldCharType="separate"/>
      </w:r>
      <w:r>
        <w:rPr/>
        <w:t>1</w:t>
      </w:r>
      <w:r>
        <w:rPr/>
        <w:fldChar w:fldCharType="end"/>
      </w:r>
      <w:bookmarkEnd w:id="2"/>
      <w:r>
        <w:rPr/>
        <w:t xml:space="preserve"> — Resultados externos apresentados no PDF de análises.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211"/>
        <w:gridCol w:w="2948"/>
        <w:gridCol w:w="3287"/>
        <w:gridCol w:w="1078"/>
      </w:tblGrid>
      <w:tr>
        <w:trPr>
          <w:tblHeader w:val="true"/>
          <w:cantSplit/>
        </w:trPr>
        <w:tc>
          <w:tcPr>
            <w:tcW w:w="221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Ferramenta / ID</w:t>
            </w:r>
          </w:p>
        </w:tc>
        <w:tc>
          <w:tcPr>
            <w:tcW w:w="294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registrado</w:t>
            </w:r>
          </w:p>
        </w:tc>
        <w:tc>
          <w:tcPr>
            <w:tcW w:w="328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Data e condição</w:t>
            </w:r>
          </w:p>
        </w:tc>
        <w:tc>
          <w:tcPr>
            <w:tcW w:w="107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Observatory · E01</w:t>
            </w:r>
          </w:p>
        </w:tc>
        <w:tc>
          <w:tcPr>
            <w:tcW w:w="294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 140/100; 11 de 12 verificações aprovadas.</w:t>
            </w:r>
          </w:p>
        </w:tc>
        <w:tc>
          <w:tcPr>
            <w:tcW w:w="328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Horário relativo “2 minutes ago”; data absoluta não visível.</w:t>
            </w:r>
          </w:p>
        </w:tc>
        <w:tc>
          <w:tcPr>
            <w:tcW w:w="107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1</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PageSpeed computador · E02</w:t>
            </w:r>
          </w:p>
        </w:tc>
        <w:tc>
          <w:tcPr>
            <w:tcW w:w="294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Desempenho 100; acessibilidade 100; práticas recomendadas 96; SEO 100; navegação agêntica 4/4.</w:t>
            </w:r>
          </w:p>
        </w:tc>
        <w:tc>
          <w:tcPr>
            <w:tcW w:w="328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12:28:53 PM no título; captura identifica 12:28 PM UTC.</w:t>
            </w:r>
          </w:p>
        </w:tc>
        <w:tc>
          <w:tcPr>
            <w:tcW w:w="107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2–11</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PageSpeed celular · E03</w:t>
            </w:r>
          </w:p>
        </w:tc>
        <w:tc>
          <w:tcPr>
            <w:tcW w:w="294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Desempenho 99; acessibilidade 100; práticas recomendadas 96; SEO 100; navegação agêntica 4/4.</w:t>
            </w:r>
          </w:p>
        </w:tc>
        <w:tc>
          <w:tcPr>
            <w:tcW w:w="328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16/10/2026, 12:28:53 PM no título; captura identifica 12:28 PM UTC.</w:t>
            </w:r>
          </w:p>
        </w:tc>
        <w:tc>
          <w:tcPr>
            <w:tcW w:w="107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12–21</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SecurityHeaders · E04</w:t>
            </w:r>
          </w:p>
        </w:tc>
        <w:tc>
          <w:tcPr>
            <w:tcW w:w="294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w:t>
            </w:r>
          </w:p>
        </w:tc>
        <w:tc>
          <w:tcPr>
            <w:tcW w:w="328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12:28:41 UTC.</w:t>
            </w:r>
          </w:p>
        </w:tc>
        <w:tc>
          <w:tcPr>
            <w:tcW w:w="107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22–23</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SSL Labs · E05</w:t>
            </w:r>
          </w:p>
        </w:tc>
        <w:tc>
          <w:tcPr>
            <w:tcW w:w="294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 nos 16 endpoints relacionados.</w:t>
            </w:r>
          </w:p>
        </w:tc>
        <w:tc>
          <w:tcPr>
            <w:tcW w:w="328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Relatório de 16/10/2026, 12:52:13 UTC.</w:t>
            </w:r>
          </w:p>
        </w:tc>
        <w:tc>
          <w:tcPr>
            <w:tcW w:w="107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24</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WebPageTest · E06</w:t>
            </w:r>
          </w:p>
        </w:tc>
        <w:tc>
          <w:tcPr>
            <w:tcW w:w="294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FCP e LCP 1,148 s; CLS 0; TBT 0 s.</w:t>
            </w:r>
          </w:p>
        </w:tc>
        <w:tc>
          <w:tcPr>
            <w:tcW w:w="328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12:28:48 UTC; desktop / Chrome 152.</w:t>
            </w:r>
          </w:p>
        </w:tc>
        <w:tc>
          <w:tcPr>
            <w:tcW w:w="107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25</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WAVE · E07</w:t>
            </w:r>
          </w:p>
        </w:tc>
        <w:tc>
          <w:tcPr>
            <w:tcW w:w="294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AIM 10/10; 0 erros; 0 erros de contraste; 0 alertas.</w:t>
            </w:r>
          </w:p>
        </w:tc>
        <w:tc>
          <w:tcPr>
            <w:tcW w:w="328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Data e horário de execução não informados na captura.</w:t>
            </w:r>
          </w:p>
        </w:tc>
        <w:tc>
          <w:tcPr>
            <w:tcW w:w="107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26–28</w:t>
            </w:r>
          </w:p>
        </w:tc>
      </w:tr>
      <w:tr>
        <w:trPr>
          <w:cantSplit/>
        </w:trPr>
        <w:tc>
          <w:tcPr>
            <w:tcW w:w="221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Webbkoll · E08</w:t>
            </w:r>
          </w:p>
        </w:tc>
        <w:tc>
          <w:tcPr>
            <w:tcW w:w="294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HTTPS; CSP favorável; SRI implementado; 1 cookie próprio; 9 requisições seguras a 4 hosts externos.</w:t>
            </w:r>
          </w:p>
        </w:tc>
        <w:tc>
          <w:tcPr>
            <w:tcW w:w="328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15/10/2026, 23:44:20 Etc/UTC.</w:t>
            </w:r>
          </w:p>
        </w:tc>
        <w:tc>
          <w:tcPr>
            <w:tcW w:w="107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29–35</w:t>
            </w:r>
          </w:p>
        </w:tc>
      </w:tr>
    </w:tbl>
    <w:p>
      <w:pPr>
        <w:pStyle w:val="Normal"/>
        <w:spacing w:lineRule="auto" w:line="240" w:before="0" w:after="20"/>
        <w:rPr/>
      </w:pPr>
      <w:r>
        <w:rPr/>
      </w:r>
    </w:p>
    <w:p>
      <w:pPr>
        <w:pStyle w:val="Source"/>
        <w:rPr/>
      </w:pPr>
      <w:r>
        <w:rPr/>
        <w:t>Fonte histórica citada no Word de origem: Análises Site Crasp Educa.pdf, páginas 1–35; E01–E08. Endereço avaliado: crasp-educa.ai.studio.</w:t>
      </w:r>
    </w:p>
    <w:p>
      <w:pPr>
        <w:pStyle w:val="Heading2"/>
        <w:rPr/>
      </w:pPr>
      <w:bookmarkStart w:id="3" w:name="__RefHeading___Toc8708_608013930"/>
      <w:bookmarkEnd w:id="3"/>
      <w:r>
        <w:rPr/>
        <w:t>Indicadores complementares</w:t>
      </w:r>
    </w:p>
    <w:p>
      <w:pPr>
        <w:pStyle w:val="Heading3"/>
        <w:rPr/>
      </w:pPr>
      <w:r>
        <w:rPr/>
        <w:t>Cabeçalhos: Observatory e SecurityHeaders</w:t>
      </w:r>
    </w:p>
    <w:p>
      <w:pPr>
        <w:pStyle w:val="Normal"/>
        <w:rPr/>
      </w:pPr>
      <w:r>
        <w:rPr/>
        <w:t>O Observatory apresenta pontuação 140/100 e classificação A+. A escala inclui bônus; o valor superior a 100 não é erro de transcrição. O resumo informa 11 de 12 verificações aprovadas. O item cookies recebeu −5: houve cookie sem Secure, embora o relatório informe que HSTS evita transmissão por HTTP. A recomendação exibida é acrescentar o atributo Secure. A captura não informa a finalidade do cookie nem vincula o resultado a um commit.</w:t>
      </w:r>
    </w:p>
    <w:p>
      <w:pPr>
        <w:pStyle w:val="Caption"/>
        <w:keepNext w:val="true"/>
        <w:rPr/>
      </w:pPr>
      <w:r>
        <w:rPr/>
        <w:t xml:space="preserve">Tabela </w:t>
      </w:r>
      <w:bookmarkStart w:id="4" w:name="tbl2"/>
      <w:r>
        <w:rPr/>
        <w:fldChar w:fldCharType="begin"/>
      </w:r>
      <w:r>
        <w:rPr/>
        <w:instrText xml:space="preserve"> SEQ Tabela \* ARABIC </w:instrText>
      </w:r>
      <w:r>
        <w:rPr/>
        <w:fldChar w:fldCharType="separate"/>
      </w:r>
      <w:r>
        <w:rPr/>
        <w:t>2</w:t>
      </w:r>
      <w:r>
        <w:rPr/>
        <w:fldChar w:fldCharType="end"/>
      </w:r>
      <w:bookmarkEnd w:id="4"/>
      <w:r>
        <w:rPr/>
        <w:t xml:space="preserve"> — Verificações individuais do Observatory.</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267"/>
        <w:gridCol w:w="1304"/>
        <w:gridCol w:w="5953"/>
      </w:tblGrid>
      <w:tr>
        <w:trPr>
          <w:tblHeader w:val="true"/>
          <w:cantSplit/>
        </w:trPr>
        <w:tc>
          <w:tcPr>
            <w:tcW w:w="226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Verificação</w:t>
            </w:r>
          </w:p>
        </w:tc>
        <w:tc>
          <w:tcPr>
            <w:tcW w:w="130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Ajuste</w:t>
            </w:r>
          </w:p>
        </w:tc>
        <w:tc>
          <w:tcPr>
            <w:tcW w:w="595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e recomendação apresentados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CSP</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Política com default-src none e restrição de form-action; sem recomendação adicional nesse resumo.</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Cookies</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t>
            </w:r>
            <w:r>
              <w:rPr/>
              <w:t>5</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Cookie sem Secure; HSTS impede transmissão HTTP. Recomenda usar Secure.</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CORS</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Conteúdo não exposto por compartilhamento entre origens no teste apresentado.</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Redirecionamento</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Redirecionamento inicial para HTTPS no mesmo host; destino final HTTPS.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Referrer-Policy</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Política de referência avaliada favoravelmente.</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HSTS</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Atende ao mínimo de seis meses; recomenda considerar preload, sujeito aos requisitos e submissão próprios.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SRI</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Integridade de subrecursos implementada conforme o relatório.</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X-Content-Type-Options</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nosniff.</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Proteção de enquadramento</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Implementada pela diretiva CSP frame-ancestors.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COEP</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Cabeçalho ausente. O relatório recomenda require-corp ou credentialless; a ausência não aplica penalidade nessa linha.</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COOP</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same-origin-allow-popups.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CORP</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Política implementada, com proteção entre origens segundo a ferramenta.</w:t>
            </w:r>
          </w:p>
        </w:tc>
      </w:tr>
    </w:tbl>
    <w:p>
      <w:pPr>
        <w:pStyle w:val="Normal"/>
        <w:spacing w:lineRule="auto" w:line="240" w:before="0" w:after="20"/>
        <w:rPr/>
      </w:pPr>
      <w:r>
        <w:rPr/>
      </w:r>
    </w:p>
    <w:p>
      <w:pPr>
        <w:pStyle w:val="Normal"/>
        <w:rPr/>
      </w:pPr>
      <w:r>
        <w:rPr/>
        <w:t>A configuração da aplicação mantém COEP desabilitado. O tratamento dessa observação não pode ignorar a integração do VLibras: adicionar isolamento mais estrito modifica o carregamento de recursos externos. A documentação registra a decisão existente e a recomendação do scanner; não altera a política nem apresenta a ausência como reprovação da aplicação. O resultado positivo de SRI também deve ser lido no escopo dos recursos efetivamente observados.</w:t>
      </w:r>
    </w:p>
    <w:p>
      <w:pPr>
        <w:pStyle w:val="Normal"/>
        <w:rPr/>
      </w:pPr>
      <w:r>
        <w:rPr/>
        <w:t>O SecurityHeaders registra A+ e resposta HTTP/2 200, com Permissions-Policy, Content-Security-Policy, Referrer-Policy, Strict-Transport-Security, X-Content-Type-Options e X-Frame-Options. O detalhamento inclui Google Frontend e seção de cabeçalhos futuros na qual COEP aparece como não implementado. Textos explicativos da ferramenta são descrições dos controles; não constituem novos testes da lógica de negócio.</w:t>
      </w:r>
    </w:p>
    <w:p>
      <w:pPr>
        <w:pStyle w:val="Source"/>
        <w:rPr/>
      </w:pPr>
      <w:r>
        <w:rPr/>
        <w:t>Fonte histórica citada no Word de origem: E01, página 1; E04, páginas 22–23; server.ts, configuração Helmet/CSP, revisão 52c5224.</w:t>
      </w:r>
    </w:p>
    <w:p>
      <w:pPr>
        <w:pStyle w:val="Heading3"/>
        <w:rPr/>
      </w:pPr>
      <w:r>
        <w:rPr/>
        <w:t>PageSpeed Insights: métricas e condições de execução</w:t>
      </w:r>
    </w:p>
    <w:p>
      <w:pPr>
        <w:pStyle w:val="Normal"/>
        <w:rPr/>
      </w:pPr>
      <w:r>
        <w:rPr/>
        <w:t>As duas modalidades identificam Lighthouse 13.5.0 e HeadlessChromium 153.0.8010.36, com uma sessão de página e carregamento inicial. A modalidade computador usa desktop emulado e limitação personalizada. A modalidade celular usa Moto G Power emulado com Slow 4G. O relatório informa “No Data” na experiência de usuários reais: os resultados fornecidos são de laboratório, e não percentis de navegação efetiva em produção.</w:t>
      </w:r>
    </w:p>
    <w:p>
      <w:pPr>
        <w:pStyle w:val="Caption"/>
        <w:keepNext w:val="true"/>
        <w:rPr/>
      </w:pPr>
      <w:r>
        <w:rPr/>
        <w:t xml:space="preserve">Tabela </w:t>
      </w:r>
      <w:bookmarkStart w:id="5" w:name="tbl3"/>
      <w:r>
        <w:rPr/>
        <w:fldChar w:fldCharType="begin"/>
      </w:r>
      <w:r>
        <w:rPr/>
        <w:instrText xml:space="preserve"> SEQ Tabela \* ARABIC </w:instrText>
      </w:r>
      <w:r>
        <w:rPr/>
        <w:fldChar w:fldCharType="separate"/>
      </w:r>
      <w:r>
        <w:rPr/>
        <w:t>3</w:t>
      </w:r>
      <w:r>
        <w:rPr/>
        <w:fldChar w:fldCharType="end"/>
      </w:r>
      <w:bookmarkEnd w:id="5"/>
      <w:r>
        <w:rPr/>
        <w:t xml:space="preserve"> — Métricas PageSpeed por modalidade.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Indicador</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Computador · E02</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Celular · E03</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Significado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FCP</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0,4 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1,5 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First Contentful Paint: primeiro conteúdo apresentado.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LCP</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0,5 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1,7 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Largest Contentful Paint: apresentação do maior elemento de conteúdo.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TBT</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 ms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 ms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Total Blocking Time: bloqueio acumulado durante o teste.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Cumulative Layout Shift: deslocamento acumulado do layout, sem unidade.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Speed Index</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0,8 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1,6 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Índice de velocidade de apresentação visual.</w:t>
            </w:r>
          </w:p>
        </w:tc>
      </w:tr>
    </w:tbl>
    <w:p>
      <w:pPr>
        <w:pStyle w:val="Normal"/>
        <w:spacing w:lineRule="auto" w:line="240" w:before="0" w:after="20"/>
        <w:rPr/>
      </w:pPr>
      <w:r>
        <w:rPr/>
      </w:r>
    </w:p>
    <w:p>
      <w:pPr>
        <w:pStyle w:val="Normal"/>
        <w:rPr/>
      </w:pPr>
      <w:r>
        <w:rPr/>
        <w:t>As pontuações elevadas coexistem com oportunidades de melhoria. No computador, a ferramenta estima 40 ms em requisições que bloqueiam a renderização, 528 KiB na entrega de imagens e 30 KiB de JavaScript não utilizado. No celular, estima 150 ms, 960 KiB e 30 KiB, respectivamente. Ambos os relatórios alertam para mais de quatro conexões preconnect, sugerindo reservá-las às origens mais relevantes. Essas estimativas não são ganhos já medidos após uma alteração.</w:t>
      </w:r>
    </w:p>
    <w:p>
      <w:pPr>
        <w:pStyle w:val="Normal"/>
        <w:rPr/>
      </w:pPr>
      <w:r>
        <w:rPr/>
        <w:t>As seções de desempenho também apresentam árvore de dependências de rede, divisão do LCP e participação de terceiros; o computador inclui análise do tamanho do DOM. O desempenho registra 20 auditorias aprovadas no computador e 21 no celular. Em práticas recomendadas, as duas modalidades têm 96 e mostram o alerta de imagens com proporção incorreta. Como o detalhamento está recolhido, as capturas não identificam o arquivo responsável nem comprovam que o aviso se restringe à imagem do VLibras prevista na exceção interna do AGENTS.md.</w:t>
      </w:r>
    </w:p>
    <w:p>
      <w:pPr>
        <w:pStyle w:val="Caption"/>
        <w:keepNext w:val="true"/>
        <w:rPr/>
      </w:pPr>
      <w:r>
        <w:rPr/>
        <w:t xml:space="preserve">Tabela </w:t>
      </w:r>
      <w:bookmarkStart w:id="6" w:name="tbl4"/>
      <w:r>
        <w:rPr/>
        <w:fldChar w:fldCharType="begin"/>
      </w:r>
      <w:r>
        <w:rPr/>
        <w:instrText xml:space="preserve"> SEQ Tabela \* ARABIC </w:instrText>
      </w:r>
      <w:r>
        <w:rPr/>
        <w:fldChar w:fldCharType="separate"/>
      </w:r>
      <w:r>
        <w:rPr/>
        <w:t>4</w:t>
      </w:r>
      <w:r>
        <w:rPr/>
        <w:fldChar w:fldCharType="end"/>
      </w:r>
      <w:bookmarkEnd w:id="6"/>
      <w:r>
        <w:rPr/>
        <w:t xml:space="preserve"> — Cobertura das categorias automáticas do PageSpeed.</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Categoria</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Computador</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Celular</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Condição de interpretação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Acessibilidade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100; 23 aprovadas; 40 não aplicáveis.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100; 19 aprovadas; 44 não aplicáveis.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Dez verificações manuais adicionais indicadas em cada modalidade.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Práticas recomendadas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96; 12 aprovadas; 5 não aplicáveis.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96; 12 aprovadas; 5 não aplicáveis.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Alerta de proporção de imagens; itens CSP, Trusted Types e Baseline apresentados sem detalhamento expandido.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100; 9 aprovadas; 1 não aplicável.</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100; 9 aprovadas; 1 não aplicável.</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Validação manual de dados estruturados indicada separadamente.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Navegação agêntica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4/4; 3 não aplicáveis.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4/4; 3 não aplicáveis.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Categoria em desenvolvimento, sujeita a mudanças.</w:t>
            </w:r>
          </w:p>
        </w:tc>
      </w:tr>
    </w:tbl>
    <w:p>
      <w:pPr>
        <w:pStyle w:val="Normal"/>
        <w:spacing w:lineRule="auto" w:line="240" w:before="0" w:after="20"/>
        <w:rPr/>
      </w:pPr>
      <w:r>
        <w:rPr/>
      </w:r>
    </w:p>
    <w:p>
      <w:pPr>
        <w:pStyle w:val="Normal"/>
        <w:rPr/>
      </w:pPr>
      <w:r>
        <w:rPr/>
        <w:t>Os dez itens manuais de acessibilidade abrangem foco de teclado, finalidade e estado dos controles, ordem lógica de tabulação e do DOM, ausência de aprisionamento indevido do foco, direcionamento a conteúdo novo, regiões semânticas HTML5, ocultação acessível de conteúdo fora da tela, rótulos e papéis de controles personalizados. Os itens de CSP contra XSS, Trusted Types e compatibilidade Baseline aparecem como áreas de revisão; sua presença na lista não demonstra isoladamente uma exploração ou falha de segurança.</w:t>
      </w:r>
    </w:p>
    <w:p>
      <w:pPr>
        <w:pStyle w:val="Source"/>
        <w:rPr/>
      </w:pPr>
      <w:r>
        <w:rPr/>
        <w:t>Fonte histórica citada no Word de origem: E02, páginas 2–11; E03, páginas 12–21. Condições nas páginas 4 e 14; métricas nas páginas 3–4 e 13–14.</w:t>
      </w:r>
    </w:p>
    <w:p>
      <w:pPr>
        <w:pStyle w:val="Heading3"/>
        <w:rPr/>
      </w:pPr>
      <w:r>
        <w:rPr/>
        <w:t>Transporte TLS e desempenho WebPageTest</w:t>
      </w:r>
    </w:p>
    <w:p>
      <w:pPr>
        <w:pStyle w:val="Normal"/>
        <w:rPr/>
      </w:pPr>
      <w:r>
        <w:rPr/>
        <w:t>O SSL Labs relaciona 16 endpoints do mesmo hostname, em IPv4 e IPv6, todos com estado Ready e classificação A+. Os horários individuais vão de 16/10/2026, 12:28:48 UTC a 12:50:43 UTC; o cabeçalho registra 12:52:13 UTC. Esses endpoints não são 16 sistemas ou ambientes distintos. A página fornecida é o resumo: não contém o inventário completo de cifras, protocolos e cadeia de certificados de cada endereço.</w:t>
      </w:r>
    </w:p>
    <w:p>
      <w:pPr>
        <w:pStyle w:val="Normal"/>
        <w:rPr/>
      </w:pPr>
      <w:r>
        <w:rPr/>
        <w:t>O WebPageTest identifica desktop, Chrome 152 e WiFi de 240/120 Mbps, com 2 ms de RTT, em Columbus, Ohio, Estados Unidos. RTT corresponde ao tempo de ida e volta informado na configuração de rede. Os resultados refletem essa rodada de laboratório da página pública; não devem ser combinados com os tempos do Lighthouse nem usados como medição do painel autenticado.</w:t>
      </w:r>
    </w:p>
    <w:p>
      <w:pPr>
        <w:pStyle w:val="Caption"/>
        <w:keepNext w:val="true"/>
        <w:rPr/>
      </w:pPr>
      <w:r>
        <w:rPr/>
        <w:t xml:space="preserve">Tabela </w:t>
      </w:r>
      <w:bookmarkStart w:id="7" w:name="tbl5"/>
      <w:r>
        <w:rPr/>
        <w:fldChar w:fldCharType="begin"/>
      </w:r>
      <w:r>
        <w:rPr/>
        <w:instrText xml:space="preserve"> SEQ Tabela \* ARABIC </w:instrText>
      </w:r>
      <w:r>
        <w:rPr/>
        <w:fldChar w:fldCharType="separate"/>
      </w:r>
      <w:r>
        <w:rPr/>
        <w:t>5</w:t>
      </w:r>
      <w:r>
        <w:rPr/>
        <w:fldChar w:fldCharType="end"/>
      </w:r>
      <w:bookmarkEnd w:id="7"/>
      <w:r>
        <w:rPr/>
        <w:t xml:space="preserve"> — Indicadores do WebPageTest.</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2381"/>
        <w:gridCol w:w="2381"/>
        <w:gridCol w:w="2381"/>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Indicador</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Valor apresentado</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Indicador</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Valor apresentado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FCP</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1,148 s</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LCP</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1,148 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CLS</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TTFB</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0,359 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Start Render</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 s</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Speed Index</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1,108 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TBT</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0 s</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 Weight</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 MB</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DC Time</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0,856 s</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DC Bytes</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226 KB</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Total Time</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2,427 s</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Total Requests</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24</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Respostas 30X</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Respostas 40X</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w:t>
            </w:r>
          </w:p>
        </w:tc>
      </w:tr>
    </w:tbl>
    <w:p>
      <w:pPr>
        <w:pStyle w:val="Normal"/>
        <w:spacing w:lineRule="auto" w:line="240" w:before="0" w:after="20"/>
        <w:rPr/>
      </w:pPr>
      <w:r>
        <w:rPr/>
      </w:r>
    </w:p>
    <w:p>
      <w:pPr>
        <w:pStyle w:val="Normal"/>
        <w:rPr/>
      </w:pPr>
      <w:r>
        <w:rPr/>
        <w:t>TTFB significa Time To First Byte, tempo até o primeiro byte. Start Render marca o início da apresentação visual. DC Time e DC Bytes correspondem ao marco Document Complete e à transferência registrada até ele. Page Weight, DC Bytes e Total Requests têm sentidos distintos e foram preservados como exibidos. O filmstrip mostra a página surgindo perto de 1,1 segundo. Não se pressupõe equivalência entre MB, KB e KiB nem se convertem estimativas em benefícios já obtidos.</w:t>
      </w:r>
    </w:p>
    <w:p>
      <w:pPr>
        <w:pStyle w:val="Source"/>
        <w:rPr/>
      </w:pPr>
      <w:r>
        <w:rPr/>
        <w:t>Fonte histórica citada no Word de origem: E05, página 24; E06, página 25. Endereço comum: crasp-educa.ai.studio.</w:t>
      </w:r>
    </w:p>
    <w:p>
      <w:pPr>
        <w:pStyle w:val="Heading3"/>
        <w:rPr/>
      </w:pPr>
      <w:r>
        <w:rPr/>
        <w:t>WAVE: conteúdo público efetivamente observado</w:t>
      </w:r>
    </w:p>
    <w:p>
      <w:pPr>
        <w:pStyle w:val="Normal"/>
        <w:rPr/>
      </w:pPr>
      <w:r>
        <w:rPr/>
        <w:t>O WAVE mostra a página pública carregada, em diferentes posições de rolagem, nas páginas 26–28. Registra zero erros, zero erros de contraste, zero alertas e AIM 10/10; também apresenta oito recursos, oito elementos estruturais e 37 ocorrências ARIA. As contagens detalham quatro textos alternativos, três alternativas vazias ou nulas, um idioma pt-BR, títulos e regiões de cabeçalho, navegação e conteúdo principal. A seção ARIA indica três ocorrências gerais, 18 rótulos, 15 elementos ocultos e um estado de expansão.</w:t>
      </w:r>
    </w:p>
    <w:p>
      <w:pPr>
        <w:pStyle w:val="Normal"/>
        <w:rPr/>
      </w:pPr>
      <w:r>
        <w:rPr/>
        <w:t>As imagens cobrem o banner, cursos e vagas em destaque, explicação de funcionamento, chamada de adesão, números apresentados pela interface, instituições, perguntas frequentes e rodapé. Os totais de usuários, matrículas, cursos e vagas exibidos são conteúdo da página, não dados operacionais validados pelo scanner. A presença de um link também não demonstra que o destino ou seu funcionamento foi testado.</w:t>
      </w:r>
    </w:p>
    <w:p>
      <w:pPr>
        <w:pStyle w:val="Normal"/>
        <w:rPr/>
      </w:pPr>
      <w:r>
        <w:rPr/>
        <w:t>O relato original registra que o WAVE solicita testes manuais para assegurar conformidade e acessibilidade. A evidência descrita não cobre cadastro, preenchimento de perfil, jornadas autenticadas, envio de certificados ou procedimentos administrativos. Os testes de foco e semântica citados na auditoria anterior são tratados no capítulo de operação como registros históricos, com os ambientes e as simulações informados na fonte de origem; seus relatórios brutos não foram recebidos para esta edição.</w:t>
      </w:r>
    </w:p>
    <w:p>
      <w:pPr>
        <w:pStyle w:val="Source"/>
        <w:rPr/>
      </w:pPr>
      <w:r>
        <w:rPr/>
        <w:t>Fonte histórica citada no Word de origem: E07, páginas 26–28; mensagem de limitação da ferramenta na página 26.</w:t>
      </w:r>
    </w:p>
    <w:p>
      <w:pPr>
        <w:pStyle w:val="Heading3"/>
        <w:rPr/>
      </w:pPr>
      <w:r>
        <w:rPr/>
        <w:t>Webbkoll: privacidade, cookies e requisições externas</w:t>
      </w:r>
    </w:p>
    <w:p>
      <w:pPr>
        <w:pStyle w:val="Normal"/>
        <w:rPr/>
      </w:pPr>
      <w:r>
        <w:rPr/>
        <w:t xml:space="preserve">O Webbkoll registra a URL inicial </w:t>
      </w:r>
      <w:hyperlink r:id="rId7">
        <w:r>
          <w:rPr>
            <w:rStyle w:val="Style"/>
            <w:color w:val="233B82"/>
            <w:u w:val="single"/>
          </w:rPr>
          <w:t>http://crasp-educa.ai.studio/</w:t>
        </w:r>
      </w:hyperlink>
      <w:r>
        <w:rPr/>
        <w:t xml:space="preserve"> e a final em HTTPS, em 15/10/2026, 23:44:20 Etc/UTC. Apresenta HTTPS por padrão, CSP avaliada como favorável, política de referência no-referrer e SRI implementado. O HSTS da aplicação contém max-age=31536000, includeSubDomains e preload. O aviso de ausência de HSTS refere-se ao domínio-base ai.studio; não demonstra ausência do cabeçalho no subdomínio examinado. A diretiva preload no cabeçalho não comprova inscrição efetiva na lista de navegadores.</w:t>
      </w:r>
    </w:p>
    <w:p>
      <w:pPr>
        <w:pStyle w:val="Caption"/>
        <w:keepNext w:val="true"/>
        <w:rPr/>
      </w:pPr>
      <w:r>
        <w:rPr/>
        <w:t xml:space="preserve">Tabela </w:t>
      </w:r>
      <w:bookmarkStart w:id="8" w:name="tbl6"/>
      <w:r>
        <w:rPr/>
        <w:fldChar w:fldCharType="begin"/>
      </w:r>
      <w:r>
        <w:rPr/>
        <w:instrText xml:space="preserve"> SEQ Tabela \* ARABIC </w:instrText>
      </w:r>
      <w:r>
        <w:rPr/>
        <w:fldChar w:fldCharType="separate"/>
      </w:r>
      <w:r>
        <w:rPr/>
        <w:t>6</w:t>
      </w:r>
      <w:r>
        <w:rPr/>
        <w:fldChar w:fldCharType="end"/>
      </w:r>
      <w:bookmarkEnd w:id="8"/>
      <w:r>
        <w:rPr/>
        <w:t xml:space="preserve"> — Observações de privacidade no Webbkoll.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Assunto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Registro apresentado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Alcance e interpretação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Cookies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 próprio, chamado GAESA; 0 de terceiros.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HttpOnly, Secure e SameSite aparecem ausentes. O valor do cookie não é reproduzido; finalidade e responsável não estão identificados pela captura.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Armazenamento local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localStorage not used.</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Vale para a visita passiva observada. O código usa armazenamento após interações e para sessão/preferências.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Requisições externas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9 seguras; 0 inseguras; 4 hosts.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Chamadas HTTPS não equivalem automaticamente a rastreamento, mas são integrações externas identificáveis.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Política de referência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no-referrer em cabeçalho e meta.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 resultado se refere ao documento visitado.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CSP</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Resultado geral favorável; style-src-attr permite unsafe-inline.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interpretar marcações verdes como bloqueio absoluto de todo estilo inline.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Cabeçalhos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nosniff; SAMEORIGIN; X-XSS-Protection: 0.</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 último cabeçalho desativa um mecanismo legado; não indica ausência de proteção XSS baseada em CSP.</w:t>
            </w:r>
          </w:p>
        </w:tc>
      </w:tr>
    </w:tbl>
    <w:p>
      <w:pPr>
        <w:pStyle w:val="Normal"/>
        <w:spacing w:lineRule="auto" w:line="240" w:before="0" w:after="20"/>
        <w:rPr/>
      </w:pPr>
      <w:r>
        <w:rPr/>
      </w:r>
    </w:p>
    <w:p>
      <w:pPr>
        <w:pStyle w:val="Caption"/>
        <w:keepNext w:val="true"/>
        <w:rPr/>
      </w:pPr>
      <w:r>
        <w:rPr/>
        <w:t xml:space="preserve">Tabela </w:t>
      </w:r>
      <w:bookmarkStart w:id="9" w:name="tbl7"/>
      <w:r>
        <w:rPr/>
        <w:fldChar w:fldCharType="begin"/>
      </w:r>
      <w:r>
        <w:rPr/>
        <w:instrText xml:space="preserve"> SEQ Tabela \* ARABIC </w:instrText>
      </w:r>
      <w:r>
        <w:rPr/>
        <w:fldChar w:fldCharType="separate"/>
      </w:r>
      <w:r>
        <w:rPr/>
        <w:t>7</w:t>
      </w:r>
      <w:r>
        <w:rPr/>
        <w:fldChar w:fldCharType="end"/>
      </w:r>
      <w:bookmarkEnd w:id="9"/>
      <w:r>
        <w:rPr/>
        <w:t xml:space="preserve"> — Hosts externos registrados pelo Webbkoll.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Host</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Quantidade de URLs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 identificável e limite da fonte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cdn.jsdelivr.net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3</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Distribuição de recursos; as listas de URLs não estão expandidas na captura.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edu.b3.com.br</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 externo; a captura não detalha a carga transferida.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firebasestorage.googleapis.com</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2</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Conteúdo no armazenamento Google, conforme classificação apresentada.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vlibras.gov.br</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3</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Recursos da integração VLibras.</w:t>
            </w:r>
          </w:p>
        </w:tc>
      </w:tr>
    </w:tbl>
    <w:p>
      <w:pPr>
        <w:pStyle w:val="Normal"/>
        <w:spacing w:lineRule="auto" w:line="240" w:before="0" w:after="20"/>
        <w:rPr/>
      </w:pPr>
      <w:r>
        <w:rPr/>
      </w:r>
    </w:p>
    <w:p>
      <w:pPr>
        <w:pStyle w:val="Normal"/>
        <w:rPr/>
      </w:pPr>
      <w:r>
        <w:rPr/>
        <w:t>A página final descreve a metodologia do Webbkoll: carrega a URL com um navegador típico, imagens, scripts e CSS; não clica em links e não envia formulários. A ferramenta informa que os resultados podem conter erros e servem como ponto de partida, não como análise rigorosa de toda a aplicação. Portanto, ausência de armazenamento ou de determinada chamada nessa visita não comprova ausência após login, interação ou abertura de outros estados.</w:t>
      </w:r>
    </w:p>
    <w:p>
      <w:pPr>
        <w:pStyle w:val="Source"/>
        <w:rPr/>
      </w:pPr>
      <w:r>
        <w:rPr/>
        <w:t>Fonte histórica citada no Word de origem: E08, páginas 29–35; cookie e armazenamento na página 32; hosts na página 33; metodologia na página 35.</w:t>
      </w:r>
    </w:p>
    <w:p>
      <w:pPr>
        <w:pStyle w:val="Heading2"/>
        <w:rPr/>
      </w:pPr>
      <w:bookmarkStart w:id="10" w:name="__RefHeading___Toc8710_608013930"/>
      <w:bookmarkEnd w:id="10"/>
      <w:r>
        <w:rPr/>
        <w:t>Identificação e metodologia</w:t>
      </w:r>
    </w:p>
    <w:p>
      <w:pPr>
        <w:pStyle w:val="Normal"/>
        <w:rPr/>
      </w:pPr>
      <w:r>
        <w:rPr/>
        <w:t>A edição de origem 1.0, datada de 16 de outubro de 2026, documenta o repositório desenvolvimentoprofissional-oss/educa, branch main, revisão completa 52c5224d3fb3372e97859468cf1d44439effdc18. Ela relata nova obtenção das fontes pelo GitHub nessa data, com SHA-256 84480a3e34b0a4ad9c2d640a28d804395a5f4beb11c1b8931d962b322c4e75c8, e inventário de 140 arquivos. Esses dados identificam a fonte técnica herdada; não constituem, por esta menção, uma nova obtenção ou comprovação do mesmo pacote na edição 1.1. Dependências e artefatos gerados são tratados conforme sua função, sem reprodução integral de seu conteúdo.</w:t>
      </w:r>
    </w:p>
    <w:p>
      <w:pPr>
        <w:pStyle w:val="Normal"/>
        <w:rPr/>
      </w:pPr>
      <w:r>
        <w:rPr/>
        <w:t>O conteúdo técnico de origem relaciona AGENTS.md, código de autoria do projeto, configurações, regras, manifesto, lockfile, AGENTE-DOCUMENTACAO.md e PDF de análises. Ele reconstrói a cadeia entre ação do usuário, estado, validação, cliente HTTP, rota completa, autenticação, regra de negócio, persistência, resposta e apresentação, incluindo cancelamentos, duplicidades, falhas parciais e restauração de estado. A edição 1.1 organiza esse conteúdo e registra separadamente as fontes efetivamente disponibilizadas nesta etapa.</w:t>
      </w:r>
    </w:p>
    <w:p>
      <w:pPr>
        <w:pStyle w:val="Normal"/>
        <w:rPr/>
      </w:pPr>
      <w:r>
        <w:rPr/>
        <w:t>O PDF de referência visual fornecido para esta edição é utilizado exclusivamente para orientar capa, organização, tipografia, tabelas, legendas e acabamento dos diagramas. O Word de origem identifica seu modelo como tecnica (1).pdf, do Componente Curricular de ASG e ODS, com 60 páginas. Métricas, domínios, contratos, algoritmos e configurações desse outro sistema não constituem evidência do Educa e não são transferidos para este documento.</w:t>
      </w:r>
    </w:p>
    <w:p>
      <w:pPr>
        <w:pStyle w:val="Normal"/>
        <w:rPr/>
      </w:pPr>
      <w:r>
        <w:rPr/>
        <w:t>Foram preservados os resultados de execução local relatados na edição de origem, que os associa à revisão identificada ou a arquivos cuja identidade declara ter conferido. Os relatórios brutos não foram fornecidos nesta etapa, de modo que os resultados permanecem históricos e não foram reconfirmados pela preparação do Word. Testes com serviços simulados continuam identificados como simulados. Declarações sobre segredos e aprovação administrativa de certificados são mantidas como informações atribuídas ao responsável na fonte de origem, sem inspeção direta de contas, IAM ou outro sistema.</w:t>
      </w:r>
    </w:p>
    <w:p>
      <w:pPr>
        <w:pStyle w:val="Caption"/>
        <w:keepNext w:val="true"/>
        <w:rPr/>
      </w:pPr>
      <w:r>
        <w:rPr/>
        <w:t xml:space="preserve">Tabela </w:t>
      </w:r>
      <w:bookmarkStart w:id="11" w:name="tbl8"/>
      <w:r>
        <w:rPr/>
        <w:fldChar w:fldCharType="begin"/>
      </w:r>
      <w:r>
        <w:rPr/>
        <w:instrText xml:space="preserve"> SEQ Tabela \* ARABIC </w:instrText>
      </w:r>
      <w:r>
        <w:rPr/>
        <w:fldChar w:fldCharType="separate"/>
      </w:r>
      <w:r>
        <w:rPr/>
        <w:t>8</w:t>
      </w:r>
      <w:r>
        <w:rPr/>
        <w:fldChar w:fldCharType="end"/>
      </w:r>
      <w:bookmarkEnd w:id="11"/>
      <w:r>
        <w:rPr/>
        <w:t xml:space="preserve"> — Classes de fonte e uso documental.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Classe</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 que sustenta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 que não comprova isoladamente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Código · revisão 52c5224</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Fluxos, contratos, regras, campos, controles e comandos implementados.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 configuração efetivamente implantada, dados reais e procedimentos fora da aplicação.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Configuração versionada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Intenção de cabeçalhos, regras, scripts e dependências.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Implantação, identidade efetiva do serviço ou permissão IAM em produção.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PDF · E01–E08</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Resultados, conteúdo e estados visíveis nas capturas recebidas.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Commit publicado, todos os fluxos ou conformidade legal integral.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Execução local identificada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Comportamento observado no escopo e nas simulações descritas.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Comportamento do banco real ou cobertura de todos os cenários.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Informação do responsável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Segredos configurados; aprovação externa de certificados; contexto operacional informado.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Verificação independente da execução dessas rotinas.</w:t>
            </w:r>
          </w:p>
        </w:tc>
      </w:tr>
    </w:tbl>
    <w:p>
      <w:pPr>
        <w:pStyle w:val="Normal"/>
        <w:spacing w:lineRule="auto" w:line="240" w:before="0" w:after="20"/>
        <w:rPr/>
      </w:pPr>
      <w:r>
        <w:rPr/>
      </w:r>
    </w:p>
    <w:p>
      <w:pPr>
        <w:pStyle w:val="Source"/>
        <w:rPr/>
      </w:pPr>
      <w:r>
        <w:rPr/>
        <w:t>Fonte histórica citada no Word de origem: AGENTS.md; AGENTE-DOCUMENTACAO.md; inventário da revisão 52c5224; Análises Site Crasp Educa.pdf; tecnica (1).pdf; informações do responsável.</w:t>
      </w:r>
    </w:p>
    <w:p>
      <w:pPr>
        <w:pStyle w:val="Heading2"/>
        <w:rPr/>
      </w:pPr>
      <w:bookmarkStart w:id="12" w:name="__RefHeading___Toc8712_608013930"/>
      <w:bookmarkEnd w:id="12"/>
      <w:r>
        <w:rPr/>
        <w:t>Cobertura e limites das evidências</w:t>
      </w:r>
    </w:p>
    <w:p>
      <w:pPr>
        <w:pStyle w:val="Normal"/>
        <w:rPr/>
      </w:pPr>
      <w:r>
        <w:rPr/>
        <w:t>O PDF não identifica o SHA do código publicado. As observações do Webbkoll são da noite de 15/10/2026 UTC; SecurityHeaders, PageSpeed, SSL Labs e WebPageTest apresentam registros de 16/10/2026. O Observatory mostra apenas horário relativo e o WAVE não apresenta data de execução. Essas fontes são mantidas separadas, sem assumir que todos os scanners observaram o mesmo instante ou a mesma resposta.</w:t>
      </w:r>
    </w:p>
    <w:p>
      <w:pPr>
        <w:pStyle w:val="Normal"/>
        <w:rPr/>
      </w:pPr>
      <w:r>
        <w:rPr/>
        <w:t>Segundo o relato de origem, as capturas WAVE documentam a página pública; telas autenticadas são descritas a partir do código e de verificações locais ali identificadas. A edição 1.1 não substitui essas evidências por imagens ilustrativas. As capturas reais e os anexos serão incorporados posteriormente pelo responsável. Uma descrição de tela ou um diagrama não comprova um teste funcional completo dessa tela.</w:t>
      </w:r>
    </w:p>
    <w:p>
      <w:pPr>
        <w:pStyle w:val="Normal"/>
        <w:rPr/>
      </w:pPr>
      <w:r>
        <w:rPr/>
        <w:t>A edição de origem registra uma conclusão técnica anterior de aptidão para produção com ressalvas operacionais e de manutenção. Esse registro é histórico e não representa nova homologação emitida na edição 1.1. Permanecem descritos os desvios de tamanho de funções e linhas, a rotina externa não verificada de limpeza de uploads sem vínculo e o retorno possível de HTML pelo fallback em GET desconhecido de API. A ausência dos relatórios brutos impede reconfirmar o parecer anterior apenas pela edição do documento.</w:t>
      </w:r>
    </w:p>
    <w:p>
      <w:pPr>
        <w:pStyle w:val="Normal"/>
        <w:rPr/>
      </w:pPr>
      <w:r>
        <w:rPr/>
        <w:t>Resultados A+ de cabeçalhos e TLS, zero erros automáticos do WAVE e notas altas de desempenho são evidências favoráveis das camadas avaliadas. Não demonstram, por si, autorização de todos os dados, segurança de cada operação autenticada, adequação completa à LGPD ou atendimento integral à WCAG. A matriz final relaciona requisitos, mecanismos, situação e limites, distinguindo controle implementado, declaração do projeto e verificação efetiva.</w:t>
      </w:r>
    </w:p>
    <w:p>
      <w:pPr>
        <w:pStyle w:val="Source"/>
        <w:rPr/>
      </w:pPr>
      <w:r>
        <w:rPr/>
        <w:t>Fonte histórica citada no Word de origem: E01–E08; auditoria da revisão 52c5224, 16/10/2026; capítulos 4 a 7 e matriz do capítulo 9.</w:t>
      </w:r>
    </w:p>
    <w:p>
      <w:pPr>
        <w:pStyle w:val="Heading1"/>
        <w:rPr/>
      </w:pPr>
      <w:bookmarkStart w:id="13" w:name="__RefHeading___Toc8714_608013930"/>
      <w:bookmarkEnd w:id="13"/>
      <w:r>
        <w:rPr/>
        <w:t>Visão do produto e arquitetura</w:t>
      </w:r>
    </w:p>
    <w:p>
      <w:pPr>
        <w:pStyle w:val="Heading2"/>
        <w:rPr/>
      </w:pPr>
      <w:bookmarkStart w:id="14" w:name="__RefHeading___Toc8716_608013930"/>
      <w:bookmarkEnd w:id="14"/>
      <w:r>
        <w:rPr/>
        <w:t>Finalidade e público</w:t>
      </w:r>
    </w:p>
    <w:p>
      <w:pPr>
        <w:pStyle w:val="Normal"/>
        <w:rPr/>
      </w:pPr>
      <w:r>
        <w:rPr/>
        <w:t>O CRA-SP Educa é um conector educacional e de oportunidades profissionais no contexto institucional do Conselho Regional de Administração de São Paulo. Apresenta cursos de instituições participantes e oportunidades de estágio e aprendizagem, permitindo ao usuário acompanhar sua jornada em um painel. O resultado entregue é a organização dos interesses, das declarações de matrícula ou participação e das conquistas vinculadas à conta. A realização dos cursos e a inscrição definitiva nos processos seletivos ocorrem nos ambientes das instituições responsáveis, acessados por links externos.</w:t>
      </w:r>
    </w:p>
    <w:p>
      <w:pPr>
        <w:pStyle w:val="Normal"/>
        <w:rPr/>
      </w:pPr>
      <w:r>
        <w:rPr/>
        <w:t>O modelo declaratório determina o significado dos registros. A pré-matrícula indica interesse registrado no hub; a matrícula é confirmada pelo próprio usuário após sua atuação no Ambiente Virtual de Aprendizagem (AVA). Participação em vaga e contratação também são declarações do interessado. O código não consulta automaticamente o desempenho acadêmico no AVA nem confirma contratação nos sistemas dos empregadores. Para cursos, certificado e avaliação são enviados para análise; a aprovação administrativa final ocorre em outro sistema ou processo, conforme informação do responsável pelo projeto.</w:t>
      </w:r>
    </w:p>
    <w:p>
      <w:pPr>
        <w:pStyle w:val="Caption"/>
        <w:keepNext w:val="true"/>
        <w:rPr/>
      </w:pPr>
      <w:r>
        <w:rPr/>
        <w:t xml:space="preserve">Tabela </w:t>
      </w:r>
      <w:bookmarkStart w:id="15" w:name="tbl9"/>
      <w:r>
        <w:rPr/>
        <w:fldChar w:fldCharType="begin"/>
      </w:r>
      <w:r>
        <w:rPr/>
        <w:instrText xml:space="preserve"> SEQ Tabela \* ARABIC </w:instrText>
      </w:r>
      <w:r>
        <w:rPr/>
        <w:fldChar w:fldCharType="separate"/>
      </w:r>
      <w:r>
        <w:rPr/>
        <w:t>9</w:t>
      </w:r>
      <w:r>
        <w:rPr/>
        <w:fldChar w:fldCharType="end"/>
      </w:r>
      <w:bookmarkEnd w:id="15"/>
      <w:r>
        <w:rPr/>
        <w:t xml:space="preserve"> — Participantes e responsabilidades no produto.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Participante</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Atuação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e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Visitante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Consulta vitrine, instituições, perguntas frequentes e documentos institucionais.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Para iniciar jornada ou explorar o painel, autentica-se e conclui o perfil.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Usuário autenticado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Escolhe cursos e vagas, atualiza status, envia certificado, avaliação e suporte.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Responde pelas declarações de matrícula, participação e contratação.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Instituição participante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Mantém o AVA ou o portal de inscrição e seleção externo.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Formação, seleção e atendimento no destino obedecem às regras da instituição.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Equipe administrativa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Analisa certificados e trata demandas nos procedimentos institucionais.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Aprovação e atendimento não possuem painel administrativo neste frontend.</w:t>
            </w:r>
          </w:p>
        </w:tc>
      </w:tr>
    </w:tbl>
    <w:p>
      <w:pPr>
        <w:pStyle w:val="Normal"/>
        <w:spacing w:lineRule="auto" w:line="240" w:before="0" w:after="20"/>
        <w:rPr/>
      </w:pPr>
      <w:r>
        <w:rPr/>
      </w:r>
    </w:p>
    <w:p>
      <w:pPr>
        <w:pStyle w:val="Source"/>
        <w:rPr/>
      </w:pPr>
      <w:r>
        <w:rPr/>
        <w:t>Fonte: AGENTS.md, seções 1 e 6; src/pages/JornadaCursosInicio.tsx; src/hooks/useCursosPreMatricula.ts; src/hooks/useVagasInteresse.ts; informação do responsável sobre aprovação externa de certificados. Revisão 52c5224, salvo indicação diferente.</w:t>
      </w:r>
    </w:p>
    <w:p>
      <w:pPr>
        <w:pStyle w:val="Heading2"/>
        <w:rPr/>
      </w:pPr>
      <w:bookmarkStart w:id="16" w:name="__RefHeading___Toc8718_608013930"/>
      <w:bookmarkEnd w:id="16"/>
      <w:r>
        <w:rPr/>
        <w:t>Estrutura do produto</w:t>
      </w:r>
    </w:p>
    <w:p>
      <w:pPr>
        <w:pStyle w:val="Normal"/>
        <w:rPr/>
      </w:pPr>
      <w:r>
        <w:rPr/>
        <w:t>O produto organiza-se em área pública e área autenticada, com o cadastro complementar entre elas. A vitrine reúne destaques de cursos e vagas, apresentação da jornada, indicadores agregados, instituições participantes e perguntas frequentes. O painel reúne acompanhamento, exploração dos catálogos, conquistas, atualização de contato e solicitações de suporte. O convite à carteira de estudante é condicionado ao perfil; sua emissão pertence a um serviço externo do CRA-SP. O frontend documentado não implementa reprodução de aulas, provas, emissão de certificados ou gestão de processos seletivos.</w:t>
      </w:r>
    </w:p>
    <w:p>
      <w:pPr>
        <w:pStyle w:val="Normal"/>
        <w:rPr/>
      </w:pPr>
      <w:r>
        <w:rPr/>
        <w:t>Conteúdo editorial público e registros individuais possuem origens diferentes. O pacote inicial da vitrine deriva de paginaPublica, com seleção de até três cursos e três vagas pelo backend. Os catálogos completos são solicitados na montagem das áreas de exploração. Dados do usuário e arrays jornadaCursos e jornadaVagas chegam juntos na verificação do perfil após autenticação. Essa composição evita consultas diretas de componentes às coleções volumosas do Firestore e concentra as decisões de gravação na API.</w:t>
      </w:r>
    </w:p>
    <w:p>
      <w:pPr>
        <w:pStyle w:val="Caption"/>
        <w:keepNext w:val="true"/>
        <w:rPr/>
      </w:pPr>
      <w:r>
        <w:rPr/>
        <w:t xml:space="preserve">Tabela </w:t>
      </w:r>
      <w:bookmarkStart w:id="17" w:name="tbl10"/>
      <w:r>
        <w:rPr/>
        <w:fldChar w:fldCharType="begin"/>
      </w:r>
      <w:r>
        <w:rPr/>
        <w:instrText xml:space="preserve"> SEQ Tabela \* ARABIC </w:instrText>
      </w:r>
      <w:r>
        <w:rPr/>
        <w:fldChar w:fldCharType="separate"/>
      </w:r>
      <w:r>
        <w:rPr/>
        <w:t>10</w:t>
      </w:r>
      <w:r>
        <w:rPr/>
        <w:fldChar w:fldCharType="end"/>
      </w:r>
      <w:bookmarkEnd w:id="17"/>
      <w:r>
        <w:rPr/>
        <w:t xml:space="preserve"> — Módulos funcionais e vínculos com a solução.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Módulo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Função implementada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Dependência principal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Vitrine pública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Destaques, indicadores, instituições e perguntas.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/api/home-startup, totais e imagens públicas.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Acesso e perfil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e cadastro complementar obrigatório.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 Authentication e API de usuários.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Explorar cursos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Filtros, detalhes e pré-matrícula.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Catálogo e transação de jornada de curso.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Explorar 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Filtros, detalhes e registro de interesse.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e transação de jornada de vaga.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Meu Painel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Jornadas em andamento, certificados e declarações.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Zustand carregado do documento do usuário.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Minhas Conquistas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Cursos CONCLUIDO, vagas CONTRATADO e selos por horas.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Snapshots e estados das jornadas.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Acesso Rápido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Contato, suporte e atalho para conquistas.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API autenticada de usuários e suporte.</w:t>
            </w:r>
          </w:p>
        </w:tc>
      </w:tr>
    </w:tbl>
    <w:p>
      <w:pPr>
        <w:pStyle w:val="Normal"/>
        <w:spacing w:lineRule="auto" w:line="240" w:before="0" w:after="20"/>
        <w:rPr/>
      </w:pPr>
      <w:r>
        <w:rPr/>
      </w:r>
    </w:p>
    <w:p>
      <w:pPr>
        <w:pStyle w:val="Source"/>
        <w:rPr/>
      </w:pPr>
      <w:r>
        <w:rPr/>
        <w:t>Fonte: src/pages/PublicLandingPage.tsx; src/pages/LoggedDashboard.tsx; src/pages/JornadaCursosInicio.tsx; src/pages/MinhasConquistas.tsx; src/components/showcase/AcessoRapido.tsx; server/controllers/catalogoController.ts. Revisão 52c5224, salvo indicação diferente.</w:t>
      </w:r>
    </w:p>
    <w:p>
      <w:pPr>
        <w:pStyle w:val="Heading2"/>
        <w:rPr/>
      </w:pPr>
      <w:bookmarkStart w:id="18" w:name="__RefHeading___Toc8720_608013930"/>
      <w:bookmarkEnd w:id="18"/>
      <w:r>
        <w:rPr/>
        <w:t>Mapa de páginas e percurso de navegação</w:t>
      </w:r>
    </w:p>
    <w:p>
      <w:pPr>
        <w:pStyle w:val="Normal"/>
        <w:rPr/>
      </w:pPr>
      <w:r>
        <w:rPr/>
        <w:t>A aplicação de página única utiliza React e seleciona telas internas por activeTab no store de navegação. Não utiliza React Router nem URLs próprias para cada módulo do painel. Os identificadores inicio, cursos, vagas e conquistas são valores internos. O valor vitrine permite que um usuário autenticado consulte a apresentação pública e depois retorne ao painel. A URL raiz e os fragmentos de seções públicas não são endpoints da API.</w:t>
      </w:r>
    </w:p>
    <w:p>
      <w:pPr>
        <w:pStyle w:val="Normal"/>
        <w:rPr/>
      </w:pPr>
      <w:r>
        <w:rPr/>
        <w:t>App avalia primeiro usuário e abertura do login. Sem usuário e com isLoginOpen ativo, monta a tela de acesso; com usuário e perfil explicitamente incompleto, monta a conclusão cadastral. Nos demais casos, apresenta vitrine ou painel junto ao layout comum. Durante a resolução do perfil autenticado, DashboardSkeleton antecede o conteúdo privado. LoginPage substitui a vista principal, embora seja controlada por um sinal de abertura: não é um diálogo sobreposto com role=dialog.</w:t>
      </w:r>
    </w:p>
    <w:p>
      <w:pPr>
        <w:pStyle w:val="Caption"/>
        <w:keepNext w:val="true"/>
        <w:rPr/>
      </w:pPr>
      <w:r>
        <w:rPr/>
        <w:t xml:space="preserve">Tabela </w:t>
      </w:r>
      <w:bookmarkStart w:id="19" w:name="tbl11"/>
      <w:r>
        <w:rPr/>
        <w:fldChar w:fldCharType="begin"/>
      </w:r>
      <w:r>
        <w:rPr/>
        <w:instrText xml:space="preserve"> SEQ Tabela \* ARABIC </w:instrText>
      </w:r>
      <w:r>
        <w:rPr/>
        <w:fldChar w:fldCharType="separate"/>
      </w:r>
      <w:r>
        <w:rPr/>
        <w:t>11</w:t>
      </w:r>
      <w:r>
        <w:rPr/>
        <w:fldChar w:fldCharType="end"/>
      </w:r>
      <w:bookmarkEnd w:id="19"/>
      <w:r>
        <w:rPr/>
        <w:t xml:space="preserve"> — Destinos de navegação e condições de apresentação.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Destino ou estado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Componente e finalidade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Condição e retorno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 e activeTab=vitrine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PublicLandingPage: apresentação e destaques.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Público; autenticado acessa pelo logo.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isLoginOpen=true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LoginPage: acesso, conta e recuperação.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usuário. Voltar fecha o acesso.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profileComplete=false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CompleteProfilePage: cadastro complementar.</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Autenticado. Salvar libera o painel; Sair encerra sessão.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activeTab=inicio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JornadaCursosInicio: jornadas e atalhos.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completo; destino definido após login.</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activeTab=cursos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ExplorarCursos: catálogo e pré-matrícula.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completo; menu ou atalho.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activeTab=vagas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ExplorarVagas: oportunidades e participação.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completo; menu ou atalho.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activeTab=conquistas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MinhasConquistas: resultados e selos.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completo; somente estados elegíveis.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activeTab=dados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Bloco informativo “Meus Dados”.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item no menu; gestão integral anunciada para o futuro.</w:t>
            </w:r>
          </w:p>
        </w:tc>
      </w:tr>
    </w:tbl>
    <w:p>
      <w:pPr>
        <w:pStyle w:val="Normal"/>
        <w:spacing w:lineRule="auto" w:line="240" w:before="0" w:after="20"/>
        <w:rPr/>
      </w:pPr>
      <w:r>
        <w:rPr/>
      </w:r>
    </w:p>
    <w:p>
      <w:pPr>
        <w:pStyle w:val="Normal"/>
        <w:rPr/>
      </w:pPr>
      <w:r>
        <w:rPr/>
        <w:t>As âncoras #cursos, #vagas, #jornada, #instituicoes e #perguntas apontam para seções da vitrine. O resultado de busca encaminha à categoria, sem abrir uma página individual de curso ou vaga. Em produção, o servidor entrega index.html como fallback de GETs não atendidos anteriormente; um caminho arbitrário não comprova a existência de tela. ActiveTab não é persistido como rota: o recarregamento reconstrói a vista pelo estado inicial e pela restauração da sessão.</w:t>
      </w:r>
    </w:p>
    <w:p>
      <w:pPr>
        <w:pStyle w:val="Normal"/>
        <w:keepNext w:val="true"/>
        <w:jc w:val="center"/>
        <w:rPr/>
      </w:pPr>
      <w:r>
        <w:rPr/>
        <w:drawing>
          <wp:inline distT="0" distB="0" distL="0" distR="0">
            <wp:extent cx="6012180" cy="5474335"/>
            <wp:effectExtent l="0" t="0" r="0" b="0"/>
            <wp:docPr id="3" name="Picture 3" descr="Seleção de vistas por sessão, perfil e activeTab: vitrine, login, cadastro complementar e painel com início, cursos, vagas e conquistas; destinos de parceiros são externo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eleção de vistas por sessão, perfil e activeTab: vitrine, login, cadastro complementar e painel com início, cursos, vagas e conquistas; destinos de parceiros são externos." title="Figura 1"/>
                    <pic:cNvPicPr>
                      <a:picLocks noChangeAspect="1" noChangeArrowheads="1"/>
                    </pic:cNvPicPr>
                  </pic:nvPicPr>
                  <pic:blipFill>
                    <a:blip r:embed="rId8"/>
                    <a:stretch>
                      <a:fillRect/>
                    </a:stretch>
                  </pic:blipFill>
                  <pic:spPr bwMode="auto">
                    <a:xfrm>
                      <a:off x="0" y="0"/>
                      <a:ext cx="6012180" cy="5474335"/>
                    </a:xfrm>
                    <a:prstGeom prst="rect">
                      <a:avLst/>
                    </a:prstGeom>
                    <a:noFill/>
                  </pic:spPr>
                </pic:pic>
              </a:graphicData>
            </a:graphic>
          </wp:inline>
        </w:drawing>
      </w:r>
    </w:p>
    <w:p>
      <w:pPr>
        <w:pStyle w:val="Caption"/>
        <w:rPr/>
      </w:pPr>
      <w:r>
        <w:rPr/>
        <w:t xml:space="preserve">Figura </w:t>
      </w:r>
      <w:bookmarkStart w:id="20" w:name="fig1"/>
      <w:r>
        <w:rPr/>
        <w:fldChar w:fldCharType="begin"/>
      </w:r>
      <w:r>
        <w:rPr/>
        <w:instrText xml:space="preserve"> SEQ Figura \* ARABIC </w:instrText>
      </w:r>
      <w:r>
        <w:rPr/>
        <w:fldChar w:fldCharType="separate"/>
      </w:r>
      <w:r>
        <w:rPr/>
        <w:t>1</w:t>
      </w:r>
      <w:r>
        <w:rPr/>
        <w:fldChar w:fldCharType="end"/>
      </w:r>
      <w:bookmarkEnd w:id="20"/>
      <w:r>
        <w:rPr/>
        <w:t xml:space="preserve"> — Mapa de vistas e percurso principal de navegação do CRA-SP Educa.</w:t>
      </w:r>
    </w:p>
    <w:p>
      <w:pPr>
        <w:pStyle w:val="Source"/>
        <w:rPr/>
      </w:pPr>
      <w:r>
        <w:rPr/>
        <w:t>Descrição: Seleção de vistas por sessão, perfil e activeTab: vitrine, login, cadastro complementar e painel com início, cursos, vagas e conquistas; destinos de parceiros são externos.</w:t>
      </w:r>
    </w:p>
    <w:p>
      <w:pPr>
        <w:pStyle w:val="Source"/>
        <w:rPr/>
      </w:pPr>
      <w:r>
        <w:rPr/>
        <w:t>Fonte: src/App.tsx; src/store/useNavigationStore.ts; src/components/layout/Header.tsx; src/pages/LoggedDashboard.tsx; server.ts, fallback de produção. Revisão 52c5224, salvo indicação diferente.</w:t>
      </w:r>
    </w:p>
    <w:p>
      <w:pPr>
        <w:pStyle w:val="Heading2"/>
        <w:rPr/>
      </w:pPr>
      <w:bookmarkStart w:id="21" w:name="__RefHeading___Toc8722_608013930"/>
      <w:bookmarkEnd w:id="21"/>
      <w:r>
        <w:rPr/>
        <w:t>Composição da interface</w:t>
      </w:r>
    </w:p>
    <w:p>
      <w:pPr>
        <w:pStyle w:val="Normal"/>
        <w:rPr/>
      </w:pPr>
      <w:r>
        <w:rPr/>
        <w:t>O HTML contém root e carrega src/main.tsx como módulo. A entrada cria a raiz React em StrictMode e importa CSS global. App concentra a composição das vistas, inicialização da autenticação, preferências de acessibilidade e buscas de totais e imagens. Login, conclusão cadastral, painel, rodapé e diálogo externo são importados de forma assíncrona. Suspense define as apresentações intermediárias enquanto esses módulos chegam ao navegador.</w:t>
      </w:r>
    </w:p>
    <w:p>
      <w:pPr>
        <w:pStyle w:val="Normal"/>
        <w:rPr/>
      </w:pPr>
      <w:r>
        <w:rPr/>
        <w:t>No layout comum, TopBar reúne acessibilidade, controle de privacidade, redes sociais e entrada ou saída. Header combina marca, menu público ou privado e busca. Main recebe a vitrine ou o painel, e Footer reúne contatos, atalhos, canais e políticas. A conclusão de perfil possui cabeçalho próprio, e o acesso tem composição específica. Essa separação explica por que a barra pública não aparece em todos os estados de cadastro.</w:t>
      </w:r>
    </w:p>
    <w:p>
      <w:pPr>
        <w:pStyle w:val="Normal"/>
        <w:rPr/>
      </w:pPr>
      <w:r>
        <w:rPr/>
        <w:t>VLibrasWidget e ExternalLinkModal ficam fora do conteúdo escolhido por App. Portanto, a troca entre vitrine, acesso, perfil e painel não determina a desmontagem do widget. Seções públicas usam LazyLoadSection e IntersectionObserver para adiar montagem, reservando altura no layout. O painel monta o componente indicado por activeTab e retorna ao topo quando a seleção muda. As páginas não incluem visualizador de certificados armazenados nem interface administrativa.</w:t>
      </w:r>
    </w:p>
    <w:p>
      <w:pPr>
        <w:pStyle w:val="Caption"/>
        <w:keepNext w:val="true"/>
        <w:rPr/>
      </w:pPr>
      <w:r>
        <w:rPr/>
        <w:t xml:space="preserve">Tabela </w:t>
      </w:r>
      <w:bookmarkStart w:id="22" w:name="tbl12"/>
      <w:r>
        <w:rPr/>
        <w:fldChar w:fldCharType="begin"/>
      </w:r>
      <w:r>
        <w:rPr/>
        <w:instrText xml:space="preserve"> SEQ Tabela \* ARABIC </w:instrText>
      </w:r>
      <w:r>
        <w:rPr/>
        <w:fldChar w:fldCharType="separate"/>
      </w:r>
      <w:r>
        <w:rPr/>
        <w:t>12</w:t>
      </w:r>
      <w:r>
        <w:rPr/>
        <w:fldChar w:fldCharType="end"/>
      </w:r>
      <w:bookmarkEnd w:id="22"/>
      <w:r>
        <w:rPr/>
        <w:t xml:space="preserve"> — Composição da experiência web.</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Grupo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Elementos principais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Responsabilidade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Entrada e vista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main.tsx, App.tsx e stores de sessão e navegação.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Resolver usuário e perfil; montar a vista permitida.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Layout comum</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TopBar, Header, HeaderMobileMenu e Footer.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Identidade, navegação, preferências e canais.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Páginas de negócio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Exploração, painel, jornadas e conquistas.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Apresentar dados e encaminhar ações à API.</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Recursos transversais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VLibrasWidget, ExternalLinkModal, DocumentModal e modalScroll.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Apoio à acessibilidade, documentos e saída para parceiros.</w:t>
            </w:r>
          </w:p>
        </w:tc>
      </w:tr>
    </w:tbl>
    <w:p>
      <w:pPr>
        <w:pStyle w:val="Normal"/>
        <w:spacing w:lineRule="auto" w:line="240" w:before="0" w:after="20"/>
        <w:rPr/>
      </w:pPr>
      <w:r>
        <w:rPr/>
      </w:r>
    </w:p>
    <w:p>
      <w:pPr>
        <w:pStyle w:val="Source"/>
        <w:rPr/>
      </w:pPr>
      <w:r>
        <w:rPr/>
        <w:t>Fonte: index.html; src/main.tsx; src/App.tsx; src/components/layout; src/components/ui/LazyLoadSection.tsx; src/lib/modalScroll.ts. Revisão 52c5224, salvo indicação diferente.</w:t>
      </w:r>
    </w:p>
    <w:p>
      <w:pPr>
        <w:pStyle w:val="Heading2"/>
        <w:rPr/>
      </w:pPr>
      <w:bookmarkStart w:id="23" w:name="__RefHeading___Toc8724_608013930"/>
      <w:bookmarkEnd w:id="23"/>
      <w:r>
        <w:rPr/>
        <w:t>Catálogos, textos e identidade visual</w:t>
      </w:r>
    </w:p>
    <w:p>
      <w:pPr>
        <w:pStyle w:val="Normal"/>
        <w:rPr/>
      </w:pPr>
      <w:r>
        <w:rPr/>
        <w:t>Cursos e vagas em destaque, instituições e perguntas vêm de /api/home-startup, sem catálogo editorial fixo no JSX. O servidor embaralha os cursos e prioriza diversidade de instituições. Nas vagas, tenta selecionar uma oportunidade de aprendiz e completar com estágios e outros tipos, evitando repetição de empresas. O preenchimento de três posições depende da oferta disponível. No navegador, os stores mantêm os resultados em memória e evitam novas buscas quando já possuem listas preenchidas.</w:t>
      </w:r>
    </w:p>
    <w:p>
      <w:pPr>
        <w:pStyle w:val="Normal"/>
        <w:rPr/>
      </w:pPr>
      <w:r>
        <w:rPr/>
        <w:t>Os componentes apresentam conteúdo dinâmico como texto React; ementas e descrições não são injetadas como HTML bruto. Os tipos de catálogo aceitam campos alternativos, como titulo ou tituloEditado e nomeCineRotulo ou area. Dados ausentes geram rótulos de ausência, omissão do trecho ou imagem de apoio. OptimizeImageUrl valida caminhos e seleciona fallback: seu nome não comprova serviço de redimensionamento remoto. Cargas horárias e valores monetários recebem formatação nos utilitários compartilhados.</w:t>
      </w:r>
    </w:p>
    <w:p>
      <w:pPr>
        <w:pStyle w:val="Normal"/>
        <w:rPr/>
      </w:pPr>
      <w:r>
        <w:rPr/>
        <w:t>A identidade utiliza marca CRA-SP, azuis, branco e amarelo, cartões arredondados e composições responsivas com Tailwind CSS. O banner usa arquivos WebP para celular, tablet e computador. LogoCRA incorpora o vetor da marca; as instituições podem fornecer logoUrl e site. Imagens decorativas nos botões públicos usam texto alternativo vazio quando o título já identifica a oferta. Opções cadastrais ficam em constants.ts, separadas dos catálogos externos e dos documentos institucionais.</w:t>
      </w:r>
    </w:p>
    <w:p>
      <w:pPr>
        <w:pStyle w:val="Caption"/>
        <w:keepNext w:val="true"/>
        <w:rPr/>
      </w:pPr>
      <w:r>
        <w:rPr/>
        <w:t xml:space="preserve">Tabela </w:t>
      </w:r>
      <w:bookmarkStart w:id="24" w:name="tbl13"/>
      <w:r>
        <w:rPr/>
        <w:fldChar w:fldCharType="begin"/>
      </w:r>
      <w:r>
        <w:rPr/>
        <w:instrText xml:space="preserve"> SEQ Tabela \* ARABIC </w:instrText>
      </w:r>
      <w:r>
        <w:rPr/>
        <w:fldChar w:fldCharType="separate"/>
      </w:r>
      <w:r>
        <w:rPr/>
        <w:t>13</w:t>
      </w:r>
      <w:r>
        <w:rPr/>
        <w:fldChar w:fldCharType="end"/>
      </w:r>
      <w:bookmarkEnd w:id="24"/>
      <w:r>
        <w:rPr/>
        <w:t xml:space="preserve"> — Fontes de conteúdo e apresentação.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Conteúdo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Tratamento relevante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Banner e marca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public/image1-*.webp e LogoCRA.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Imagem por largura e proporção da marca preservada.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Cursos e 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API pública e home-startup.</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Campos alternativos, formatação e fallbacks.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Instituições e FAQ</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paginaPublica por home-startup.</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Logo ou nome; link HTTPS; três perguntas iniciais.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Opções cadastrais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src/lib/constants.ts.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Formações, UFs, origens e áreas controladas.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Políticas e termos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Componentes ui/documents.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Textos institucionais versionados.</w:t>
            </w:r>
          </w:p>
        </w:tc>
      </w:tr>
    </w:tbl>
    <w:p>
      <w:pPr>
        <w:pStyle w:val="Normal"/>
        <w:spacing w:lineRule="auto" w:line="240" w:before="0" w:after="20"/>
        <w:rPr/>
      </w:pPr>
      <w:r>
        <w:rPr/>
      </w:r>
    </w:p>
    <w:p>
      <w:pPr>
        <w:pStyle w:val="Source"/>
        <w:rPr/>
      </w:pPr>
      <w:r>
        <w:rPr/>
        <w:t>Fonte: server/controllers/catalogoController.ts; src/store/useHomeStore.ts; src/components/showcase; src/lib/formatters.ts; src/lib/constants.ts; public. Revisão 52c5224, salvo indicação diferente.</w:t>
      </w:r>
    </w:p>
    <w:p>
      <w:pPr>
        <w:pStyle w:val="Heading2"/>
        <w:rPr/>
      </w:pPr>
      <w:bookmarkStart w:id="25" w:name="__RefHeading___Toc8726_608013930"/>
      <w:bookmarkEnd w:id="25"/>
      <w:r>
        <w:rPr/>
        <w:t>Interações e recursos globais</w:t>
      </w:r>
    </w:p>
    <w:p>
      <w:pPr>
        <w:pStyle w:val="Normal"/>
        <w:rPr/>
      </w:pPr>
      <w:r>
        <w:rPr/>
        <w:t>A busca do cabeçalho consulta destaques, instituições e perguntas já disponíveis. Apresenta sugestões a partir de dois caracteres, normaliza acentos e limita o retorno a três cursos, três vagas, duas instituições e duas perguntas. Não executa busca global no Firestore. Ao selecionar curso ou vaga, o visitante vai ao acesso e o usuário com perfil completo vai à categoria correspondente. A exploração de vagas usa o termo global em campos próprios; a de cursos utiliza filtros de instituição, área e carga horária.</w:t>
      </w:r>
    </w:p>
    <w:p>
      <w:pPr>
        <w:pStyle w:val="Normal"/>
        <w:rPr/>
      </w:pPr>
      <w:r>
        <w:rPr/>
        <w:t>O FAQ mantém uma resposta aberta por vez, informa expansão por aria-expanded e oculta o painel fechado da árvore de acessibilidade com aria-hidden. Ver mais perguntas amplia a lista; Ver menos também fecha a resposta aberta. FadeIn revela conteúdo por interseção e considera movimento reduzido. Indicadores públicos contam progressivamente até o agregado recebido, sem atualização contínua do banco. Observadores, listeners e quadros de animação são limpos nos efeitos correspondentes.</w:t>
      </w:r>
    </w:p>
    <w:p>
      <w:pPr>
        <w:pStyle w:val="Normal"/>
        <w:rPr/>
      </w:pPr>
      <w:r>
        <w:rPr/>
        <w:t>Os hooks de cursos e vagas percebem o retorno do parceiro por visibilitychange. Guardam em sessionStorage o item aguardando retorno e a jornada ativa; quando a aba volta à visibilidade, perguntam se a matrícula ou inscrição foi concluída. A resposta positiva dispara atualização declaratória; Ainda não fecha a confirmação. O mecanismo não é callback do parceiro, não lê a outra aba e não comprova inscrição. Links dos cartões permitem novo acesso HTTPS ao destino, sem repetir necessariamente o aviso global usado no primeiro encaminhamento.</w:t>
      </w:r>
    </w:p>
    <w:p>
      <w:pPr>
        <w:pStyle w:val="Normal"/>
        <w:rPr/>
      </w:pPr>
      <w:r>
        <w:rPr/>
        <w:t>Fonte e contraste são compartilhados no Zustand e aplicados ao html; documentos possuem controles locais adicionais. Diálogos compartilham gestão de foco e bloqueio de rolagem, inclusive quando sobrepostos. Notificações de erro das jornadas e sucesso de certificado têm fechamento manual e temporização de cinco segundos. Esses recursos orientam a interação; a validação final e a autorização permanecem no servidor.</w:t>
      </w:r>
    </w:p>
    <w:p>
      <w:pPr>
        <w:pStyle w:val="Source"/>
        <w:rPr/>
      </w:pPr>
      <w:r>
        <w:rPr/>
        <w:t>Fonte: src/components/layout/Header.tsx; src/hooks/useCursosPreMatricula.ts; src/hooks/useVagasInteresse.ts; src/components/showcase/FaqAccordion.tsx; src/components/showcase/SocialProof.tsx; src/components/ui/FadeIn.tsx; src/pages/JornadaCursosInicio.tsx. Revisão 52c5224, salvo indicação diferente.</w:t>
      </w:r>
    </w:p>
    <w:p>
      <w:pPr>
        <w:pStyle w:val="Heading2"/>
        <w:rPr/>
      </w:pPr>
      <w:bookmarkStart w:id="26" w:name="__RefHeading___Toc8728_608013930"/>
      <w:bookmarkEnd w:id="26"/>
      <w:r>
        <w:rPr/>
        <w:t>Fronteiras entre as camadas</w:t>
      </w:r>
    </w:p>
    <w:p>
      <w:pPr>
        <w:pStyle w:val="Normal"/>
        <w:rPr/>
      </w:pPr>
      <w:r>
        <w:rPr/>
        <w:t>O navegador mantém apresentação, preferências e cópias temporárias dos dados. A identidade vem do Firebase Authentication. Nas operações protegidas, o cliente envia ID token Bearer à API Express; o servidor verifica revogação, valida entradas com Zod e obtém o UID da identidade. Um identificador fornecido pela interface não define o proprietário da gravação. O Admin SDK persiste perfil e jornadas em documentos identificados pelo UID autenticado.</w:t>
      </w:r>
    </w:p>
    <w:p>
      <w:pPr>
        <w:pStyle w:val="Normal"/>
        <w:rPr/>
      </w:pPr>
      <w:r>
        <w:rPr/>
        <w:t>O servidor também carrega e concatena partes de catálogos no Firestore e mantém cache em memória. O browser consome JSON por fetch; não grava diretamente no Firestore. Certificados chegam ao servidor como Data URL, passam por verificações e são gravados no Storage, com retorno de caminho interno. O cofre secundário recebe dados de cadastro e atualização de contato, com campos sensíveis cifrados; não recebe jornadas nem indicadores públicos de cursos e vagas; mantém seus próprios metadados de lead. AVAs e portais continuam externos ao domínio transacional da aplicação.</w:t>
      </w:r>
    </w:p>
    <w:p>
      <w:pPr>
        <w:pStyle w:val="Caption"/>
        <w:keepNext w:val="true"/>
        <w:rPr/>
      </w:pPr>
      <w:r>
        <w:rPr/>
        <w:t xml:space="preserve">Tabela </w:t>
      </w:r>
      <w:bookmarkStart w:id="27" w:name="tbl14"/>
      <w:r>
        <w:rPr/>
        <w:fldChar w:fldCharType="begin"/>
      </w:r>
      <w:r>
        <w:rPr/>
        <w:instrText xml:space="preserve"> SEQ Tabela \* ARABIC </w:instrText>
      </w:r>
      <w:r>
        <w:rPr/>
        <w:fldChar w:fldCharType="separate"/>
      </w:r>
      <w:r>
        <w:rPr/>
        <w:t>14</w:t>
      </w:r>
      <w:r>
        <w:rPr/>
        <w:fldChar w:fldCharType="end"/>
      </w:r>
      <w:bookmarkEnd w:id="27"/>
      <w:r>
        <w:rPr/>
        <w:t xml:space="preserve"> — Responsabilidades e fronteiras de confiança.</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Camada ou serviço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Responsabilidade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Navegador React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Renderizar e manter estado de interação.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decide autorização nem escreve no Firestore.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Authentication</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Criar conta, autenticar, restaurar sessão e redefinir senha.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substitui perfil complementar e autorização da API.</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API Express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Autenticar, validar, persistir e servir o frontend.</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Concentra a escrita administrativa do produto.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Firestore e Storage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Perfis, jornadas, catálogos, tickets e certificados.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Operações seguem API e regras de acesso.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Cofre e parceiros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Leads protegidos; formação e seleção externas.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Cofre não bloqueia o uso; parceiros têm operação própria.</w:t>
            </w:r>
          </w:p>
        </w:tc>
      </w:tr>
    </w:tbl>
    <w:p>
      <w:pPr>
        <w:pStyle w:val="Normal"/>
        <w:spacing w:lineRule="auto" w:line="240" w:before="0" w:after="20"/>
        <w:rPr/>
      </w:pPr>
      <w:r>
        <w:rPr/>
      </w:r>
    </w:p>
    <w:p>
      <w:pPr>
        <w:pStyle w:val="Normal"/>
        <w:keepNext w:val="true"/>
        <w:jc w:val="center"/>
        <w:rPr/>
      </w:pPr>
      <w:r>
        <w:rPr/>
        <w:drawing>
          <wp:inline distT="0" distB="0" distL="0" distR="0">
            <wp:extent cx="5760085" cy="5760085"/>
            <wp:effectExtent l="0" t="0" r="0" b="0"/>
            <wp:docPr id="4" name="Picture 4" descr="React e Zustand comunicam-se com Firebase Authentication e API Express; apenas o backend acessa Firestore e Storage e encaminha leads cifrados ao Cofre secundário de forma assíncron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act e Zustand comunicam-se com Firebase Authentication e API Express; apenas o backend acessa Firestore e Storage e encaminha leads cifrados ao Cofre secundário de forma assíncrona." title="Figura 2"/>
                    <pic:cNvPicPr>
                      <a:picLocks noChangeAspect="1" noChangeArrowheads="1"/>
                    </pic:cNvPicPr>
                  </pic:nvPicPr>
                  <pic:blipFill>
                    <a:blip r:embed="rId9"/>
                    <a:stretch>
                      <a:fillRect/>
                    </a:stretch>
                  </pic:blipFill>
                  <pic:spPr bwMode="auto">
                    <a:xfrm>
                      <a:off x="0" y="0"/>
                      <a:ext cx="5760085" cy="5760085"/>
                    </a:xfrm>
                    <a:prstGeom prst="rect">
                      <a:avLst/>
                    </a:prstGeom>
                    <a:noFill/>
                  </pic:spPr>
                </pic:pic>
              </a:graphicData>
            </a:graphic>
          </wp:inline>
        </w:drawing>
      </w:r>
    </w:p>
    <w:p>
      <w:pPr>
        <w:pStyle w:val="Caption"/>
        <w:rPr/>
      </w:pPr>
      <w:r>
        <w:rPr/>
        <w:t xml:space="preserve">Figura </w:t>
      </w:r>
      <w:bookmarkStart w:id="28" w:name="fig2"/>
      <w:r>
        <w:rPr/>
        <w:fldChar w:fldCharType="begin"/>
      </w:r>
      <w:r>
        <w:rPr/>
        <w:instrText xml:space="preserve"> SEQ Figura \* ARABIC </w:instrText>
      </w:r>
      <w:r>
        <w:rPr/>
        <w:fldChar w:fldCharType="separate"/>
      </w:r>
      <w:r>
        <w:rPr/>
        <w:t>2</w:t>
      </w:r>
      <w:r>
        <w:rPr/>
        <w:fldChar w:fldCharType="end"/>
      </w:r>
      <w:bookmarkEnd w:id="28"/>
      <w:r>
        <w:rPr/>
        <w:t xml:space="preserve"> — Contexto da aplicação e comunicação entre camadas.</w:t>
      </w:r>
    </w:p>
    <w:p>
      <w:pPr>
        <w:pStyle w:val="Source"/>
        <w:rPr/>
      </w:pPr>
      <w:r>
        <w:rPr/>
        <w:t>Descrição: React e Zustand comunicam-se com Firebase Authentication e API Express; apenas o backend acessa Firestore e Storage e encaminha leads cifrados ao Cofre secundário de forma assíncrona.</w:t>
      </w:r>
    </w:p>
    <w:p>
      <w:pPr>
        <w:pStyle w:val="Source"/>
        <w:rPr/>
      </w:pPr>
      <w:r>
        <w:rPr/>
        <w:t>Fonte: src/api; src/lib/firebase.ts; server.ts; server/routes; server/services/cache.ts; server/services/vault.ts; data-plane-iac. Revisão 52c5224, salvo indicação diferente.</w:t>
      </w:r>
    </w:p>
    <w:p>
      <w:pPr>
        <w:pStyle w:val="Heading2"/>
        <w:rPr/>
      </w:pPr>
      <w:bookmarkStart w:id="29" w:name="__RefHeading___Toc8730_608013930"/>
      <w:bookmarkEnd w:id="29"/>
      <w:r>
        <w:rPr/>
        <w:t>Operação principal conectando as camadas</w:t>
      </w:r>
    </w:p>
    <w:p>
      <w:pPr>
        <w:pStyle w:val="Normal"/>
        <w:rPr/>
      </w:pPr>
      <w:r>
        <w:rPr/>
        <w:t>A jornada de curso demonstra a operação principal. Após autenticação e cadastro, o usuário abre Explorar Cursos. O hook solicita o catálogo, o store o mantém em memória e a página apresenta filtros e detalhes. Pré-Matrícula envia cursoId e snapshot de apoio. O backend procura o ID no catálogo oficial ou na vitrine, constrói seu próprio snapshot e executa transação no documento do usuário. Perfil incompleto, curso ausente, duplicidade e limite da lista impedem criação. O limite de 150 entradas inclui o histórico, não somente cursos ativos.</w:t>
      </w:r>
    </w:p>
    <w:p>
      <w:pPr>
        <w:pStyle w:val="Normal"/>
        <w:rPr/>
      </w:pPr>
      <w:r>
        <w:rPr/>
        <w:t>Com a pré-matrícula confirmada, a interface oferece acesso ao AVA. O primeiro encaminhamento exibe aviso e abre nova aba com noopener e noreferrer. A matrícula é feita no parceiro e declarada no retorno, ou pelo botão Já iniciei o curso. MATRICULADO registra a primeira matrícula e atualiza os metadados na transação; o cache é incrementado após sua confirmação. Mudanças simples são otimistas na interface e revertem quando a API falha, mantendo o banco como referência.</w:t>
      </w:r>
    </w:p>
    <w:p>
      <w:pPr>
        <w:pStyle w:val="Normal"/>
        <w:rPr/>
      </w:pPr>
      <w:r>
        <w:rPr/>
        <w:t>Na conclusão, o usuário anexa PDF, PNG ou JPEG de até 1 MiB e atribui notas inteiras de um a cinco a conteúdo, plataforma e material. O navegador pode comprimir imagens. A API de certificados valida tamanho, assinatura, sessão, perfil e estado, grava objeto isolado por UID e associado ao curso e devolve caminho de Storage. Uma segunda requisição vincula caminho e avaliação ao estado EM_ANALISE. As duas operações não são uma transação única entre Storage e Firestore.</w:t>
      </w:r>
    </w:p>
    <w:p>
      <w:pPr>
        <w:pStyle w:val="Normal"/>
        <w:rPr/>
      </w:pPr>
      <w:r>
        <w:rPr/>
        <w:t>Se a vinculação falhar após upload, o caminho fica na memória do cliente para nova tentativa enquanto o estado existir; recarregar pode perder essa recuperação local. Após sucesso, o diálogo fecha e a interface confirma o recebimento. A aprovação para CONCLUIDO pertence ao processo administrativo externo informado: o autoatendimento não autoriza esse salto. A conquista aparece quando nova leitura de perfil retorna o estado aprovado; jornadas não possuem listener em tempo real.</w:t>
      </w:r>
    </w:p>
    <w:p>
      <w:pPr>
        <w:pStyle w:val="Caption"/>
        <w:keepNext w:val="true"/>
        <w:rPr/>
      </w:pPr>
      <w:r>
        <w:rPr/>
        <w:t xml:space="preserve">Tabela </w:t>
      </w:r>
      <w:bookmarkStart w:id="30" w:name="tbl15"/>
      <w:r>
        <w:rPr/>
        <w:fldChar w:fldCharType="begin"/>
      </w:r>
      <w:r>
        <w:rPr/>
        <w:instrText xml:space="preserve"> SEQ Tabela \* ARABIC </w:instrText>
      </w:r>
      <w:r>
        <w:rPr/>
        <w:fldChar w:fldCharType="separate"/>
      </w:r>
      <w:r>
        <w:rPr/>
        <w:t>15</w:t>
      </w:r>
      <w:r>
        <w:rPr/>
        <w:fldChar w:fldCharType="end"/>
      </w:r>
      <w:bookmarkEnd w:id="30"/>
      <w:r>
        <w:rPr/>
        <w:t xml:space="preserve"> — Marcos da jornada e confirmação disponível.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Marco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Registro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Significado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Interesse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de jornada; PRE_MATRICULADO.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 no hub, sem matrícula automática no AVA.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Matrícula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de status; MATRICULADO.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Declaração do usuário com registro temporal.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 recebido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de certificado; caminho interno.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Objeto no Storage, ainda pendente de vinculação.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Análise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EM_ANALISE e avaliação.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Validações aceitas, sem aprovação automática.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Conquista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CONCLUIDO recebido no perfil.</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Aprovação externa refletida na galeria e nas horas.</w:t>
            </w:r>
          </w:p>
        </w:tc>
      </w:tr>
    </w:tbl>
    <w:p>
      <w:pPr>
        <w:pStyle w:val="Normal"/>
        <w:spacing w:lineRule="auto" w:line="240" w:before="0" w:after="20"/>
        <w:rPr/>
      </w:pPr>
      <w:r>
        <w:rPr/>
      </w:r>
    </w:p>
    <w:p>
      <w:pPr>
        <w:pStyle w:val="Source"/>
        <w:rPr/>
      </w:pPr>
      <w:r>
        <w:rPr/>
        <w:t>Fonte: src/hooks/useCursosPreMatricula.ts; src/pages/JornadaCursosInicio.tsx; src/components/ui/UploadCertificadoModal.tsx; server/controllers/jornadaCursosController.ts; server/routes/certificados.ts; informação do responsável. Revisão 52c5224, salvo indicação diferente.</w:t>
      </w:r>
    </w:p>
    <w:p>
      <w:pPr>
        <w:pStyle w:val="Heading1"/>
        <w:rPr/>
      </w:pPr>
      <w:bookmarkStart w:id="31" w:name="__RefHeading___Toc8732_608013930"/>
      <w:bookmarkEnd w:id="31"/>
      <w:r>
        <w:rPr/>
        <w:t>Interface web, navegação e interação</w:t>
      </w:r>
    </w:p>
    <w:p>
      <w:pPr>
        <w:pStyle w:val="Heading2"/>
        <w:rPr/>
      </w:pPr>
      <w:bookmarkStart w:id="32" w:name="__RefHeading___Toc8734_608013930"/>
      <w:bookmarkEnd w:id="32"/>
      <w:r>
        <w:rPr/>
        <w:t>Montagem da aplicação</w:t>
      </w:r>
    </w:p>
    <w:p>
      <w:pPr>
        <w:pStyle w:val="Normal"/>
        <w:rPr/>
      </w:pPr>
      <w:r>
        <w:rPr/>
        <w:t>O HTML inicial declara idioma pt-BR, codificação UTF-8 e viewport responsivo. Contém título e descrição do CRA-SP Educa, metadados Open Graph e cartão Twitter, favicon SVG e preloads das três versões do banner, condicionados à largura da tela. Há conexões antecipadas para serviços usados ou previstos e política de referência no-referrer. O conteúdo React só é montado depois da execução de src/main.tsx sobre root; o arquivo HTML não contém uma versão completa da vitrine renderizada no servidor.</w:t>
      </w:r>
    </w:p>
    <w:p>
      <w:pPr>
        <w:pStyle w:val="Normal"/>
        <w:rPr/>
      </w:pPr>
      <w:r>
        <w:rPr/>
        <w:t>Main.tsx importa index.css e cria App dentro de StrictMode. Os estilos carregam Tailwind CSS e regras globais de alto contraste. App busca totais e imagens e decide quando inicializar Authentication: se identifica indício de sessão em armazenamento local, inicia imediatamente; caso contrário, aguarda interação do usuário. Abrir o login também inicializa a autenticação. O store mantém uma única subscrição de estado de autenticação e a encerra na limpeza. Isso não configura subscrição em tempo real às jornadas ou aos catálogos.</w:t>
      </w:r>
    </w:p>
    <w:p>
      <w:pPr>
        <w:pStyle w:val="Normal"/>
        <w:rPr/>
      </w:pPr>
      <w:r>
        <w:rPr/>
        <w:t>Uma sessão válida inicia GET /api/usuarios/check-profile com token e solicitação de não armazenamento. A resposta profileComplete define a entrada no cadastro ou no painel e hidrata os stores de cursos e vagas do usuário. A leitura do servidor devolve um subconjunto do perfil, sem expor CPF e celular em texto claro. Se a consulta falha, o estado individual é limpo e a sessão é encerrada pelo fluxo do store. Contadores de geração e de sessão impedem que respostas antigas reponham os dados de uma conta após saída ou troca de usuário.</w:t>
      </w:r>
    </w:p>
    <w:p>
      <w:pPr>
        <w:pStyle w:val="Source"/>
        <w:rPr/>
      </w:pPr>
      <w:r>
        <w:rPr/>
        <w:t>Fonte: index.html; src/main.tsx; src/index.css; src/App.tsx; src/store/useAuthStore.ts; server/controllers/usuariosController.ts, checarPerfil. Revisão 52c5224, salvo indicação diferente.</w:t>
      </w:r>
    </w:p>
    <w:p>
      <w:pPr>
        <w:pStyle w:val="Heading2"/>
        <w:rPr/>
      </w:pPr>
      <w:bookmarkStart w:id="33" w:name="__RefHeading___Toc8736_608013930"/>
      <w:bookmarkEnd w:id="33"/>
      <w:r>
        <w:rPr/>
        <w:t>Rotas e páginas</w:t>
      </w:r>
    </w:p>
    <w:p>
      <w:pPr>
        <w:pStyle w:val="Normal"/>
        <w:rPr/>
      </w:pPr>
      <w:r>
        <w:rPr/>
        <w:t>A restrição de vistas depende da combinação de sessão, profileComplete e activeTab. A navegação visual não altera o pathname para criar páginas específicas. O visitante pode consultar fragmentos públicos, abrir as políticas e acessar canais institucionais. Para funcionalidades individuais, o acesso e o cadastro complementar antecedem o painel. Essas condições de apresentação são acompanhadas de validação e autorização no backend: ocultar um componente não constitui o único controle de acesso.</w:t>
      </w:r>
    </w:p>
    <w:p>
      <w:pPr>
        <w:pStyle w:val="Caption"/>
        <w:keepNext w:val="true"/>
        <w:rPr/>
      </w:pPr>
      <w:r>
        <w:rPr/>
        <w:t xml:space="preserve">Tabela </w:t>
      </w:r>
      <w:bookmarkStart w:id="34" w:name="tbl16"/>
      <w:r>
        <w:rPr/>
        <w:fldChar w:fldCharType="begin"/>
      </w:r>
      <w:r>
        <w:rPr/>
        <w:instrText xml:space="preserve"> SEQ Tabela \* ARABIC </w:instrText>
      </w:r>
      <w:r>
        <w:rPr/>
        <w:fldChar w:fldCharType="separate"/>
      </w:r>
      <w:r>
        <w:rPr/>
        <w:t>16</w:t>
      </w:r>
      <w:r>
        <w:rPr/>
        <w:fldChar w:fldCharType="end"/>
      </w:r>
      <w:bookmarkEnd w:id="34"/>
      <w:r>
        <w:rPr/>
        <w:t xml:space="preserve"> — Condições de montagem, carregamento e ausência de conteúdo.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Apresentação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Comportamento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Visitante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PublicLandingPage ou LoginPage.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Entrar, botões de exploração e cards públicos podem abrir o acesso.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em verificação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DashboardSkeleton quando aplicável ao painel.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Evita renderizar dados individuais antes da resolução.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incompleto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CompleteProfilePage.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Mantém o formulário até salvar ou sair.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carregando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Seis cartões de esqueleto quando a lista está vazia.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Dados existentes podem permanecer enquanto o store conclui a busca.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Filtros sem resultado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Mensagem específica de curso ou vaga.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é uma confirmação de inexistência no banco inteiro.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jornadas/conquistas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Mensagem de curso em andamento vazio ou galeria vazia.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Minhas Vagas é omitida quando não há itens ativos.</w:t>
            </w:r>
          </w:p>
        </w:tc>
      </w:tr>
    </w:tbl>
    <w:p>
      <w:pPr>
        <w:pStyle w:val="Normal"/>
        <w:spacing w:lineRule="auto" w:line="240" w:before="0" w:after="20"/>
        <w:rPr/>
      </w:pPr>
      <w:r>
        <w:rPr/>
      </w:r>
    </w:p>
    <w:p>
      <w:pPr>
        <w:pStyle w:val="Normal"/>
        <w:rPr/>
      </w:pPr>
      <w:r>
        <w:rPr/>
        <w:t>A aba dados contém somente aviso de gestão futura e não integra os links privados do cabeçalho ou rodapé. A atualização operacional existente é o formulário de contato no painel. Da mesma forma, o sistema não apresenta página individual endereçável de curso ou vaga: Detalhes abre um diálogo sobre a exploração. A seleção de uma aba desmonta a página anterior, de modo que filtros e diálogos locais podem ser reiniciados, embora catálogos e jornadas mantidos nos stores globais permaneçam na memória da sessão.</w:t>
      </w:r>
    </w:p>
    <w:p>
      <w:pPr>
        <w:pStyle w:val="Source"/>
        <w:rPr/>
      </w:pPr>
      <w:r>
        <w:rPr/>
        <w:t>Fonte: src/App.tsx; src/pages/LoggedDashboard.tsx; src/pages/ExplorarCursos.tsx; src/pages/ExplorarVagas.tsx; src/components/showcase/ListaJornadaCursos.tsx; src/components/showcase/ListaJornadaVagas.tsx. Revisão 52c5224, salvo indicação diferente.</w:t>
      </w:r>
    </w:p>
    <w:p>
      <w:pPr>
        <w:pStyle w:val="Heading2"/>
        <w:rPr/>
      </w:pPr>
      <w:bookmarkStart w:id="35" w:name="__RefHeading___Toc8738_608013930"/>
      <w:bookmarkEnd w:id="35"/>
      <w:r>
        <w:rPr/>
        <w:t>Layouts e navegação</w:t>
      </w:r>
    </w:p>
    <w:p>
      <w:pPr>
        <w:pStyle w:val="Normal"/>
        <w:rPr/>
      </w:pPr>
      <w:r>
        <w:rPr/>
        <w:t>O cabeçalho troca os links públicos pelos quatro destinos privados quando há usuário com perfil completo e a vista não é vitrine. Logo e Meu Painel permitem alternar entre apresentação pública e área individual sem encerrar a sessão. O rodapé oferece atalhos equivalentes conforme a autenticação. A barra superior usa Entrar para abrir a tela de acesso e Sair para limpar dados individuais, marcas de sessão e indicadores de retorno antes de solicitar o encerramento no Firebase.</w:t>
      </w:r>
    </w:p>
    <w:p>
      <w:pPr>
        <w:pStyle w:val="Normal"/>
        <w:rPr/>
      </w:pPr>
      <w:r>
        <w:rPr/>
        <w:t>No celular, botões distintos abrem o campo de busca e expandem o menu. O acionador do menu informa aria-expanded e aria-controls; a lupa abre o menu e solicita foco ao campo mobile. A seleção de um destino fecha o menu. Nos menus privados, aria-current=page identifica a aba selecionada. As regiões de navegação têm nomes distintos para computador e celular, evitando que tecnologias assistivas recebam landmarks sem identificação.</w:t>
      </w:r>
    </w:p>
    <w:p>
      <w:pPr>
        <w:pStyle w:val="Caption"/>
        <w:keepNext w:val="true"/>
        <w:rPr/>
      </w:pPr>
      <w:r>
        <w:rPr/>
        <w:t xml:space="preserve">Tabela </w:t>
      </w:r>
      <w:bookmarkStart w:id="36" w:name="tbl17"/>
      <w:r>
        <w:rPr/>
        <w:fldChar w:fldCharType="begin"/>
      </w:r>
      <w:r>
        <w:rPr/>
        <w:instrText xml:space="preserve"> SEQ Tabela \* ARABIC </w:instrText>
      </w:r>
      <w:r>
        <w:rPr/>
        <w:fldChar w:fldCharType="separate"/>
      </w:r>
      <w:r>
        <w:rPr/>
        <w:t>17</w:t>
      </w:r>
      <w:r>
        <w:rPr/>
        <w:fldChar w:fldCharType="end"/>
      </w:r>
      <w:bookmarkEnd w:id="36"/>
      <w:r>
        <w:rPr/>
        <w:t xml:space="preserve"> — Controles de navegação e comportamento efetivo.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Controle</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Estado apresentado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Logo CRA-SP</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Abre a vitrine para usuário autenticado; link raiz para visitante.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 acessível “Página Inicial”.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Menu público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Rola até a seção correspondente e fecha busca e menu.</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Âncoras para cinco seções da vitrine.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Menu privado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Altera activeTab e retorna ao topo.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aria-current na seleção atual.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Busca do cabeçalho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Sugere itens do pacote público com dois caracteres.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Região de resultados; Escape fecha no computador.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Resultado sugerido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Encaminha à categoria ou à seção institucional/FAQ.</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abre diretamente o detalhe da oferta sugerida.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Menu mobile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Expande navegação e pesquisa; fecha após seleção.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 “Abrir menu” ou “Fechar menu”.</w:t>
            </w:r>
          </w:p>
        </w:tc>
      </w:tr>
    </w:tbl>
    <w:p>
      <w:pPr>
        <w:pStyle w:val="Normal"/>
        <w:spacing w:lineRule="auto" w:line="240" w:before="0" w:after="20"/>
        <w:rPr/>
      </w:pPr>
      <w:r>
        <w:rPr/>
      </w:r>
    </w:p>
    <w:p>
      <w:pPr>
        <w:pStyle w:val="Normal"/>
        <w:rPr/>
      </w:pPr>
      <w:r>
        <w:rPr/>
        <w:t>A pesquisa do cabeçalho normaliza acentos conforme a função de comparação, mas não consulta todo o catálogo. Os resultados são limitados por categoria. A pesquisa das vagas no catálogo usa o termo global com comparação em minúsculas sobre tipo, empresa, escolaridade, descrição e atividades. O encaminhamento por uma sugestão limpa o termo antes de navegar; por isso, selecionar uma sugestão não equivale a transferir uma seleção individual para um filtro de catálogo. Esses comportamentos preservam a distinção entre orientação pública e exploração completa.</w:t>
      </w:r>
    </w:p>
    <w:p>
      <w:pPr>
        <w:pStyle w:val="Normal"/>
        <w:rPr/>
      </w:pPr>
      <w:r>
        <w:rPr/>
        <w:t>Os contatos do rodapé são acionáveis por tel e mailto. Redes sociais, transparência, ouvidoria, informações institucionais e mapa usam links externos identificados. Novas abas incluem noopener e noreferrer nos links implementados. O código possui rolagens suaves para âncoras e atalhos e rolagem imediata ao mudar a aba privada. Não oferece modo de apresentação em tela cheia; a política HTTP também restringe essa capacidade.</w:t>
      </w:r>
    </w:p>
    <w:p>
      <w:pPr>
        <w:pStyle w:val="Source"/>
        <w:rPr/>
      </w:pPr>
      <w:r>
        <w:rPr/>
        <w:t>Fonte: src/components/layout/Header.tsx; HeaderMobileMenu.tsx; HeaderSearchResults.tsx; Footer.tsx; TopBar.tsx; src/hooks/useVagasFilters.ts; server.ts, Permissions-Policy. Revisão 52c5224, salvo indicação diferente.</w:t>
      </w:r>
    </w:p>
    <w:p>
      <w:pPr>
        <w:pStyle w:val="Heading2"/>
        <w:rPr/>
      </w:pPr>
      <w:bookmarkStart w:id="37" w:name="__RefHeading___Toc8740_608013930"/>
      <w:bookmarkEnd w:id="37"/>
      <w:r>
        <w:rPr/>
        <w:t>Formulários e componentes</w:t>
      </w:r>
    </w:p>
    <w:p>
      <w:pPr>
        <w:pStyle w:val="Heading3"/>
        <w:rPr/>
      </w:pPr>
      <w:r>
        <w:rPr/>
        <w:t>Acesso, criação de conta e recuperação de senha</w:t>
      </w:r>
    </w:p>
    <w:p>
      <w:pPr>
        <w:pStyle w:val="Normal"/>
        <w:rPr/>
      </w:pPr>
      <w:r>
        <w:rPr/>
        <w:t>LoginPage alterna acesso e criação de conta na mesma composição. O formulário exige e-mail e senha e usa tipos HTML email e password. A autenticação é feita diretamente no SDK Firebase, sem transmitir a senha aos endpoints de perfil do Express. Também há botões de autenticação Google e Microsoft por popup, dependentes da habilitação dos provedores no ambiente. Após sucesso, o código seleciona inicio; a verificação subsequente de perfil continua obrigatória.</w:t>
      </w:r>
    </w:p>
    <w:p>
      <w:pPr>
        <w:pStyle w:val="Caption"/>
        <w:keepNext w:val="true"/>
        <w:rPr/>
      </w:pPr>
      <w:r>
        <w:rPr/>
        <w:t xml:space="preserve">Tabela </w:t>
      </w:r>
      <w:bookmarkStart w:id="38" w:name="tbl18"/>
      <w:r>
        <w:rPr/>
        <w:fldChar w:fldCharType="begin"/>
      </w:r>
      <w:r>
        <w:rPr/>
        <w:instrText xml:space="preserve"> SEQ Tabela \* ARABIC </w:instrText>
      </w:r>
      <w:r>
        <w:rPr/>
        <w:fldChar w:fldCharType="separate"/>
      </w:r>
      <w:r>
        <w:rPr/>
        <w:t>18</w:t>
      </w:r>
      <w:r>
        <w:rPr/>
        <w:fldChar w:fldCharType="end"/>
      </w:r>
      <w:bookmarkEnd w:id="38"/>
      <w:r>
        <w:rPr/>
        <w:t xml:space="preserve"> — Campos e ações de autenticação.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 ou ação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Contrato visível</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Retorno ou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Campo obrigatório do tipo email.</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Usado no acesso, criação e recuperação.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Senha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Campo obrigatório do tipo password.</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 trata política; erro fraco informa pelo menos seis caracteres.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Entrar / Criar Conta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Submit desabilitado durante processamento.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Aguarde substitui o rótulo durante a requisição.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Google / Microsoft</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signInWithPopup com os respectivos provedores.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Falha mostra mensagem específica do provedor.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Esqueceu a senha?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Exige e-mail preenchido antes de chamar sendPasswordResetEmail.</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Sucesso orienta consultar a caixa de entrada.</w:t>
            </w:r>
          </w:p>
        </w:tc>
      </w:tr>
    </w:tbl>
    <w:p>
      <w:pPr>
        <w:pStyle w:val="Normal"/>
        <w:spacing w:lineRule="auto" w:line="240" w:before="0" w:after="20"/>
        <w:rPr/>
      </w:pPr>
      <w:r>
        <w:rPr/>
      </w:r>
    </w:p>
    <w:p>
      <w:pPr>
        <w:pStyle w:val="Normal"/>
        <w:rPr/>
      </w:pPr>
      <w:r>
        <w:rPr/>
        <w:t>As mensagens distinguem e-mail já utilizado, senha fraca, credenciais ou conexão e falha dos provedores. Erros aparecem em role=alert; confirmação de redefinição usa role=status com anúncio educado. Voltar fecha a vista de acesso. O código não implementa um segundo fator próprio nem confirmação de e-mail como etapa obrigatória desse formulário; recomendações institucionais sobre contas associadas não devem ser interpretadas como funções já entregues.</w:t>
      </w:r>
    </w:p>
    <w:p>
      <w:pPr>
        <w:pStyle w:val="Source"/>
        <w:rPr/>
      </w:pPr>
      <w:r>
        <w:rPr/>
        <w:t>Fonte: src/pages/LoginPage.tsx; src/lib/firebase.ts; src/store/useAuthStore.ts. Revisão 52c5224, salvo indicação diferente.</w:t>
      </w:r>
    </w:p>
    <w:p>
      <w:pPr>
        <w:pStyle w:val="Heading3"/>
        <w:rPr/>
      </w:pPr>
      <w:r>
        <w:rPr/>
        <w:t>Cadastro complementar e formação</w:t>
      </w:r>
    </w:p>
    <w:p>
      <w:pPr>
        <w:pStyle w:val="Normal"/>
        <w:rPr/>
      </w:pPr>
      <w:r>
        <w:rPr/>
        <w:t>O cadastro é apresentado após autenticação quando check-profile informa perfil incompleto. O e-mail vem da conta e é mostrado desabilitado para edição. Nome e CPF recebem tratamento no cliente: o nome passa por capitalização, o CPF por máscara e verificação matemática, e celular por máscara de telefone. O formulário aplica requisitos HTML e verificações específicas antes do envio. O schema de tipos do frontend registra contratos, mas CompleteProfilePage não executa profileSchema.safeParse; a validação autoritativa é a implementação Zod da rota de usuários.</w:t>
      </w:r>
    </w:p>
    <w:p>
      <w:pPr>
        <w:pStyle w:val="Caption"/>
        <w:keepNext w:val="true"/>
        <w:rPr/>
      </w:pPr>
      <w:r>
        <w:rPr/>
        <w:t xml:space="preserve">Tabela </w:t>
      </w:r>
      <w:bookmarkStart w:id="39" w:name="tbl19"/>
      <w:r>
        <w:rPr/>
        <w:fldChar w:fldCharType="begin"/>
      </w:r>
      <w:r>
        <w:rPr/>
        <w:instrText xml:space="preserve"> SEQ Tabela \* ARABIC </w:instrText>
      </w:r>
      <w:r>
        <w:rPr/>
        <w:fldChar w:fldCharType="separate"/>
      </w:r>
      <w:r>
        <w:rPr/>
        <w:t>19</w:t>
      </w:r>
      <w:r>
        <w:rPr/>
        <w:fldChar w:fldCharType="end"/>
      </w:r>
      <w:bookmarkEnd w:id="39"/>
      <w:r>
        <w:rPr/>
        <w:t xml:space="preserve"> — Contrato cadastral apresentado e validação do servidor.</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Regra e apresentação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Condição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 completo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Obrigatório; trim; servidor aceita de 2 a 100 caracteres.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Capitalização no cliente; não comprova identidade civil.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Máscara de até 14 caracteres; 11 dígitos e verificadores válidos.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 protege unicidade; rejeita CPF de outra conta.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Celular</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Máscara; servidor exige 10 ou 11 dígitos, string de até 20 caracteres.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Cliente limita o campo a 15 caracteres.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E-mail de acesso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Vem de user.email; não editável no cadastro complementar.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 obtém e-mail do token, não do formulário.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UF</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Uma das 27 siglas, incluindo DF.</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Seleção obrigatória.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Registro CRA-SP</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Sim ou Não.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Declaração obrigatória.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Como soube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Uma das oito opções de constants.ts.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Origem obrigatória.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Formação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Uma das oito formações previstas.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Determina campos adicionais.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Área de atuação/estudo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Uma das áreas de AREAS_ATUACAO.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Somente profissional ou estudante de outra área.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IES, campus e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Nomes com até 150 caracteres no servidor.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Obrigatórios para estudante de Administração.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Semestre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Formato 1º Semestre etc.; lista controlada.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Até seis para tecnólogo; até dez para demais estudantes de Administração.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Aceite LGPD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Deve ser verdadeiro no envio.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aceito impede conclusão cadastral.</w:t>
            </w:r>
          </w:p>
        </w:tc>
      </w:tr>
    </w:tbl>
    <w:p>
      <w:pPr>
        <w:pStyle w:val="Normal"/>
        <w:spacing w:lineRule="auto" w:line="240" w:before="0" w:after="20"/>
        <w:rPr/>
      </w:pPr>
      <w:r>
        <w:rPr/>
      </w:r>
    </w:p>
    <w:p>
      <w:pPr>
        <w:pStyle w:val="Normal"/>
        <w:rPr/>
      </w:pPr>
      <w:r>
        <w:rPr/>
        <w:t>As formações são profissional de Administração nas modalidades bacharel, tecnólogo e técnico; profissional de outra área; estudante de Administração em bacharelado, curso tecnólogo e curso técnico; e estudante de outra área. Mudar formação limpa área, semestre, IES, campus e curso no cliente. O backend também remove campos incompatíveis com a formação recebida. Isso evita conservar dados residuais de uma seleção anterior no registro final.</w:t>
      </w:r>
    </w:p>
    <w:p>
      <w:pPr>
        <w:pStyle w:val="Normal"/>
        <w:rPr/>
      </w:pPr>
      <w:r>
        <w:rPr/>
        <w:t>O cliente transforma escolhas do e-MEC em nomes antes de enviar, preservando o mesmo contrato textual do cadastro manual. Para modo manual, IES e curso exigem pelo menos três caracteres; para escolhas de catálogo, pelo menos dois. Campus exige dois em ambos. O servidor aplica esses mínimos e confere o semestre contra a modalidade. O cadastro inicial é imutável na API após existir cpfHash; o formulário de contato não é uma edição integral do perfil. Sucesso apresenta Dados salvos com sucesso e libera o painel após um segundo, se a sessão ainda for a mesma.</w:t>
      </w:r>
    </w:p>
    <w:p>
      <w:pPr>
        <w:pStyle w:val="Source"/>
        <w:rPr/>
      </w:pPr>
      <w:r>
        <w:rPr/>
        <w:t>Fonte: src/pages/CompleteProfilePage.tsx; src/components/ui/ProfileFormFields.tsx; src/components/ui/profile/LgpdAgreement.tsx; src/types/schemas.ts; src/lib/constants.ts; server/routes/usuarios.ts; server/controllers/usuariosController.ts. Revisão 52c5224, salvo indicação diferente.</w:t>
      </w:r>
    </w:p>
    <w:p>
      <w:pPr>
        <w:pStyle w:val="Heading3"/>
        <w:rPr/>
      </w:pPr>
      <w:r>
        <w:rPr/>
        <w:t>Consulta acadêmica e alternativas de preenchimento</w:t>
      </w:r>
    </w:p>
    <w:p>
      <w:pPr>
        <w:pStyle w:val="Normal"/>
        <w:rPr/>
      </w:pPr>
      <w:r>
        <w:rPr/>
        <w:t>A seleção de estudante de Administração dispara carregamento das instituições quando a lista ainda está vazia. Escolher IES limpa campus e curso e solicita os campi; escolher campus limpa curso e solicita os cursos compatíveis. Para bacharelado é enviado filtroGrau=Bacharelado; para tecnólogo, Tecnológico. O catálogo consultado é mantido no Firestore e cache do servidor; o nome e-MEC não significa consulta em tempo real ao serviço governamental.</w:t>
      </w:r>
    </w:p>
    <w:p>
      <w:pPr>
        <w:pStyle w:val="Normal"/>
        <w:rPr/>
      </w:pPr>
      <w:r>
        <w:rPr/>
        <w:t>Os três carregamentos possuem indicadores próprios e controles desabilitados durante as buscas. Respostas fora de ordem são descartadas por contadores monotônicos no store, inclusive após limpeza de uma lista dependente. Falha ou payload inesperado produz lista vazia e registro no console; a interface diferencia carregando de ausência de opção, sem apresentar todos os detalhes técnicos ao usuário. Outra / Não encontrei minha instituição habilita os campos manuais. Voltar para a lista do MEC limpa esses nomes e restaura o modo de seleção.</w:t>
      </w:r>
    </w:p>
    <w:p>
      <w:pPr>
        <w:pStyle w:val="Normal"/>
        <w:rPr/>
      </w:pPr>
      <w:r>
        <w:rPr/>
        <w:t>SearchableSelect mantém termo local, opção selecionada e índice ativo. Sua pesquisa é textual sobre o rótulo, sem busca remota por caractere. O componente permite setas, Enter e Escape e informa Nenhum resultado quando a filtragem local fica vazia. As opções transportam objetos serializados durante a interação, mas o payload cadastral final envia nomes resolvidos; não são criados registros novos no catálogo de instituições pelo formulário.</w:t>
      </w:r>
    </w:p>
    <w:p>
      <w:pPr>
        <w:pStyle w:val="Source"/>
        <w:rPr/>
      </w:pPr>
      <w:r>
        <w:rPr/>
        <w:t>Fonte: src/pages/CompleteProfilePage.tsx; src/store/useMecStore.ts; src/components/ui/ProfileFormFields.tsx; src/components/ui/SearchableSelect.tsx; server/routes/mec.ts. Revisão 52c5224, salvo indicação diferente.</w:t>
      </w:r>
    </w:p>
    <w:p>
      <w:pPr>
        <w:pStyle w:val="Heading3"/>
        <w:rPr/>
      </w:pPr>
      <w:r>
        <w:rPr/>
        <w:t>Filtros, detalhes e indicadores das jornadas</w:t>
      </w:r>
    </w:p>
    <w:p>
      <w:pPr>
        <w:pStyle w:val="Normal"/>
        <w:rPr/>
      </w:pPr>
      <w:r>
        <w:rPr/>
        <w:t>Cursos usam filtros dependentes de instituição, área e carga horária. A mudança de instituição limpa área e carga; a mudança de área limpa carga. As faixas agrupam horas pelo primeiro número inteiro do valor recebido. Vagas usam instituição participante, tipo, cidade e bolsa/salário, com limpeza dos filtros inferiores quando a seleção anterior muda. O rótulo Instituição usa instituicaoCooperada, embora o estado do hook se chame filtroEmpresa. Não representa necessariamente o nome do empregador.</w:t>
      </w:r>
    </w:p>
    <w:p>
      <w:pPr>
        <w:pStyle w:val="Caption"/>
        <w:keepNext w:val="true"/>
        <w:rPr/>
      </w:pPr>
      <w:r>
        <w:rPr/>
        <w:t xml:space="preserve">Tabela </w:t>
      </w:r>
      <w:bookmarkStart w:id="40" w:name="tbl20"/>
      <w:r>
        <w:rPr/>
        <w:fldChar w:fldCharType="begin"/>
      </w:r>
      <w:r>
        <w:rPr/>
        <w:instrText xml:space="preserve"> SEQ Tabela \* ARABIC </w:instrText>
      </w:r>
      <w:r>
        <w:rPr/>
        <w:fldChar w:fldCharType="separate"/>
      </w:r>
      <w:r>
        <w:rPr/>
        <w:t>20</w:t>
      </w:r>
      <w:r>
        <w:rPr/>
        <w:fldChar w:fldCharType="end"/>
      </w:r>
      <w:bookmarkEnd w:id="40"/>
      <w:r>
        <w:rPr/>
        <w:t xml:space="preserve"> — Critérios dos filtros locais dos catálogos.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Filtro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Regra implementada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Apresentação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Instituição e área do curso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Comparação de valores normalizados em maiúsculas.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Opções derivadas dos registros disponíveis.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 do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Até 4; acima de 4 até 12; até 20; até 40; até 80; acima de 80 horas.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Mostra apenas faixas presentes após os demais filtros.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Instituição da vaga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Campo instituicaoCooperada.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Todos os participantes ou um selecionado.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Tipo e cidade da vaga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Igualdade de valores normalizados em maiúsculas.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Opções dependem dos filtros anteriores.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Bolsa / salário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Primeiro bolsa exata positiva; caso contrário salário exato positivo.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Faixas até 500, 1.000, 1.500, 2.000 e acima de 2.000 reais.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Valores monetários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parseMonetaryValue aceita número e formatos textuais; preserva centavos.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Valores ausentes ou inválidos não entram nas faixas positivas.</w:t>
            </w:r>
          </w:p>
        </w:tc>
      </w:tr>
    </w:tbl>
    <w:p>
      <w:pPr>
        <w:pStyle w:val="Normal"/>
        <w:spacing w:lineRule="auto" w:line="240" w:before="0" w:after="20"/>
        <w:rPr/>
      </w:pPr>
      <w:r>
        <w:rPr/>
      </w:r>
    </w:p>
    <w:p>
      <w:pPr>
        <w:pStyle w:val="Normal"/>
        <w:rPr/>
      </w:pPr>
      <w:r>
        <w:rPr/>
        <w:t>Detalhes do curso incluem apresentação, público-alvo, pré-requisitos, certificador, conteudista, prazo e conteúdo programático quando fornecidos. Detalhes da oportunidade mostram empresa, participante, local, horário, remuneração, descrição, atividades e semestre exigido. Ausências não são preenchidas com dados presumidos. Cards já vinculados a jornadas não desistidas exibem Já Inscrito ou Já Participando e desabilitam nova criação.</w:t>
      </w:r>
    </w:p>
    <w:p>
      <w:pPr>
        <w:pStyle w:val="Normal"/>
        <w:rPr/>
      </w:pPr>
      <w:r>
        <w:rPr/>
        <w:t>Meus Cursos oculta DESISTIU e CONCLUIDO e ordena os demais por título. Minhas Vagas oculta NAO_FOI_DESTA_VEZ, CONTRATADO e DESISTIU e ordena por empresa. Esses registros permanecem no histórico persistido, embora nem todos tenham galeria de consulta própria. Minhas Conquistas reúne CONCLUIDO e CONTRATADO. Horas e selos derivam do primeiro número da carga horária dos cursos concluídos: Iniciativa em 10 h, Dedicação em 50 h, Destaque em 100 h e Protagonista em 250 h.</w:t>
      </w:r>
    </w:p>
    <w:p>
      <w:pPr>
        <w:pStyle w:val="Normal"/>
        <w:rPr/>
      </w:pPr>
      <w:r>
        <w:rPr/>
        <w:t>O indicador Cursos em Andamento conta MATRICULADO e o valor legado CURSANDO tratado pelo componente; não soma AGUARDANDO_CERTIFICADO e EM_ANALISE, embora esses estados possam aparecer na lista ativa. Horas de Estudo considera apenas CONCLUIDO. Essa definição documenta o cálculo efetivo e evita interpretar os cartões como medidas de tempo estudado no AVA. A galeria apresenta dados e datas disponíveis nos snapshots; não disponibiliza emissão ou download de certificado no código examinado.</w:t>
      </w:r>
    </w:p>
    <w:p>
      <w:pPr>
        <w:pStyle w:val="Source"/>
        <w:rPr/>
      </w:pPr>
      <w:r>
        <w:rPr/>
        <w:t>Fonte: src/hooks/useCursosFilters.ts; src/hooks/useVagasFilters.ts; src/lib/formatters.ts; src/components/showcase/CursosFilterBar.tsx; VagasFilterBar.tsx; JornadaCursosKpis.tsx; ListaJornadaCursos.tsx; ListaJornadaVagas.tsx; src/pages/MinhasConquistas.tsx; src/components/ui/CursoDetalheModal.tsx; VagaDetalheModal.tsx. Revisão 52c5224, salvo indicação diferente.</w:t>
      </w:r>
    </w:p>
    <w:p>
      <w:pPr>
        <w:pStyle w:val="Heading3"/>
        <w:rPr/>
      </w:pPr>
      <w:r>
        <w:rPr/>
        <w:t>Certificado e avaliação</w:t>
      </w:r>
    </w:p>
    <w:p>
      <w:pPr>
        <w:pStyle w:val="Normal"/>
        <w:rPr/>
      </w:pPr>
      <w:r>
        <w:rPr/>
        <w:t>Enviar Certificado está disponível nos cards MATRICULADO e AGUARDANDO_CERTIFICADO. O diálogo exige arquivo válido ou caminho previamente carregado e três avaliações completas. Comentário é opcional. O limite efetivo é 1 MiB, isto é, 1.048.576 bytes; esse limite é mais restritivo que o teto de 5 MB descrito no AGENTS.md. A interface rejeita arquivo bruto acima do limite antes de compressão. Imagens são ajustadas proporcionalmente a até 1.920 por 1.920 pixels e convertidas em JPEG com qualidade 0,7; PDF segue sem essa transformação.</w:t>
      </w:r>
    </w:p>
    <w:p>
      <w:pPr>
        <w:pStyle w:val="Caption"/>
        <w:keepNext w:val="true"/>
        <w:rPr/>
      </w:pPr>
      <w:r>
        <w:rPr/>
        <w:t xml:space="preserve">Tabela </w:t>
      </w:r>
      <w:bookmarkStart w:id="41" w:name="tbl21"/>
      <w:r>
        <w:rPr/>
        <w:fldChar w:fldCharType="begin"/>
      </w:r>
      <w:r>
        <w:rPr/>
        <w:instrText xml:space="preserve"> SEQ Tabela \* ARABIC </w:instrText>
      </w:r>
      <w:r>
        <w:rPr/>
        <w:fldChar w:fldCharType="separate"/>
      </w:r>
      <w:r>
        <w:rPr/>
        <w:t>21</w:t>
      </w:r>
      <w:r>
        <w:rPr/>
        <w:fldChar w:fldCharType="end"/>
      </w:r>
      <w:bookmarkEnd w:id="41"/>
      <w:r>
        <w:rPr/>
        <w:t xml:space="preserve"> — Campos e estados de envio de certificado.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Elemento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Contrato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Tratamento na interface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PDF, PNG ou JPEG; até 1 MiB.</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 e tamanho; rejeição limpa o seletor.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Nota do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Inteiro de 1 a 5.</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Cinco botões com indicação da seleção.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Nota da plataforma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Inteiro de 1 a 5.</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Exige avaliação do AVA participante.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Nota do material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Inteiro de 1 a 5.</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Exige avaliação de materiais e recursos.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Comentário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Opcional; até 500 caracteres.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Textarea com label e limite explícito.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Enviar para Análise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Somente com arquivo selecionado ou já carregado.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Durante envio, botão e seletor são desabilitados.</w:t>
            </w:r>
          </w:p>
        </w:tc>
      </w:tr>
    </w:tbl>
    <w:p>
      <w:pPr>
        <w:pStyle w:val="Normal"/>
        <w:spacing w:lineRule="auto" w:line="240" w:before="0" w:after="20"/>
        <w:rPr/>
      </w:pPr>
      <w:r>
        <w:rPr/>
      </w:r>
    </w:p>
    <w:p>
      <w:pPr>
        <w:pStyle w:val="Normal"/>
        <w:rPr/>
      </w:pPr>
      <w:r>
        <w:rPr/>
        <w:t>O cliente higieniza o nome e transmite arquivo como Data URL base64. O backend determina o tipo final pela assinatura binária, gera seu próprio nome de objeto e retorna caminho interno; não utiliza o nome original para definir a localização. O diálogo mostra Certificado já carregado no sistema quando pode reaproveitar envio anterior na memória. O processamento possui finally para retirar Enviando em erro, enquanto a tentativa e o componente ainda forem atuais.</w:t>
      </w:r>
    </w:p>
    <w:p>
      <w:pPr>
        <w:pStyle w:val="Normal"/>
        <w:rPr/>
      </w:pPr>
      <w:r>
        <w:rPr/>
        <w:t>Fechar ou cancelar o diálogo invalida os callbacks locais dessa tentativa e restaura o foco. Isso não equivale a abortar uma gravação já recebida pelo servidor. Como upload e vínculo são requisições distintas, fechar ou perder a sessão após upload pode deixar objeto sem vínculo. A retenção e limpeza desse cenário dependem da operação tratada em capítulo próprio; a documentação não atribui atomicidade distribuída ao fluxo.</w:t>
      </w:r>
    </w:p>
    <w:p>
      <w:pPr>
        <w:pStyle w:val="Source"/>
        <w:rPr/>
      </w:pPr>
      <w:r>
        <w:rPr/>
        <w:t>Fonte: src/components/ui/UploadCertificadoModal.tsx; src/pages/JornadaCursosInicio.tsx; src/api/certificados.ts; src/lib/compressor.ts; server/routes/certificados.ts. Revisão 52c5224, salvo indicação diferente.</w:t>
      </w:r>
    </w:p>
    <w:p>
      <w:pPr>
        <w:pStyle w:val="Heading3"/>
        <w:rPr/>
      </w:pPr>
      <w:r>
        <w:rPr/>
        <w:t>Contato, suporte e carteira de estudante</w:t>
      </w:r>
    </w:p>
    <w:p>
      <w:pPr>
        <w:pStyle w:val="Normal"/>
        <w:rPr/>
      </w:pPr>
      <w:r>
        <w:rPr/>
        <w:t>Atualização Cadastral exige pelo menos novo e-mail de contato ou telefone. O aviso distingue contato de credencial: o login permanece o mesmo. O cliente envia os dois campos e o servidor ignora vazios, normaliza dados válidos e atualiza somente o que foi informado. Após sucesso, limpa os campos e apresenta confirmação; falha mantém o formulário disponível. A Central de Ajuda autenticada exige assunto e mensagem, abre ticket no servidor e permite Enviar outra mensagem após confirmação. Não há consulta de andamento, resposta ao ticket ou envio de e-mail implementados nesse componente.</w:t>
      </w:r>
    </w:p>
    <w:p>
      <w:pPr>
        <w:pStyle w:val="Caption"/>
        <w:keepNext w:val="true"/>
        <w:rPr/>
      </w:pPr>
      <w:r>
        <w:rPr/>
        <w:t xml:space="preserve">Tabela </w:t>
      </w:r>
      <w:bookmarkStart w:id="42" w:name="tbl22"/>
      <w:r>
        <w:rPr/>
        <w:fldChar w:fldCharType="begin"/>
      </w:r>
      <w:r>
        <w:rPr/>
        <w:instrText xml:space="preserve"> SEQ Tabela \* ARABIC </w:instrText>
      </w:r>
      <w:r>
        <w:rPr/>
        <w:fldChar w:fldCharType="separate"/>
      </w:r>
      <w:r>
        <w:rPr/>
        <w:t>22</w:t>
      </w:r>
      <w:r>
        <w:rPr/>
        <w:fldChar w:fldCharType="end"/>
      </w:r>
      <w:bookmarkEnd w:id="42"/>
      <w:r>
        <w:rPr/>
        <w:t xml:space="preserve"> — Contratos complementares do painel.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Função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Dados e limites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Contato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 válido de até 254 caracteres; telefone de até 20 caracteres e 10 ou 11 dígitos.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Atualiza contato, preservando e-mail de autenticação.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Suporte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Assunto de 1 a 100 e mensagem de 1 a 2.000 caracteres após trim no servidor.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Ticket ABERTO; confirmação na interface.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Assuntos disponíveis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Cursos, vagas, certificado, acesso e Outros.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 aceita texto validado, não enum fechado dessas cinco opções.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Carteira de estudante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Estudante de Administração, UF=SP e status diferente de JA_TENHO.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Convite ao serviço externo; Já tenho persiste o indicador.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 depois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Decisão local no estado da página.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Oculta o convite nessa montagem, sem marcação permanente.</w:t>
            </w:r>
          </w:p>
        </w:tc>
      </w:tr>
    </w:tbl>
    <w:p>
      <w:pPr>
        <w:pStyle w:val="Normal"/>
        <w:spacing w:lineRule="auto" w:line="240" w:before="0" w:after="20"/>
        <w:rPr/>
      </w:pPr>
      <w:r>
        <w:rPr/>
      </w:r>
    </w:p>
    <w:p>
      <w:pPr>
        <w:pStyle w:val="Normal"/>
        <w:rPr/>
      </w:pPr>
      <w:r>
        <w:rPr/>
        <w:t>O convite à carteira oferece Eu Quero, Já tenho e Ver depois. Eu Quero utiliza confirmação de saída para o serviço do CRA-SP. Já tenho chama PATCH /api/usuarios/carteira e só atualiza userData após sucesso; falhas são registradas no console. A escolha não emite documento nem verifica titularidade no serviço externo. O contato de ajuda pública do rodapé é um diálogo informativo com e-mail e telefone e não substitui o formulário autenticado de ticket.</w:t>
      </w:r>
    </w:p>
    <w:p>
      <w:pPr>
        <w:pStyle w:val="Source"/>
        <w:rPr/>
      </w:pPr>
      <w:r>
        <w:rPr/>
        <w:t>Fonte: src/components/showcase/acesso-rapido; src/components/showcase/CarteiraEstudanteHero.tsx; src/pages/JornadaCursosInicio.tsx; src/components/ui/HelpModal.tsx; src/api/usuarios.ts; src/api/suporte.ts; server/routes/usuarios.ts; server/controllers/usuariosSuporteController.ts. Revisão 52c5224, salvo indicação diferente.</w:t>
      </w:r>
    </w:p>
    <w:p>
      <w:pPr>
        <w:pStyle w:val="Heading2"/>
        <w:rPr/>
      </w:pPr>
      <w:bookmarkStart w:id="43" w:name="__RefHeading___Toc8742_608013930"/>
      <w:bookmarkEnd w:id="43"/>
      <w:r>
        <w:rPr/>
        <w:t>Envio, mensagens e confirmação</w:t>
      </w:r>
    </w:p>
    <w:p>
      <w:pPr>
        <w:pStyle w:val="Normal"/>
        <w:rPr/>
      </w:pPr>
      <w:r>
        <w:rPr/>
        <w:t>As fábricas de API recebem a instância Authentication e obtêm o usuário atual antes das operações protegidas. Sem usuário, interrompem a chamada com Usuário não autenticado. Com identidade, solicitam o token e enviam JSON ao caminho correspondente. A criação de jornadas exibe estado de processamento por ID e somente adiciona item ao store após a resposta. Os snapshots locais de apoio podem conter menos campos que a cópia oficial persistida; nova leitura de perfil recupera a representação do servidor.</w:t>
      </w:r>
    </w:p>
    <w:p>
      <w:pPr>
        <w:pStyle w:val="Normal"/>
        <w:rPr/>
      </w:pPr>
      <w:r>
        <w:rPr/>
        <w:t>Atualizações simples no painel são otimistas: guardam status anterior, mudam o card e aguardam PATCH. Falha na sessão ainda atual restaura o anterior e mostra Falha de conexão. A ação foi revertida para sua segurança. Na confirmação de retorno do parceiro, o hook também reverte o status se a API falha, mas seu catch registra o erro no console, sem a mesma notificação visual. Os diferentes tratamentos devem ser preservados na descrição; não há interceptor único que apresente todas as mensagens de backend.</w:t>
      </w:r>
    </w:p>
    <w:p>
      <w:pPr>
        <w:pStyle w:val="Caption"/>
        <w:keepNext w:val="true"/>
        <w:rPr/>
      </w:pPr>
      <w:r>
        <w:rPr/>
        <w:t xml:space="preserve">Tabela </w:t>
      </w:r>
      <w:bookmarkStart w:id="44" w:name="tbl23"/>
      <w:r>
        <w:rPr/>
        <w:fldChar w:fldCharType="begin"/>
      </w:r>
      <w:r>
        <w:rPr/>
        <w:instrText xml:space="preserve"> SEQ Tabela \* ARABIC </w:instrText>
      </w:r>
      <w:r>
        <w:rPr/>
        <w:fldChar w:fldCharType="separate"/>
      </w:r>
      <w:r>
        <w:rPr/>
        <w:t>23</w:t>
      </w:r>
      <w:r>
        <w:rPr/>
        <w:fldChar w:fldCharType="end"/>
      </w:r>
      <w:bookmarkEnd w:id="44"/>
      <w:r>
        <w:rPr/>
        <w:t xml:space="preserve"> — Respostas e mensagens que orientam a recuperação.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Contexto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Mensagem ou retorno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Efeito real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Falha de acesso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Credenciais inválidas ou erro de conexão.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Permite corrigir campos e tentar novamente.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inválido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 inválido ou instrução de campo condicional no cliente.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Interrompe envio; servidor possui validação independente.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duplicado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Este CPF já está cadastrado em outra conta.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 responde 409; criação não é concluída.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Criação de jornada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Mensagem genérica de indisponibilidade no hook.</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adiciona item confirmado ao estado local.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Limite de uso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Resposta 429 para frequência ou quantidade de jornadas.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Cliente trata como falha conforme sua API; não remove histórico.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Upload ou análise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Erro do servidor propagado ao diálogo e notificação.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Mantém possibilidade de tentar novamente; arquivo pode ser reaproveitado localmente.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Sucesso de certificado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 Enviado; CRA-SP fará análise em breve.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passa a EM_ANALISE, sem aprovação automática.</w:t>
            </w:r>
          </w:p>
        </w:tc>
      </w:tr>
    </w:tbl>
    <w:p>
      <w:pPr>
        <w:pStyle w:val="Normal"/>
        <w:spacing w:lineRule="auto" w:line="240" w:before="0" w:after="20"/>
        <w:rPr/>
      </w:pPr>
      <w:r>
        <w:rPr/>
      </w:r>
    </w:p>
    <w:p>
      <w:pPr>
        <w:pStyle w:val="Normal"/>
        <w:rPr/>
      </w:pPr>
      <w:r>
        <w:rPr/>
        <w:t>Remover curso ou vaga e encerrar processo seletivo exigem confirmação. Cancelar ou fechar a confirmação não envia a mudança. Repetição de um status já efetivado pode retornar sucesso idempotente no backend. Nova jornada só retoma item existente quando seu estado é DESISTIU; demais duplicidades são rejeitadas, inclusive estados finais que continuam no documento. O limite de 150 itens por tipo inclui arquivados, e a interface não implementa exclusão física para contorná-lo.</w:t>
      </w:r>
    </w:p>
    <w:p>
      <w:pPr>
        <w:pStyle w:val="Normal"/>
        <w:rPr/>
      </w:pPr>
      <w:r>
        <w:rPr/>
        <w:t>Para cursos, o autoatendimento permite PRE_MATRICULADO para MATRICULADO ou DESISTIU; MATRICULADO para AGUARDANDO_CERTIFICADO, EM_ANALISE ou DESISTIU; AGUARDANDO_CERTIFICADO para EM_ANALISE ou DESISTIU; EM_ANALISE para MATRICULADO; DESISTIU para PRE_MATRICULADO ou MATRICULADO. O frontend não expõe todos esses caminhos. CONCLUIDO é terminal nessa API e sua aprovação vem do processo externo informado. Para vagas, PRE_CANDIDATADO vai a CANDIDATADO ou DESISTIU, e CANDIDATADO a NAO_FOI_DESTA_VEZ, DESISTIU ou CONTRATADO; os dois resultados finais são terminais. DESISTIU pode ser retomado.</w:t>
      </w:r>
    </w:p>
    <w:p>
      <w:pPr>
        <w:pStyle w:val="Source"/>
        <w:rPr/>
      </w:pPr>
      <w:r>
        <w:rPr/>
        <w:t>Fonte: src/api; src/hooks/useCursosPreMatricula.ts; src/hooks/useVagasInteresse.ts; src/pages/JornadaCursosInicio.tsx; src/components/showcase/JornadaCursoCard.tsx; JornadaVagaCard.tsx; server/controllers/jornadaCursosController.ts; jornadaVagasController.ts. Revisão 52c5224, salvo indicação diferente.</w:t>
      </w:r>
    </w:p>
    <w:p>
      <w:pPr>
        <w:pStyle w:val="Heading2"/>
        <w:rPr/>
      </w:pPr>
      <w:bookmarkStart w:id="45" w:name="__RefHeading___Toc8744_608013930"/>
      <w:bookmarkEnd w:id="45"/>
      <w:r>
        <w:rPr/>
        <w:t>Preferências e recursos de acessibilidade</w:t>
      </w:r>
    </w:p>
    <w:p>
      <w:pPr>
        <w:pStyle w:val="Normal"/>
        <w:rPr/>
      </w:pPr>
      <w:r>
        <w:rPr/>
        <w:t>O store useAccessibilityStore persiste preferências sob accessibility-storage. A escala de fonte inicia em 1, aumenta em passos de 0,125 até 1,5 e não reduz abaixo de 1. App transforma esse valor em percentual de font-size do html. O botão A restaura somente a escala; alto contraste é um controle separado com aria-pressed. As alterações afetam unidades relativas e regras CSS pertinentes, sem promessa de que todo tamanho fixo em pixels seja escalado pela mesma proporção.</w:t>
      </w:r>
    </w:p>
    <w:p>
      <w:pPr>
        <w:pStyle w:val="Caption"/>
        <w:keepNext w:val="true"/>
        <w:rPr/>
      </w:pPr>
      <w:r>
        <w:rPr/>
        <w:t xml:space="preserve">Tabela </w:t>
      </w:r>
      <w:bookmarkStart w:id="46" w:name="tbl24"/>
      <w:r>
        <w:rPr/>
        <w:fldChar w:fldCharType="begin"/>
      </w:r>
      <w:r>
        <w:rPr/>
        <w:instrText xml:space="preserve"> SEQ Tabela \* ARABIC </w:instrText>
      </w:r>
      <w:r>
        <w:rPr/>
        <w:fldChar w:fldCharType="separate"/>
      </w:r>
      <w:r>
        <w:rPr/>
        <w:t>24</w:t>
      </w:r>
      <w:r>
        <w:rPr/>
        <w:fldChar w:fldCharType="end"/>
      </w:r>
      <w:bookmarkEnd w:id="46"/>
      <w:r>
        <w:rPr/>
        <w:t xml:space="preserve"> — Preferências locais e alcance.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Recurso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Estado ou limite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Persistência e efeito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 / A- / 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Escala de 100% a 150%, passos de 12,5 pontos percentuais.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Zustand persist; aplica font-size ao html.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Alto contraste global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Booleano isHighContrast.</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Classe alto-contraste e preferência persistida.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Leitura de documento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Três níveis de texto; modo noturno e contraste locais.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do diálogo, separado da preferência global.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Apenas Essenciais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Restaura escala e contraste globais.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desliga Authentication nem configura cookie de hospedagem.</w:t>
            </w:r>
          </w:p>
        </w:tc>
      </w:tr>
    </w:tbl>
    <w:p>
      <w:pPr>
        <w:pStyle w:val="Normal"/>
        <w:spacing w:lineRule="auto" w:line="240" w:before="0" w:after="20"/>
        <w:rPr/>
      </w:pPr>
      <w:r>
        <w:rPr/>
      </w:r>
    </w:p>
    <w:p>
      <w:pPr>
        <w:pStyle w:val="Normal"/>
        <w:rPr/>
      </w:pPr>
      <w:r>
        <w:rPr/>
        <w:t>O contraste global estabelece fundo preto, texto branco, ações amarelas e foco com contorno amarelo. Imagens recebem tratamento visual e o widget VLibras tem exceções para preservar sua apresentação nativa. DocumentModal possui tokens próprios de leitura: o modo escuro tem precedência quando também está marcado contraste local. Restaurar visualização padrão redefine somente os controles locais do documento. Não existe painel de configurações tipográficas além desses recursos.</w:t>
      </w:r>
    </w:p>
    <w:p>
      <w:pPr>
        <w:pStyle w:val="Normal"/>
        <w:rPr/>
      </w:pPr>
      <w:r>
        <w:rPr/>
        <w:t>VLibras é montado uma vez na raiz e carrega o script governamental de modo assíncrono, após disponibilidade ociosa ou interação. Usa integrity SHA-384 e crossOrigin anonymous; em falha, faz uma única tentativa adicional verificada. Não há fallback que retire a integridade. Listeners e temporizadores de inicialização são cancelados na limpeza. A operação depende do serviço externo e da compatibilidade das políticas de rede; o código não implementa tradução própria.</w:t>
      </w:r>
    </w:p>
    <w:p>
      <w:pPr>
        <w:pStyle w:val="Normal"/>
        <w:rPr/>
      </w:pPr>
      <w:r>
        <w:rPr/>
        <w:t>As leituras de indícios de sessão em localStorage e a limpeza de marcadores têm proteção contra exceção. Já alguns acessos a sessionStorage nos hooks de retorno não possuem captura local individual de falha. A persistência das preferências depende da disponibilidade do armazenamento do navegador. O código deve ser descrito com esse alcance, sem transformar resultado passivo de scanner sobre armazenamento em prova de inexistência dessas funcionalidades.</w:t>
      </w:r>
    </w:p>
    <w:p>
      <w:pPr>
        <w:pStyle w:val="Source"/>
        <w:rPr/>
      </w:pPr>
      <w:r>
        <w:rPr/>
        <w:t>Fonte: src/store/useAccessibilityStore.ts; src/App.tsx; src/index.css; src/components/layout/TopBar.tsx; src/components/ui/VLibrasWidget.tsx; src/hooks/useDocumentModal.ts; src/hooks/useCursosPreMatricula.ts; src/hooks/useVagasInteresse.ts. Revisão 52c5224, salvo indicação diferente.</w:t>
      </w:r>
    </w:p>
    <w:p>
      <w:pPr>
        <w:pStyle w:val="Heading2"/>
        <w:rPr/>
      </w:pPr>
      <w:bookmarkStart w:id="47" w:name="__RefHeading___Toc8746_608013930"/>
      <w:bookmarkEnd w:id="47"/>
      <w:r>
        <w:rPr/>
        <w:t>Governança e privacidade</w:t>
      </w:r>
    </w:p>
    <w:p>
      <w:pPr>
        <w:pStyle w:val="Normal"/>
        <w:rPr/>
      </w:pPr>
      <w:r>
        <w:rPr/>
        <w:t>O rodapé abre privacidade, segurança e termos; o controle superior de privacidade abre Preferências e Sessão. DocumentModal usa portal no body, título acessível, fechamento e controles de leitura. No computador, Ver próximo percorre privacidade, segurança, termos e preferências. Os textos são versionados em componentes e não são buscados de serviço jurídico em tempo de execução. A data de atualização de um texto não deve ser confundida com a edição desta documentação ou com a revisão do código.</w:t>
      </w:r>
    </w:p>
    <w:p>
      <w:pPr>
        <w:pStyle w:val="Caption"/>
        <w:keepNext w:val="true"/>
        <w:rPr/>
      </w:pPr>
      <w:r>
        <w:rPr/>
        <w:t xml:space="preserve">Tabela </w:t>
      </w:r>
      <w:bookmarkStart w:id="48" w:name="tbl25"/>
      <w:r>
        <w:rPr/>
        <w:fldChar w:fldCharType="begin"/>
      </w:r>
      <w:r>
        <w:rPr/>
        <w:instrText xml:space="preserve"> SEQ Tabela \* ARABIC </w:instrText>
      </w:r>
      <w:r>
        <w:rPr/>
        <w:fldChar w:fldCharType="separate"/>
      </w:r>
      <w:r>
        <w:rPr/>
        <w:t>25</w:t>
      </w:r>
      <w:r>
        <w:rPr/>
        <w:fldChar w:fldCharType="end"/>
      </w:r>
      <w:bookmarkEnd w:id="48"/>
      <w:r>
        <w:rPr/>
        <w:t xml:space="preserve"> — Documentos institucionais e alcance de suas declarações.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Documento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Conteúdo apresentado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Interpretação documental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Privacidade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Categorias de dados, finalidades, bases legais, direitos, retenção e encarregado.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Aviso institucional abrangente; inclui serviços não implementados no Educa.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Segurança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Acesso, recomendações de 2FA, dados, monitoramento e incidentes.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Declarações e recomendações não comprovam todos os processos operacionais.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Termos de Uso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Uso lícito, propriedade intelectual, responsabilidades e links externos.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Texto geral CRA-SP com referências a outros serviços institucionais.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Preferências e Sessão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essencial e preferência funcional de acessibilidade.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Limpar acessibilidade restaura preferências; não administra todos os cookies externos.</w:t>
            </w:r>
          </w:p>
        </w:tc>
      </w:tr>
    </w:tbl>
    <w:p>
      <w:pPr>
        <w:pStyle w:val="Normal"/>
        <w:spacing w:lineRule="auto" w:line="240" w:before="0" w:after="20"/>
        <w:rPr/>
      </w:pPr>
      <w:r>
        <w:rPr/>
      </w:r>
    </w:p>
    <w:p>
      <w:pPr>
        <w:pStyle w:val="Normal"/>
        <w:rPr/>
      </w:pPr>
      <w:r>
        <w:rPr/>
        <w:t>O aviso de privacidade contém canal lgpd@crasp.org.br e identifica Allmo Consultoria Ltda. como encarregada. Também cita dados de serviços institucionais amplos, como registro, eventos e ENCOAD. Essa presença textual não significa que o Educa recolha todos os dados listados, como dados bancários ou geolocalização: o tratamento efetivamente implementado é descrito pelos contratos e pelo capítulo de dados. A política de segurança recomenda 2FA, sem implementar uma etapa própria obrigatória no fluxo examinado.</w:t>
      </w:r>
    </w:p>
    <w:p>
      <w:pPr>
        <w:pStyle w:val="Normal"/>
        <w:rPr/>
      </w:pPr>
      <w:r>
        <w:rPr/>
        <w:t>O cadastro contém escolha Aceito ou Não aceito e vincula conclusão a lgpd=true. O texto autoriza comunicações institucionais e declara não autorizar compartilhamento com terceiros ou ações comerciais. A documentação registra a condição existente sem convertê-la automaticamente em prova de suficiência de base legal para cada finalidade. Atendimento de titulares, prazos, retenção e revisão dos avisos dependem de governança organizacional, a ser tratada na matriz de requisitos.</w:t>
      </w:r>
    </w:p>
    <w:p>
      <w:pPr>
        <w:pStyle w:val="Normal"/>
        <w:rPr/>
      </w:pPr>
      <w:r>
        <w:rPr/>
        <w:t>A ausência de cookies de terceiros em uma captura de Webbkoll não elimina requisições externas. Os relatórios fornecidos e a aplicação devem ser relacionados com escopo e data: a ferramenta visita a página pública sem executar todos os formulários. O PDF de scanners serve como fonte; suas páginas serão incorporadas posteriormente pelo responsável e não são reproduzidas neste documento.</w:t>
      </w:r>
    </w:p>
    <w:p>
      <w:pPr>
        <w:pStyle w:val="Source"/>
        <w:rPr/>
      </w:pPr>
      <w:r>
        <w:rPr/>
        <w:t>Fonte histórica citada no Word de origem: src/components/layout/Footer.tsx; TopBar.tsx; src/components/ui/DocumentModal.tsx; DocumentContent.tsx; src/components/ui/documents; src/components/ui/profile/LgpdAgreement.tsx; PDF Análises Site Crasp Educa.pdf, páginas 29–35, captura de 15/10/2026. Revisão 52c5224, salvo indicação diferente.</w:t>
      </w:r>
    </w:p>
    <w:p>
      <w:pPr>
        <w:pStyle w:val="Heading2"/>
        <w:rPr/>
      </w:pPr>
      <w:bookmarkStart w:id="49" w:name="__RefHeading___Toc8748_608013930"/>
      <w:bookmarkEnd w:id="49"/>
      <w:r>
        <w:rPr/>
        <w:t>Navegação por teclado e apresentação</w:t>
      </w:r>
    </w:p>
    <w:p>
      <w:pPr>
        <w:pStyle w:val="Normal"/>
        <w:rPr/>
      </w:pPr>
      <w:r>
        <w:rPr/>
        <w:t>Controles de ação usam predominantemente button, e destinos reais usam a. Campos têm label associado ou nome acessível; erro e sucesso utilizam regiões de anúncio. Os diálogos declaram role=dialog, aria-modal e título associado. O utilitário de foco considera controles conectados, habilitados e visíveis, ignorando hidden, aria-hidden, display:none e visibility:hidden. Ao abrir, seleciona o primeiro controle elegível ou o próprio diálogo.</w:t>
      </w:r>
    </w:p>
    <w:p>
      <w:pPr>
        <w:pStyle w:val="Caption"/>
        <w:keepNext w:val="true"/>
        <w:rPr/>
      </w:pPr>
      <w:r>
        <w:rPr/>
        <w:t xml:space="preserve">Tabela </w:t>
      </w:r>
      <w:bookmarkStart w:id="50" w:name="tbl26"/>
      <w:r>
        <w:rPr/>
        <w:fldChar w:fldCharType="begin"/>
      </w:r>
      <w:r>
        <w:rPr/>
        <w:instrText xml:space="preserve"> SEQ Tabela \* ARABIC </w:instrText>
      </w:r>
      <w:r>
        <w:rPr/>
        <w:fldChar w:fldCharType="separate"/>
      </w:r>
      <w:r>
        <w:rPr/>
        <w:t>26</w:t>
      </w:r>
      <w:r>
        <w:rPr/>
        <w:fldChar w:fldCharType="end"/>
      </w:r>
      <w:bookmarkEnd w:id="50"/>
      <w:r>
        <w:rPr/>
        <w:t xml:space="preserve"> — Teclas e efeitos implementados.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Contexto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Tecla ou 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Diálogo ativo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Tab e Shift+Tab.</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Mantêm circulação nos controles visíveis do diálogo superior.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Diálogo ativo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Escape.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Fecha ou cancela o diálogo superior, sem fechar também o subjacente.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Seleção pesquisável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ArrowDown e ArrowUp.</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Abrem a lista e percorrem opções ativas.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Seleção pesquisável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Enter e Escape.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Confirmam opção ou fecham, devolvendo foco ao acionador.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Busca do cabeçalho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Escape, no campo desktop.</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Fecha sugestões sem navegar.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FAQ e ações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Ativação nativa do botão por teclado.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Executa ação; FAQ informa expansão e vínculo do painel.</w:t>
            </w:r>
          </w:p>
        </w:tc>
      </w:tr>
    </w:tbl>
    <w:p>
      <w:pPr>
        <w:pStyle w:val="Normal"/>
        <w:spacing w:lineRule="auto" w:line="240" w:before="0" w:after="20"/>
        <w:rPr/>
      </w:pPr>
      <w:r>
        <w:rPr/>
      </w:r>
    </w:p>
    <w:p>
      <w:pPr>
        <w:pStyle w:val="Normal"/>
        <w:rPr/>
      </w:pPr>
      <w:r>
        <w:rPr/>
        <w:t>Bloqueio de rolagem usa contador para diálogos sobrepostos e preserva overflow e compensação lateral originais. A pilha de retorno de foco tenta restaurar o acionador quando ainda conectado e visível; se outro diálogo continua aberto, mantém foco nele. Os listeners são removidos ao desmontar. Não há atalhos globais alfanuméricos ou teclado de apresentação implementados. A avaliação de leitores de tela e de toda a navegação autenticada não pode ser deduzida de notas automáticas da página pública.</w:t>
      </w:r>
    </w:p>
    <w:p>
      <w:pPr>
        <w:pStyle w:val="Normal"/>
        <w:rPr/>
      </w:pPr>
      <w:r>
        <w:rPr/>
        <w:t>A interface combina grades responsivas e imagens proporcionais. O banner troca de fonte em 640 e 1.024 pixels; menus e distribuição de cards mudam conforme breakpoints. FadeIn considera prefers-reduced-motion, mas outros efeitos CSS e animações possuem implementação própria. A existência desse tratamento pontual não equivale à desativação universal de movimento. Evidências WAVE do PDF mostram a página pública carregada, não todos os estados de cadastro, certificados ou painel.</w:t>
      </w:r>
    </w:p>
    <w:p>
      <w:pPr>
        <w:pStyle w:val="Source"/>
        <w:rPr/>
      </w:pPr>
      <w:r>
        <w:rPr/>
        <w:t>Fonte histórica citada no Word de origem: src/lib/modalScroll.ts; src/components/ui/SearchableSelect.tsx; src/components/showcase/FaqAccordion.tsx; src/components/ui/FadeIn.tsx; src/components/showcase/HeroBanner.tsx; src/components/layout/Header.tsx; PDF Análises Site Crasp Educa.pdf, páginas 26–28. Revisão 52c5224, salvo indicação diferente.</w:t>
      </w:r>
    </w:p>
    <w:p>
      <w:pPr>
        <w:pStyle w:val="Heading2"/>
        <w:rPr/>
      </w:pPr>
      <w:bookmarkStart w:id="51" w:name="__RefHeading___Toc8750_608013930"/>
      <w:bookmarkEnd w:id="51"/>
      <w:r>
        <w:rPr/>
        <w:t>Inventário funcional dos componentes</w:t>
      </w:r>
    </w:p>
    <w:p>
      <w:pPr>
        <w:pStyle w:val="Normal"/>
        <w:rPr/>
      </w:pPr>
      <w:r>
        <w:rPr/>
        <w:t>Os grupos abaixo descrevem responsabilidades e relações de execução. O inventário concentra componentes de negócio e utilitários necessários à interpretação das telas; o catálogo operacional completo dos arquivos pertence ao capítulo de operação. Stores e hooks fornecem dados e comportamento, enquanto componentes apresentam estados e emitem ações. As fontes indicadas permitem rastrear a implementação sem atribuir ao componente uma gravação que é realizada pela API.</w:t>
      </w:r>
    </w:p>
    <w:p>
      <w:pPr>
        <w:pStyle w:val="Caption"/>
        <w:keepNext w:val="true"/>
        <w:rPr/>
      </w:pPr>
      <w:r>
        <w:rPr/>
        <w:t xml:space="preserve">Tabela </w:t>
      </w:r>
      <w:bookmarkStart w:id="52" w:name="tbl27"/>
      <w:r>
        <w:rPr/>
        <w:fldChar w:fldCharType="begin"/>
      </w:r>
      <w:r>
        <w:rPr/>
        <w:instrText xml:space="preserve"> SEQ Tabela \* ARABIC </w:instrText>
      </w:r>
      <w:r>
        <w:rPr/>
        <w:fldChar w:fldCharType="separate"/>
      </w:r>
      <w:r>
        <w:rPr/>
        <w:t>27</w:t>
      </w:r>
      <w:r>
        <w:rPr/>
        <w:fldChar w:fldCharType="end"/>
      </w:r>
      <w:bookmarkEnd w:id="52"/>
      <w:r>
        <w:rPr/>
        <w:t xml:space="preserve"> — Inventário funcional da interface e suas dependências.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Grupo e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Responsabilidade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Relação com as vistas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App.tsx e main.tsx</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Montagem, sessão, composição e recursos globais.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Todas as vistas.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pages/PublicLandingPage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Organizar seções públicas e carregar pacote inicial.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Vitrine.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layout/TopBar e TopBarSocial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Preferências, privacidade, autenticação e redes.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Layout público e painel.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layout/Header e auxiliares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Menus, busca e apresentação mobile.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Vitrine e áreas privadas.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layout/Footer</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Canais, atalhos, políticas e ajuda.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Vitrine e painel, com carregamento adiado.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pages/LoginPage e CompleteProfilePage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e cadastro complementar.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Estados específicos anteriores ao painel.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ui/ProfileFormFields e SearchableSelect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Campos condicionais e consultas acadêmicas.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Conclusão de perfil.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showcase/FeaturedCourses e FeaturedVagas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Cards de destaque com acesso por categoria.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Vitrine pública.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showcase/Institutions, FaqAccordion e SocialProof</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Parceiros, dúvidas e indicadores agregados.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Seções públicas.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pages/ExplorarCursos e ExplorarVagas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Compor filtros, resultados e ações.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Abas privadas de exploração.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showcase/VitrineCard e VagaCard; ui/*DetalheModal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Resumo e detalhamento das ofertas.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Exploração dos catálogos.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ui/PreMatriculaCursoModal e InteresseVagaModal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Confirmar registro e oferecer saída ao parceiro.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Após criação de jornada.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showcase/ListaJornada* e Jornada*Card</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Listar, ordenar, apresentar status e ações.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Meu Painel.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ui/UploadCertificadoModal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Coletar arquivo e avaliação e tratar tentativas.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Envio para análise.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showcase/AcessoRapido e acesso-rapido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Contato, suporte e atalho de conquistas.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Meu Painel.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showcase/CarteiraEstudanteHero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Convite contextual e indicação Já tenho.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Meu Painel elegível.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pages/MinhasConquistas e JornadaCursosKpis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Conquistas, selos, horas e contadores pessoais.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Galeria e resumo do painel.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ui/ConfirmationModal e ExternalLinkModal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Confirmação de ações e saída externa.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Fluxos de jornadas e serviços externos.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ui/DocumentModal, documents e HelpModal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Políticas, leitura e contatos de ajuda.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Rodapé, privacidade e cadastro.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ui/VLibrasWidget; lib/modalScroll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Integração de Libras e gestão de foco/rolagem.</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Recursos transversais.</w:t>
            </w:r>
          </w:p>
        </w:tc>
      </w:tr>
    </w:tbl>
    <w:p>
      <w:pPr>
        <w:pStyle w:val="Normal"/>
        <w:spacing w:lineRule="auto" w:line="240" w:before="0" w:after="20"/>
        <w:rPr/>
      </w:pPr>
      <w:r>
        <w:rPr/>
      </w:r>
    </w:p>
    <w:p>
      <w:pPr>
        <w:pStyle w:val="Normal"/>
        <w:rPr/>
      </w:pPr>
      <w:r>
        <w:rPr/>
        <w:t>O estado individual é separado dos catálogos públicos. UseAuthStore coordena a identidade e a hidratação das jornadas; useJornadaCursosStore e useJornadaVagasStore atualizam cópias locais; useCursosStore, useVagasStore, useHomeStore e useImagensStore mantêm conteúdo público. UseMecStore controla listas dependentes e descarte de respostas antigas. UseSearchStore e useExternalLinkStore compartilham pesquisa e aviso externo. Somente a preferência de acessibilidade utiliza persistência Zustand; marcadores específicos de sessão e retorno usam armazenamento web diretamente.</w:t>
      </w:r>
    </w:p>
    <w:p>
      <w:pPr>
        <w:pStyle w:val="Source"/>
        <w:rPr/>
      </w:pPr>
      <w:r>
        <w:rPr/>
        <w:t>Fonte: src/pages; src/components; src/hooks; src/store; src/api; src/lib, revisão congelada 52c5224. Revisão 52c5224, salvo indicação diferente.</w:t>
      </w:r>
    </w:p>
    <w:p>
      <w:pPr>
        <w:pStyle w:val="Heading1"/>
        <w:rPr/>
      </w:pPr>
      <w:bookmarkStart w:id="53" w:name="__RefHeading___Toc8752_608013930"/>
      <w:bookmarkEnd w:id="53"/>
      <w:r>
        <w:rPr/>
        <w:t>Backend, API e processamento das requisições</w:t>
      </w:r>
    </w:p>
    <w:p>
      <w:pPr>
        <w:pStyle w:val="Heading2"/>
        <w:rPr/>
      </w:pPr>
      <w:bookmarkStart w:id="54" w:name="__RefHeading___Toc8754_608013930"/>
      <w:bookmarkEnd w:id="54"/>
      <w:r>
        <w:rPr/>
        <w:t>Organização do servidor e ciclo de inicialização</w:t>
      </w:r>
    </w:p>
    <w:p>
      <w:pPr>
        <w:pStyle w:val="Normal"/>
        <w:rPr/>
      </w:pPr>
      <w:r>
        <w:rPr/>
        <w:t>O backend do CRA-SP Educa concentra a autenticação das requisições, a validação das entradas e as operações com privilégio administrativo sobre os dados. A implementação utiliza Node.js, Express e Firebase Admin SDK em um processo monolítico que também entrega a aplicação React. O navegador consome a API no mesmo endereço de origem, por caminhos relativos iniciados por /api. A separação entre rotas, controladores, serviços e utilitários permite acompanhar a operação desde a solicitação HTTP até o Firestore e o Storage, sem transferir ao cliente as credenciais administrativas.</w:t>
      </w:r>
    </w:p>
    <w:p>
      <w:pPr>
        <w:pStyle w:val="Normal"/>
        <w:rPr/>
      </w:pPr>
      <w:r>
        <w:rPr/>
        <w:t>O arquivo server.ts carrega as variáveis de ambiente por dotenv/config, verifica a presença de HMAC_PEPPER_KEY e exige uma VAULT_ENCRYPTION_KEY com 64 caracteres. A credencial principal é obtida de FIREBASE_ADMIN_CREDENTIALS, com precedência do arquivo /secrets/firebase-credentials.json quando ele existe. O JSON é interpretado, as quebras escapadas da chave privada são normalizadas e a inicialização principal exige project_id e private_key. Falha nessa preparação encerra o processo. A configuração do projeto secundário do Cofre é tentada separadamente e sua indisponibilidade é registrada sem interromper o serviço principal.</w:t>
      </w:r>
    </w:p>
    <w:p>
      <w:pPr>
        <w:pStyle w:val="Normal"/>
        <w:rPr/>
      </w:pPr>
      <w:r>
        <w:rPr/>
        <w:t>Depois da configuração administrativa, startServer cria a aplicação Express, instala os controles de borda, aguarda initCache e registra os sete roteadores. A porta declarada é 3000, com escuta em 0.0.0.0. Em desenvolvimento, o Vite opera como middleware; em produção, a aplicação serve dist/client. O módulo chama startServer diretamente e não exporta uma aplicação pronta nem uma fábrica específica para testes. Portanto, os testes de backend descritos nesta documentação não devem ser confundidos com uma suíte de integração versionada ou com uma interface de testes oferecida por esse módulo.</w:t>
      </w:r>
    </w:p>
    <w:p>
      <w:pPr>
        <w:pStyle w:val="Source"/>
        <w:rPr/>
      </w:pPr>
      <w:r>
        <w:rPr/>
        <w:t>Fonte: server.ts, inicialização do Firebase Admin, startServer e chamada final; server/services/cache.ts, initCache. Revisão 52c5224, examinada em 16/10/2026.</w:t>
      </w:r>
    </w:p>
    <w:p>
      <w:pPr>
        <w:pStyle w:val="Heading2"/>
        <w:rPr/>
      </w:pPr>
      <w:bookmarkStart w:id="55" w:name="__RefHeading___Toc8756_608013930"/>
      <w:bookmarkEnd w:id="55"/>
      <w:r>
        <w:rPr/>
        <w:t>Sequência dos controles de borda e limites de requisição</w:t>
      </w:r>
    </w:p>
    <w:p>
      <w:pPr>
        <w:pStyle w:val="Normal"/>
        <w:rPr/>
      </w:pPr>
      <w:r>
        <w:rPr/>
        <w:t>A ordem dos middlewares determina quais controles atuam antes da leitura do corpo e da execução de uma regra de negócio. A compressão é registrada primeiro. Em seguida, o servidor considera um salto de proxy confiável e aplica políticas de permissões e cabeçalhos do Helmet. O limitador geral alcança os caminhos /api/ antes do parser JSON e dos roteadores. O upload possui uma exceção deliberada ao parser geral: seu corpo é interpretado apenas depois do limitador específico e da autenticação, reduzindo processamento de arquivos enviados sem sessão válida.</w:t>
      </w:r>
    </w:p>
    <w:p>
      <w:pPr>
        <w:pStyle w:val="Caption"/>
        <w:keepNext w:val="true"/>
        <w:rPr/>
      </w:pPr>
      <w:r>
        <w:rPr/>
        <w:t xml:space="preserve">Tabela </w:t>
      </w:r>
      <w:bookmarkStart w:id="56" w:name="tbl28"/>
      <w:r>
        <w:rPr/>
        <w:fldChar w:fldCharType="begin"/>
      </w:r>
      <w:r>
        <w:rPr/>
        <w:instrText xml:space="preserve"> SEQ Tabela \* ARABIC </w:instrText>
      </w:r>
      <w:r>
        <w:rPr/>
        <w:fldChar w:fldCharType="separate"/>
      </w:r>
      <w:r>
        <w:rPr/>
        <w:t>28</w:t>
      </w:r>
      <w:r>
        <w:rPr/>
        <w:fldChar w:fldCharType="end"/>
      </w:r>
      <w:bookmarkEnd w:id="56"/>
      <w:r>
        <w:rPr/>
        <w:t xml:space="preserve"> — Ordem efetiva de processamento no Express.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737"/>
        <w:gridCol w:w="2267"/>
        <w:gridCol w:w="6520"/>
      </w:tblGrid>
      <w:tr>
        <w:trPr>
          <w:tblHeader w:val="true"/>
          <w:cantSplit/>
        </w:trPr>
        <w:tc>
          <w:tcPr>
            <w:tcW w:w="73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Ord.</w:t>
            </w:r>
          </w:p>
        </w:tc>
        <w:tc>
          <w:tcPr>
            <w:tcW w:w="226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Camada</w:t>
            </w:r>
          </w:p>
        </w:tc>
        <w:tc>
          <w:tcPr>
            <w:tcW w:w="652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Comportamento e consequência</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Compressão e proxy</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compression atua sobre respostas; trust proxy = 1 orienta a leitura do endereço do cliente atrás do proxy.</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2</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Permissions-Policy e Helmet</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Restringem capacidades do navegador e aplicam CSP, HSTS e políticas complementares. COEP permanece desativado.</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3</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Recursos públicos selecionados</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GET/HEAD de assets, extensões indicadas, home-startup, imagens e metadados recebem Access-Control-Allow-Origin: * e CORP cross-origin.</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Limitador geral /api/</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Limite de 500 requisições por 15 minutos, antes da autenticação e dos parsers das rotas.</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Parser JSON geral</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Limite de 100kb, exceto POST cujo caminho começa por /api/certificados.</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6</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e roteadores</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initCache é aguardado antes do registro das rotas e da abertura da porta. Cada roteador aplica seus controles adicionais.</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7</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Arquivos e aplicação web</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/.well-known e entrega estática; Vite em desenvolvimento ou dist/client em produção.</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8</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Tratamento final de erros</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Classifica corpo inválido, excesso de tamanho e falhas internas; limita detalhes devolvidos ao cliente.</w:t>
            </w:r>
          </w:p>
        </w:tc>
      </w:tr>
    </w:tbl>
    <w:p>
      <w:pPr>
        <w:pStyle w:val="Normal"/>
        <w:spacing w:lineRule="auto" w:line="240" w:before="0" w:after="20"/>
        <w:rPr/>
      </w:pPr>
      <w:r>
        <w:rPr/>
      </w:r>
    </w:p>
    <w:p>
      <w:pPr>
        <w:pStyle w:val="Normal"/>
        <w:rPr/>
      </w:pPr>
      <w:r>
        <w:rPr/>
        <w:t>Os limitadores adicionais são independentes e se acumulam ao limite geral. Os valores abaixo representam instâncias express-rate-limit sem chave customizada nem armazenamento distribuído configurado. A contagem segue o identificador padrão de cliente, relacionado ao IP e à configuração de proxy, e permanece na memória do processo. Em múltiplas instâncias de Cloud Run, esses limites não constituem uma cota global por usuário. Como alguns limitadores são executados antes da autenticação, tentativas não autorizadas também podem consumir sua janela.</w:t>
      </w:r>
    </w:p>
    <w:p>
      <w:pPr>
        <w:pStyle w:val="Caption"/>
        <w:keepNext w:val="true"/>
        <w:rPr/>
      </w:pPr>
      <w:r>
        <w:rPr/>
        <w:t xml:space="preserve">Tabela </w:t>
      </w:r>
      <w:bookmarkStart w:id="57" w:name="tbl29"/>
      <w:r>
        <w:rPr/>
        <w:fldChar w:fldCharType="begin"/>
      </w:r>
      <w:r>
        <w:rPr/>
        <w:instrText xml:space="preserve"> SEQ Tabela \* ARABIC </w:instrText>
      </w:r>
      <w:r>
        <w:rPr/>
        <w:fldChar w:fldCharType="separate"/>
      </w:r>
      <w:r>
        <w:rPr/>
        <w:t>29</w:t>
      </w:r>
      <w:r>
        <w:rPr/>
        <w:fldChar w:fldCharType="end"/>
      </w:r>
      <w:bookmarkEnd w:id="57"/>
      <w:r>
        <w:rPr/>
        <w:t xml:space="preserve"> — Limites adicionais definidos por grupo de operação.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Operação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Limite</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Janela</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Aplicação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de perfil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/api/usuarios/perfil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Atualização de contato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5</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/api/usuarios/contato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Suporte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3</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 hora</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/api/usuarios/suporte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Jornadas de cursos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30</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Instância compartilhada entre POST e PATCH desse roteador.</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Jornadas de vagas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30</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Instância compartilhada entre POST e PATCH desse roteador.</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Certificados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5</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 hora</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Antes da autenticação e do parser JSON de upload.</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e-MEC</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100</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Todos os caminhos do roteador /api/mec.</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Imagens públicas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500</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15 minutos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 /api/imagens, além do limitador geral.</w:t>
            </w:r>
          </w:p>
        </w:tc>
      </w:tr>
    </w:tbl>
    <w:p>
      <w:pPr>
        <w:pStyle w:val="Normal"/>
        <w:spacing w:lineRule="auto" w:line="240" w:before="0" w:after="20"/>
        <w:rPr/>
      </w:pPr>
      <w:r>
        <w:rPr/>
      </w:r>
    </w:p>
    <w:p>
      <w:pPr>
        <w:pStyle w:val="Normal"/>
        <w:rPr/>
      </w:pPr>
      <w:r>
        <w:rPr/>
        <w:t>A CSP e as demais políticas HTTP são detalhadas no capítulo de distribuição. Aqui importa sua posição anterior à API e à entrega do frontend. A liberação de origem cruzada é específica para recursos públicos selecionados; ela não deve ser interpretada como habilitação geral de uma API autenticada para qualquer origem. A aplicação usa Authorization com token portador, e o servidor extrai a identidade do token validado, em vez de confiar em um uid declarado no corpo da solicitação.</w:t>
      </w:r>
    </w:p>
    <w:p>
      <w:pPr>
        <w:pStyle w:val="Source"/>
        <w:rPr/>
      </w:pPr>
      <w:r>
        <w:rPr/>
        <w:t>Fonte: server.ts, middlewares e parsers; server/routes/usuarios.ts, jornadaCursos.ts, jornadaVagas.ts, certificados.ts, imagens.ts e mec.ts, instâncias rateLimit. Revisão 52c5224, examinada em 16/10/2026.</w:t>
      </w:r>
    </w:p>
    <w:p>
      <w:pPr>
        <w:pStyle w:val="Heading2"/>
        <w:rPr/>
      </w:pPr>
      <w:bookmarkStart w:id="58" w:name="__RefHeading___Toc8758_608013930"/>
      <w:bookmarkEnd w:id="58"/>
      <w:r>
        <w:rPr/>
        <w:t>Inventário da API e composição dos caminhos</w:t>
      </w:r>
    </w:p>
    <w:p>
      <w:pPr>
        <w:pStyle w:val="Normal"/>
        <w:rPr/>
      </w:pPr>
      <w:r>
        <w:rPr/>
        <w:t>A revisão documentada contém 18 operações REST explícitas. O caminho completo resulta do prefixo instalado em server.ts e do segmento declarado em cada Router. As tabelas separam leituras públicas e operações autenticadas. As respostas de sucesso usam HTTP 200; a criação de jornada, perfil, ticket ou arquivo não utiliza 201 nesta implementação. Os objetos do catálogo são dados de conteúdo, cujos campos e relações são descritos no capítulo de dados. Não há paginação por parâmetro nas rotas de listagem examinadas.</w:t>
      </w:r>
    </w:p>
    <w:p>
      <w:pPr>
        <w:pStyle w:val="Caption"/>
        <w:keepNext w:val="true"/>
        <w:rPr/>
      </w:pPr>
      <w:r>
        <w:rPr/>
        <w:t xml:space="preserve">Tabela </w:t>
      </w:r>
      <w:bookmarkStart w:id="59" w:name="tbl30"/>
      <w:r>
        <w:rPr/>
        <w:fldChar w:fldCharType="begin"/>
      </w:r>
      <w:r>
        <w:rPr/>
        <w:instrText xml:space="preserve"> SEQ Tabela \* ARABIC </w:instrText>
      </w:r>
      <w:r>
        <w:rPr/>
        <w:fldChar w:fldCharType="separate"/>
      </w:r>
      <w:r>
        <w:rPr/>
        <w:t>30</w:t>
      </w:r>
      <w:r>
        <w:rPr/>
        <w:fldChar w:fldCharType="end"/>
      </w:r>
      <w:bookmarkEnd w:id="59"/>
      <w:r>
        <w:rPr/>
        <w:t xml:space="preserve"> — Operações públicas de catálogo e vitrine.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Método e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Entrada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Resposta de sucesso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/api/cursos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corpo ou parâmetros de paginação.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integral dos registros de cursos mantidos em cache.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 /api/vagas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corpo ou parâmetros de paginação.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integral dos registros de vagas mantidos em cache.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/api/home-startup</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corpo.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Objeto com cursosDestaque, vagasDestaque, instituicoes, perguntas e stats.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 /api/metadados/totais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corpo.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 com totalMatriculas, totalUsuarios, totalDeCursos e totalDeVagas.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/api/imagens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corpo.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de URLs não vazias extraídas de imagensPublicas.</w:t>
            </w:r>
          </w:p>
        </w:tc>
      </w:tr>
    </w:tbl>
    <w:p>
      <w:pPr>
        <w:pStyle w:val="Normal"/>
        <w:spacing w:lineRule="auto" w:line="240" w:before="0" w:after="20"/>
        <w:rPr/>
      </w:pPr>
      <w:r>
        <w:rPr/>
      </w:r>
    </w:p>
    <w:p>
      <w:pPr>
        <w:pStyle w:val="Caption"/>
        <w:keepNext w:val="true"/>
        <w:rPr/>
      </w:pPr>
      <w:r>
        <w:rPr/>
        <w:t xml:space="preserve">Tabela </w:t>
      </w:r>
      <w:bookmarkStart w:id="60" w:name="tbl31"/>
      <w:r>
        <w:rPr/>
        <w:fldChar w:fldCharType="begin"/>
      </w:r>
      <w:r>
        <w:rPr/>
        <w:instrText xml:space="preserve"> SEQ Tabela \* ARABIC </w:instrText>
      </w:r>
      <w:r>
        <w:rPr/>
        <w:fldChar w:fldCharType="separate"/>
      </w:r>
      <w:r>
        <w:rPr/>
        <w:t>31</w:t>
      </w:r>
      <w:r>
        <w:rPr/>
        <w:fldChar w:fldCharType="end"/>
      </w:r>
      <w:bookmarkEnd w:id="60"/>
      <w:r>
        <w:rPr/>
        <w:t xml:space="preserve"> — Operações autenticadas de usuário.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Método e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Contrato de entrada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Resposta e condição principal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/api/usuarios/check-profile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Bearer; sem corpo.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profileComplete: false ou profileComplete: true acompanhado de data. Resposta privada sem cache.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POST /api/usuarios/perfil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Bearer e objeto cadastral validado por profileSchema.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success: true; message: Perfil salvo com segurança! Cadastro inicial, com unicidade de CPF.</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PATCH /api/usuarios/carteira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Bearer; sem payload de negócio.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success: true e mensagem. Persiste statusCarteira = JA_TENHO.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/api/usuarios/contato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Bearer; emailContato e/ou telefone.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success: true; message: Contato atualizado. Exige perfil completo.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/api/usuarios/suporte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Bearer; assunto e mensagem.</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success: true; message: Ticket aberto com sucesso. Não devolve o ID do ticket.</w:t>
            </w:r>
          </w:p>
        </w:tc>
      </w:tr>
    </w:tbl>
    <w:p>
      <w:pPr>
        <w:pStyle w:val="Normal"/>
        <w:spacing w:lineRule="auto" w:line="240" w:before="0" w:after="20"/>
        <w:rPr/>
      </w:pPr>
      <w:r>
        <w:rPr/>
      </w:r>
    </w:p>
    <w:p>
      <w:pPr>
        <w:pStyle w:val="Caption"/>
        <w:keepNext w:val="true"/>
        <w:rPr/>
      </w:pPr>
      <w:r>
        <w:rPr/>
        <w:t xml:space="preserve">Tabela </w:t>
      </w:r>
      <w:bookmarkStart w:id="61" w:name="tbl32"/>
      <w:r>
        <w:rPr/>
        <w:fldChar w:fldCharType="begin"/>
      </w:r>
      <w:r>
        <w:rPr/>
        <w:instrText xml:space="preserve"> SEQ Tabela \* ARABIC </w:instrText>
      </w:r>
      <w:r>
        <w:rPr/>
        <w:fldChar w:fldCharType="separate"/>
      </w:r>
      <w:r>
        <w:rPr/>
        <w:t>32</w:t>
      </w:r>
      <w:r>
        <w:rPr/>
        <w:fldChar w:fldCharType="end"/>
      </w:r>
      <w:bookmarkEnd w:id="61"/>
      <w:r>
        <w:rPr/>
        <w:t xml:space="preserve"> — Operações autenticadas de jornadas.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Método e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Entrada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Resposta e efeito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/api/jornada-cursos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cursoId; cursoSnapshot opcional e validado.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success: true; status: PRE_MATRICULADO. O snapshot persistido é reconstruído pelo servidor.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/api/jornada-cursos/:cursoId/status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Identificador no caminho; status, certificadoUrl opcional e avaliacao opcional.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success: true e message. Aplica a máquina de estados e os requisitos de envio para análise.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/api/jornada-vagas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vagaId. Outros campos não integram o objeto Zod resultante.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success: true; status: PRE_CANDIDATADO. Snapshot oficial é obtido no catálogo.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/api/jornada-vagas/:vagaId/status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Identificador no caminho e status no corpo.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success: true e message. Atualiza participação e eventual contador de contratados.</w:t>
            </w:r>
          </w:p>
        </w:tc>
      </w:tr>
    </w:tbl>
    <w:p>
      <w:pPr>
        <w:pStyle w:val="Normal"/>
        <w:spacing w:lineRule="auto" w:line="240" w:before="0" w:after="20"/>
        <w:rPr/>
      </w:pPr>
      <w:r>
        <w:rPr/>
      </w:r>
    </w:p>
    <w:p>
      <w:pPr>
        <w:pStyle w:val="Caption"/>
        <w:keepNext w:val="true"/>
        <w:rPr/>
      </w:pPr>
      <w:r>
        <w:rPr/>
        <w:t xml:space="preserve">Tabela </w:t>
      </w:r>
      <w:bookmarkStart w:id="62" w:name="tbl33"/>
      <w:r>
        <w:rPr/>
        <w:fldChar w:fldCharType="begin"/>
      </w:r>
      <w:r>
        <w:rPr/>
        <w:instrText xml:space="preserve"> SEQ Tabela \* ARABIC </w:instrText>
      </w:r>
      <w:r>
        <w:rPr/>
        <w:fldChar w:fldCharType="separate"/>
      </w:r>
      <w:r>
        <w:rPr/>
        <w:t>33</w:t>
      </w:r>
      <w:r>
        <w:rPr/>
        <w:fldChar w:fldCharType="end"/>
      </w:r>
      <w:bookmarkEnd w:id="62"/>
      <w:r>
        <w:rPr/>
        <w:t xml:space="preserve"> — Upload e consultas autenticadas do e-MEC.</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Método e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Entrada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Resposta de sucesso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POST /api/certificados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cursoId, fileName, fileType e fileData em JSON.</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success: true, url e storagePath; os dois últimos contêm o mesmo caminho interno do objeto.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 /api/mec/ies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Bearer; sem parâmetros.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de objetos codIes e nomeIes.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/api/mec/campus/:codIes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Bearer e código numérico da IES.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de objetos codLocal e nomeLocal.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 /api/mec/cursos/:codIes/:codLocal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Bearer; códigos numéricos e filtroGrau opcional.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de objetos codCurso e nomeCurso.</w:t>
            </w:r>
          </w:p>
        </w:tc>
      </w:tr>
    </w:tbl>
    <w:p>
      <w:pPr>
        <w:pStyle w:val="Normal"/>
        <w:spacing w:lineRule="auto" w:line="240" w:before="0" w:after="20"/>
        <w:rPr/>
      </w:pPr>
      <w:r>
        <w:rPr/>
      </w:r>
    </w:p>
    <w:p>
      <w:pPr>
        <w:pStyle w:val="Normal"/>
        <w:rPr/>
      </w:pPr>
      <w:r>
        <w:rPr/>
        <w:t>As rotas estáticas e o fallback da aplicação não representam endpoints adicionais de negócio. Em produção, /.well-known tem tratamento próprio e recurso ausente nesse espaço retorna 404 com Manifest not found. Depois de express.static, o GET curinga entrega index.html para os demais caminhos. Isso inclui um GET /api desconhecido que tenha atravessado os roteadores sem resposta, com possibilidade de retorno 200 e HTML. Um consumidor de API deve distinguir Content-Type e erro de interpretação de JSON; a presença desse fallback não significa que o endpoint solicitado exista.</w:t>
      </w:r>
    </w:p>
    <w:p>
      <w:pPr>
        <w:pStyle w:val="Source"/>
        <w:rPr/>
      </w:pPr>
      <w:r>
        <w:rPr/>
        <w:t>Fonte: server.ts, app.use e app.get curinga; server/routes/*.ts; server/controllers/catalogoController.ts e usuariosController.ts. Revisão 52c5224, examinada em 16/10/2026.</w:t>
      </w:r>
    </w:p>
    <w:p>
      <w:pPr>
        <w:pStyle w:val="Heading2"/>
        <w:rPr/>
      </w:pPr>
      <w:bookmarkStart w:id="63" w:name="__RefHeading___Toc8760_608013930"/>
      <w:bookmarkEnd w:id="63"/>
      <w:r>
        <w:rPr/>
        <w:t>Autenticação, autorização e semântica das respostas</w:t>
      </w:r>
    </w:p>
    <w:p>
      <w:pPr>
        <w:pStyle w:val="Normal"/>
        <w:rPr/>
      </w:pPr>
      <w:r>
        <w:rPr/>
        <w:t>As 13 operações privadas exigem o cabeçalho Authorization no formato Bearer seguido do Firebase ID token. O backend chama verifyIdToken com o segundo argumento true, incluindo verificação de revogação e conta desabilitada. Em /api/mec, um middleware compartilhado cobre as três consultas; nas demais áreas a verificação aparece no encadeamento de cada operação. O servidor usa o uid autenticado para selecionar usuarios/{uid} e a pasta de certificados. Nenhuma dessas rotas aceita um uid arbitrário como substituto da identidade verificada.</w:t>
      </w:r>
    </w:p>
    <w:p>
      <w:pPr>
        <w:pStyle w:val="Normal"/>
        <w:rPr/>
      </w:pPr>
      <w:r>
        <w:rPr/>
        <w:t>A autorização de negócio é posterior à autenticação. isUserProfileComplete exige valores presentes em nome, cpfHash e uf, além de lgpdAceite diferente de false. A comparação preserva cadastros legados nos quais o campo de aceite está ausente; ela não equivale a exigir lgpdAceite === true em todos os documentos antigos. Já o cadastro inicial exige lgpd true no schema. O predicado central é aplicado em leitura de perfil, carteira, contato, suporte, criação e alteração das jornadas e upload. As consultas e-MEC exigem autenticação, mas não perfil completo, pois atendem justamente o preenchimento cadastral.</w:t>
      </w:r>
    </w:p>
    <w:p>
      <w:pPr>
        <w:pStyle w:val="Normal"/>
        <w:rPr/>
      </w:pPr>
      <w:r>
        <w:rPr/>
        <w:t>isClientAuthError reconhece códigos e algumas mensagens de tokens inválidos, expirados, revogados, usuário ausente ou desabilitado. Essas situações retornam 401. Falhas não classificadas durante a etapa de autorização retornam 503, preservando a distinção entre sessão recusada e indisponibilidade da infraestrutura. Os controladores tratam suas falhas próprias com os códigos indicados abaixo. O formato predominante de erro é um objeto com a propriedade error; não há um envelope único com código de domínio, lista de campos e correlation ID em todas as respostas.</w:t>
      </w:r>
    </w:p>
    <w:p>
      <w:pPr>
        <w:pStyle w:val="Caption"/>
        <w:keepNext w:val="true"/>
        <w:rPr/>
      </w:pPr>
      <w:r>
        <w:rPr/>
        <w:t xml:space="preserve">Tabela </w:t>
      </w:r>
      <w:bookmarkStart w:id="64" w:name="tbl34"/>
      <w:r>
        <w:rPr/>
        <w:fldChar w:fldCharType="begin"/>
      </w:r>
      <w:r>
        <w:rPr/>
        <w:instrText xml:space="preserve"> SEQ Tabela \* ARABIC </w:instrText>
      </w:r>
      <w:r>
        <w:rPr/>
        <w:fldChar w:fldCharType="separate"/>
      </w:r>
      <w:r>
        <w:rPr/>
        <w:t>34</w:t>
      </w:r>
      <w:r>
        <w:rPr/>
        <w:fldChar w:fldCharType="end"/>
      </w:r>
      <w:bookmarkEnd w:id="64"/>
      <w:r>
        <w:rPr/>
        <w:t xml:space="preserve"> — Códigos HTTP efetivamente utilizados e interpretação.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737"/>
        <w:gridCol w:w="2267"/>
        <w:gridCol w:w="6520"/>
      </w:tblGrid>
      <w:tr>
        <w:trPr>
          <w:tblHeader w:val="true"/>
          <w:cantSplit/>
        </w:trPr>
        <w:tc>
          <w:tcPr>
            <w:tcW w:w="73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HTTP</w:t>
            </w:r>
          </w:p>
        </w:tc>
        <w:tc>
          <w:tcPr>
            <w:tcW w:w="226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w:t>
            </w:r>
          </w:p>
        </w:tc>
        <w:tc>
          <w:tcPr>
            <w:tcW w:w="652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Consequência para o cliente</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200</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Consulta bem-sucedida, escrita confirmada ou status já aplicado.</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Interpretar o corpo JSON. Uma repetição de status pode ser sucesso sem nova alteração.</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400</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Schema, parâmetro, transição, certificado ou avaliação inválidos; corpo malformado.</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Corrigir os dados ou a ação. A API normalmente retorna mensagem geral, sem erros individuais do Zod.</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401</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Bearer ausente ou sessão inválida, expirada ou revogada.</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Solicitar nova autenticação; não tratar como sucesso nem persistir mudança local definitiva.</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403</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incompleto, cadastro inicial já existente ou upload incompatível com a jornada.</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Completar cadastro ou respeitar a restrição de negócio indicada.</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404</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 vaga ou jornada não localizada; manifesto ausente no espaço reservado.</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Verificar identificador e existência. Não confundir com o fallback GET da SPA.</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409</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 já utilizado ou jornada ativa já existente.</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Informar duplicidade; repetir criação não cria um segundo item ativo.</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413</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Corpo acima do parser permitido ou certificado acima dos limites de tamanho.</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Reduzir o arquivo ou a requisição antes de reenviar.</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429</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Janela de requisições excedida ou limite de 150 jornadas alcançado.</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Distinguir espera temporária de capacidade do histórico, conforme a mensagem.</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500</w:t>
            </w:r>
          </w:p>
        </w:tc>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Falha interna no processamento ou acesso aos serviços, tratada pelo controlador.</w:t>
            </w:r>
          </w:p>
        </w:tc>
        <w:tc>
          <w:tcPr>
            <w:tcW w:w="652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Manter a interface recuperável e permitir repetição consciente.</w:t>
            </w:r>
          </w:p>
        </w:tc>
      </w:tr>
      <w:tr>
        <w:trPr>
          <w:cantSplit/>
        </w:trPr>
        <w:tc>
          <w:tcPr>
            <w:tcW w:w="73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503</w:t>
            </w:r>
          </w:p>
        </w:tc>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Falha não atribuída à sessão durante a autenticação.</w:t>
            </w:r>
          </w:p>
        </w:tc>
        <w:tc>
          <w:tcPr>
            <w:tcW w:w="652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Indicar indisponibilidade temporária do serviço.</w:t>
            </w:r>
          </w:p>
        </w:tc>
      </w:tr>
    </w:tbl>
    <w:p>
      <w:pPr>
        <w:pStyle w:val="Normal"/>
        <w:spacing w:lineRule="auto" w:line="240" w:before="0" w:after="20"/>
        <w:rPr/>
      </w:pPr>
      <w:r>
        <w:rPr/>
      </w:r>
    </w:p>
    <w:p>
      <w:pPr>
        <w:pStyle w:val="Normal"/>
        <w:rPr/>
      </w:pPr>
      <w:r>
        <w:rPr/>
        <w:t>O middleware final converte SyntaxError, entity.parse.failed e erros de status 400 em Payload malformatado ou inválido; entity.too.large ou status 413 recebem mensagem de limite excedido. Outras falhas utilizam status informado ou 500, com mensagem genérica e requestId obtido de x-cloud-trace-context quando presente. Essa propriedade não é gerada para toda resposta nem substitui um sistema de rastreamento completo. O caminho registrado nos logs passa por getSafeRouteId, enquanto vários controladores usam sanitizeLogText para mascarar padrões de tokens e dados pessoais antes de limitar o texto a 300 caracteres.</w:t>
      </w:r>
    </w:p>
    <w:p>
      <w:pPr>
        <w:pStyle w:val="Source"/>
        <w:rPr/>
      </w:pPr>
      <w:r>
        <w:rPr/>
        <w:t>Fonte: server/routes/*.ts, verifyIdToken; server/utils/sanitizers.ts, isUserProfileComplete e isClientAuthError; server/utils/logSanitizer.ts; server.ts, middleware final. Revisão 52c5224, examinada em 16/10/2026.</w:t>
      </w:r>
    </w:p>
    <w:p>
      <w:pPr>
        <w:pStyle w:val="Heading2"/>
        <w:rPr/>
      </w:pPr>
      <w:bookmarkStart w:id="65" w:name="__RefHeading___Toc8762_608013930"/>
      <w:bookmarkEnd w:id="65"/>
      <w:r>
        <w:rPr/>
        <w:t>Contrato cadastral e criação do perfil</w:t>
      </w:r>
    </w:p>
    <w:p>
      <w:pPr>
        <w:pStyle w:val="Normal"/>
        <w:rPr/>
      </w:pPr>
      <w:r>
        <w:rPr/>
        <w:t>A API de perfil é uma operação de cadastro inicial. A validação matemática do CPF é repetida no servidor, independentemente das máscaras e do Zod do cliente. O algoritmo remove caracteres não numéricos, exige 11 dígitos, recusa sequências repetidas e verifica os dois dígitos finais. Nome, telefone, UF, registro no CRA, origem do conhecimento e formação também recebem validações. As opções institucionais vêm de constants.ts, compartilhado entre camadas. A tabela agrupa campos relacionados sem omitir sua presença ou seus limites na borda HTTP.</w:t>
      </w:r>
    </w:p>
    <w:p>
      <w:pPr>
        <w:pStyle w:val="Caption"/>
        <w:keepNext w:val="true"/>
        <w:rPr/>
      </w:pPr>
      <w:r>
        <w:rPr/>
        <w:t xml:space="preserve">Tabela </w:t>
      </w:r>
      <w:bookmarkStart w:id="66" w:name="tbl35"/>
      <w:r>
        <w:rPr/>
        <w:fldChar w:fldCharType="begin"/>
      </w:r>
      <w:r>
        <w:rPr/>
        <w:instrText xml:space="preserve"> SEQ Tabela \* ARABIC </w:instrText>
      </w:r>
      <w:r>
        <w:rPr/>
        <w:fldChar w:fldCharType="separate"/>
      </w:r>
      <w:r>
        <w:rPr/>
        <w:t>35</w:t>
      </w:r>
      <w:r>
        <w:rPr/>
        <w:fldChar w:fldCharType="end"/>
      </w:r>
      <w:bookmarkEnd w:id="66"/>
      <w:r>
        <w:rPr/>
        <w:t xml:space="preserve"> — Contrato de POST /api/usuarios/perfil no servidor.</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 e presença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Validação e condição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trim; 2 a 100 caracteres.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11 a 14 caracteres na entrada; validação matemática após remoção de não dígitos.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celular</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10 a 20 caracteres; conteúdo normalizado com 10 ou 11 dígitos.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uf</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Uma das 27 siglas de UFS.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registroCRA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Enum obrigatório.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Sim ou Não. Não é um número de inscrição profissional.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comoSoube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Uma das oito opções de COMO_SOUBE.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formacao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obrigatória.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Uma das oito opções de FORMACOES, incluindo os dois perfis de outra área.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areaAtuacao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opcional, nula ou vazia; máximo 100.</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Obrigatória e pertencente a AREAS_ATUACAO para Profissional de outra área ou Estudante de outra área.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semestre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opcional, nula ou vazia; máximo 50.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Obrigatória para estudante de Administração; 1º a 6º no tecnólogo, ou 1º a 10º nos demais perfis desse grupo.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ies e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opcionais, nulas ou vazias; máximo 150 cada.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Para estudante de Administração, mínimo 3 caracteres após trim no cadastro manual, ou 2 no modo catálogo.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campus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opcional, nula ou vazia; máximo 150.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Para estudante de Administração, mínimo de 2 caracteres após trim.</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cadastroManualIes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Boolean opcional.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 padrão false; altera o mínimo de IES e curso.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lgpd</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Boolean obrigatório.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Deve ser true para aceitação do cadastro.</w:t>
            </w:r>
          </w:p>
        </w:tc>
      </w:tr>
    </w:tbl>
    <w:p>
      <w:pPr>
        <w:pStyle w:val="Normal"/>
        <w:spacing w:lineRule="auto" w:line="240" w:before="0" w:after="20"/>
        <w:rPr/>
      </w:pPr>
      <w:r>
        <w:rPr/>
      </w:r>
    </w:p>
    <w:p>
      <w:pPr>
        <w:pStyle w:val="Normal"/>
        <w:rPr/>
      </w:pPr>
      <w:r>
        <w:rPr/>
        <w:t>Os objetos Zod utilizados não ativam strict nem passthrough. Propriedades adicionais que não pertencem ao schema são removidas do resultado, e os controladores recebem parseResult.data. A validação de interface facilita a correção antes do envio, mas o servidor é a fronteira decisória. Há pequenas diferenças de representação: o celular do schema cliente exige no mínimo 14 caracteres, adequado ao preenchimento mascarado, enquanto o servidor aceita a forma numérica de 10 dígitos. Não se deve afirmar identidade literal dos dois schemas; as regras condicionais de formação e os dígitos válidos são aplicados nas duas camadas.</w:t>
      </w:r>
    </w:p>
    <w:p>
      <w:pPr>
        <w:pStyle w:val="Normal"/>
        <w:rPr/>
      </w:pPr>
      <w:r>
        <w:rPr/>
        <w:t>Após a validação, atualizarPerfil deriva os hashes e executa uma transação. Ela lê o documento do usuário e o índice de CPF, recusa cadastro que já contenha cpfHash, rejeita CPF global já indexado e grava índice, perfil e eventual incremento de totalUsuarios. O contador em memória é atualizado somente após a confirmação da transação. A resposta de sucesso é enviada antes da tentativa assíncrona de salvar o lead no Cofre. Esse envio secundário protege os campos sensíveis e não participa da mesma transação do Firestore principal. A fronteira de atomicidade e os algoritmos estão detalhados no capítulo de persistência.</w:t>
      </w:r>
    </w:p>
    <w:p>
      <w:pPr>
        <w:pStyle w:val="Normal"/>
        <w:rPr/>
      </w:pPr>
      <w:r>
        <w:rPr/>
        <w:t>O perfil grava campos acadêmicos apenas para estudantes de Administração e areaAtuacao apenas nos perfis de outra área, limpando os campos incompatíveis. IES, campus e curso passam por remoção de tags e proteção de prefixos de fórmulas. A imutabilidade cadastral é verificada pelo servidor: POST /perfil não funciona como edição irrestrita de um perfil existente. Contato possui operação específica, e a marcação de carteira apenas declara JA_TENHO; ela não emite nem valida um documento estudantil.</w:t>
      </w:r>
    </w:p>
    <w:p>
      <w:pPr>
        <w:pStyle w:val="Source"/>
        <w:rPr/>
      </w:pPr>
      <w:r>
        <w:rPr/>
        <w:t>Fonte: server/routes/usuarios.ts, profileSchema; server/controllers/usuariosController.ts, atualizarPerfil e atualizarStatusCarteira; src/types/schemas.ts; src/lib/constants.ts e validators.ts. Revisão 52c5224, examinada em 16/10/2026.</w:t>
      </w:r>
    </w:p>
    <w:p>
      <w:pPr>
        <w:pStyle w:val="Heading2"/>
        <w:rPr/>
      </w:pPr>
      <w:bookmarkStart w:id="67" w:name="__RefHeading___Toc8764_608013930"/>
      <w:bookmarkEnd w:id="67"/>
      <w:r>
        <w:rPr/>
        <w:t>Leituras públicas, cache e resposta de sessão</w:t>
      </w:r>
    </w:p>
    <w:p>
      <w:pPr>
        <w:pStyle w:val="Normal"/>
        <w:rPr/>
      </w:pPr>
      <w:r>
        <w:rPr/>
        <w:t>As rotas públicas atendem à vitrine e aos catálogos sem exigir conta. home-startup monta um pacote com até três cursos, buscando diversidade de instituições antes de completar as posições disponíveis. Para vagas, embaralha o conjunto, tenta selecionar uma oportunidade de aprendiz e depois estágios, preenchendo as posições restantes com empresas distintas quando disponíveis. A seleção usa aleatoriedade criptográfica para embaralhar, mas não representa recomendação individual ou ordenação baseada no perfil do visitante. Sua resposta desabilita cache HTTP com no-cache, no-store e must-revalidate.</w:t>
      </w:r>
    </w:p>
    <w:p>
      <w:pPr>
        <w:pStyle w:val="Normal"/>
        <w:rPr/>
      </w:pPr>
      <w:r>
        <w:rPr/>
        <w:t>O cache de paginaPublica/parte1 é carregado na inicialização e revalidado por demanda após 30 minutos. Cursos, vagas e e-MEC são carregados por demanda de seus documentos particionados. O compartilhamento das promessas de carregamento evita iniciar a mesma leitura simultaneamente no mesmo processo. Os loaders registram determinadas falhas e mantêm estados vazios ou anteriores, permitindo nova tentativa; por isso, um array vazio não comprova sozinho ausência de catálogo na origem. A API não expõe uma versão de cache nem garante atualização imediata entre instâncias distintas.</w:t>
      </w:r>
    </w:p>
    <w:p>
      <w:pPr>
        <w:pStyle w:val="Normal"/>
        <w:rPr/>
      </w:pPr>
      <w:r>
        <w:rPr/>
        <w:t>check-profile é a leitura consolidada da sessão. Quando o perfil está completo, devolve nome, uf, registroCRA, areaAtuacao, semestre, ies, formacao, emailContato, curso, campus, jornadaCursos, jornadaVagas e statusCarteira, conforme os valores existentes. Não devolve CPF, celular, hashes ou credenciais. Para jornadas antigas sem título no snapshot, tenta complementar a resposta usando o catálogo já disponível na memória, sem persistir essa composição. A consulta não força carregamento do catálogo completo somente para essa correção; assim, a recuperação do título depende do conteúdo já carregado.</w:t>
      </w:r>
    </w:p>
    <w:p>
      <w:pPr>
        <w:pStyle w:val="Source"/>
        <w:rPr/>
      </w:pPr>
      <w:r>
        <w:rPr/>
        <w:t>Fonte: server/controllers/catalogoController.ts; server/services/cache.ts; server/controllers/usuariosController.ts, checarPerfil; src/store/useHomeStore.ts e useAuthStore.ts. Revisão 52c5224, examinada em 16/10/2026.</w:t>
      </w:r>
    </w:p>
    <w:p>
      <w:pPr>
        <w:pStyle w:val="Heading2"/>
        <w:rPr/>
      </w:pPr>
      <w:bookmarkStart w:id="68" w:name="__RefHeading___Toc8766_608013930"/>
      <w:bookmarkEnd w:id="68"/>
      <w:r>
        <w:rPr/>
        <w:t>Jornadas de cursos, transições e contagem de matrículas</w:t>
      </w:r>
    </w:p>
    <w:p>
      <w:pPr>
        <w:pStyle w:val="Normal"/>
        <w:rPr/>
      </w:pPr>
      <w:r>
        <w:rPr/>
        <w:t>A criação exige cursoId não vazio, com até 128 caracteres, autenticação e perfil completo. A rota admite um cursoSnapshot opcional com título, título editado, carga horária, instituição, área e imagem HTTPS nos limites declarados, mas o controlador não utiliza esse objeto como autoridade. Ele procura o curso pelo ID no catálogo oficial carregado e, subsidiariamente, na vitrine pública, reconstruindo o snapshot persistido. Curso inexistente retorna 404. Essa decisão impede que a jornada seja criada apenas com um nome ou link fornecido pelo cliente.</w:t>
      </w:r>
    </w:p>
    <w:p>
      <w:pPr>
        <w:pStyle w:val="Normal"/>
        <w:rPr/>
      </w:pPr>
      <w:r>
        <w:rPr/>
        <w:t>A transação lê usuarios/{uid} e localiza a jornada pelo cursoId. Uma jornada DESISTIU pode ser reativada como PRE_MATRICULADO, com snapshot atualizado; outra jornada existente retorna 409. Novo item respeita o limite de 150 entradas, possui id igual ao cursoId e recebe createdAt e updatedAt em texto ISO. A rota PATCH valida também o identificador do caminho: 1 a 128 caracteres, com conjunto permitido de letras, números, acentos, espaços e sinais específicos. A validação de formato não substitui a localização e a regra de transição executadas no controlador.</w:t>
      </w:r>
    </w:p>
    <w:p>
      <w:pPr>
        <w:pStyle w:val="Caption"/>
        <w:keepNext w:val="true"/>
        <w:rPr/>
      </w:pPr>
      <w:r>
        <w:rPr/>
        <w:t xml:space="preserve">Tabela </w:t>
      </w:r>
      <w:bookmarkStart w:id="69" w:name="tbl36"/>
      <w:r>
        <w:rPr/>
        <w:fldChar w:fldCharType="begin"/>
      </w:r>
      <w:r>
        <w:rPr/>
        <w:instrText xml:space="preserve"> SEQ Tabela \* ARABIC </w:instrText>
      </w:r>
      <w:r>
        <w:rPr/>
        <w:fldChar w:fldCharType="separate"/>
      </w:r>
      <w:r>
        <w:rPr/>
        <w:t>36</w:t>
      </w:r>
      <w:r>
        <w:rPr/>
        <w:fldChar w:fldCharType="end"/>
      </w:r>
      <w:bookmarkEnd w:id="69"/>
      <w:r>
        <w:rPr/>
        <w:t xml:space="preserve"> — Transições de cursos aceitas pelo controlador da API.</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Estado atual</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Destinos aceitos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Condição ou fronteira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PRE_MATRICULADO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MATRICULADO; DESISTIU.</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Confirmação declaratória de matrícula ou desistência.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MATRICULADO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AGUARDANDO_CERTIFICADO; EM_ANALISE; DESISTIU.</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EM_ANALISE exige certificado vinculado e avaliação válida.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AGUARDANDO_CERTIFICADO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EM_ANALISE; DESISTIU.</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Aplicam-se os mesmos requisitos de arquivo e avaliação.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EM_ANALISE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MATRICULADO.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Retorno permitido ao acompanhamento do curso. Aprovação para CONCLUIDO ocorre em processo externo informado.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CONCLUIDO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Nenhum.</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sem saída por esta API do usuário.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DESISTIU</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PRE_MATRICULADO; MATRICULADO.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Permite retomada; matriculadoAt existente impede nova contagem da primeira matrícula.</w:t>
            </w:r>
          </w:p>
        </w:tc>
      </w:tr>
    </w:tbl>
    <w:p>
      <w:pPr>
        <w:pStyle w:val="Normal"/>
        <w:spacing w:lineRule="auto" w:line="240" w:before="0" w:after="20"/>
        <w:rPr/>
      </w:pPr>
      <w:r>
        <w:rPr/>
      </w:r>
    </w:p>
    <w:p>
      <w:pPr>
        <w:pStyle w:val="Normal"/>
        <w:rPr/>
      </w:pPr>
      <w:r>
        <w:rPr/>
        <w:t>Embora CONCLUIDO apareça no enum do schema PATCH e exista código para seu timestamp, nenhuma entrada da máquina de estados aceita esse destino. O responsável informou que a aprovação de EM_ANALISE para CONCLUIDO é executada por outro sistema ou processo administrativo. A documentação preserva essa fronteira: o frontend envia o material para análise e apresenta o resultado registrado posteriormente, sem oferecer por essa rota a autohomologação do certificado. O procedimento externo não foi fornecido como implementação do repositório.</w:t>
      </w:r>
    </w:p>
    <w:p>
      <w:pPr>
        <w:pStyle w:val="Normal"/>
        <w:rPr/>
      </w:pPr>
      <w:r>
        <w:rPr/>
        <w:t>Uma solicitação do estado já aplicado retorna sucesso, sem nova gravação. A primeira transição para MATRICULADO grava matriculadoAt e incrementa totalMatriculas no mesmo commit da jornada; retomadas preservam esse marco. A callback da transação devolve um indicador, e o ajuste do contador em memória e a resposta HTTP acontecem depois da confirmação. Esse cuidado evita repetir efeitos externos quando o Firestore reexecuta a callback por concorrência. Os outros marcos são atualizados conforme a transição; o histórico não é um log imutável de todos os eventos, mas um item com estado atual e timestamps específicos.</w:t>
      </w:r>
    </w:p>
    <w:p>
      <w:pPr>
        <w:pStyle w:val="Normal"/>
        <w:keepNext w:val="true"/>
        <w:jc w:val="center"/>
        <w:rPr/>
      </w:pPr>
      <w:r>
        <w:rPr/>
        <w:drawing>
          <wp:inline distT="0" distB="0" distL="0" distR="0">
            <wp:extent cx="5873750" cy="5760085"/>
            <wp:effectExtent l="0" t="0" r="0" b="0"/>
            <wp:docPr id="5" name="Picture 5" descr="Jornada de curso entre pré-matrícula, matrícula, aguardando certificado, em análise e desistência. Conclusão depende de aprovação administrativa externa informada pelo responsável."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Jornada de curso entre pré-matrícula, matrícula, aguardando certificado, em análise e desistência. Conclusão depende de aprovação administrativa externa informada pelo responsável." title="Figura 3"/>
                    <pic:cNvPicPr>
                      <a:picLocks noChangeAspect="1" noChangeArrowheads="1"/>
                    </pic:cNvPicPr>
                  </pic:nvPicPr>
                  <pic:blipFill>
                    <a:blip r:embed="rId10"/>
                    <a:stretch>
                      <a:fillRect/>
                    </a:stretch>
                  </pic:blipFill>
                  <pic:spPr bwMode="auto">
                    <a:xfrm>
                      <a:off x="0" y="0"/>
                      <a:ext cx="5873750" cy="5760085"/>
                    </a:xfrm>
                    <a:prstGeom prst="rect">
                      <a:avLst/>
                    </a:prstGeom>
                    <a:noFill/>
                  </pic:spPr>
                </pic:pic>
              </a:graphicData>
            </a:graphic>
          </wp:inline>
        </w:drawing>
      </w:r>
    </w:p>
    <w:p>
      <w:pPr>
        <w:pStyle w:val="Caption"/>
        <w:rPr/>
      </w:pPr>
      <w:r>
        <w:rPr/>
        <w:t xml:space="preserve">Figura </w:t>
      </w:r>
      <w:bookmarkStart w:id="70" w:name="fig3"/>
      <w:r>
        <w:rPr/>
        <w:fldChar w:fldCharType="begin"/>
      </w:r>
      <w:r>
        <w:rPr/>
        <w:instrText xml:space="preserve"> SEQ Figura \* ARABIC </w:instrText>
      </w:r>
      <w:r>
        <w:rPr/>
        <w:fldChar w:fldCharType="separate"/>
      </w:r>
      <w:r>
        <w:rPr/>
        <w:t>3</w:t>
      </w:r>
      <w:r>
        <w:rPr/>
        <w:fldChar w:fldCharType="end"/>
      </w:r>
      <w:bookmarkEnd w:id="70"/>
      <w:r>
        <w:rPr/>
        <w:t xml:space="preserve"> — Estados da jornada de curso e fronteira da aprovação administrativa externa.</w:t>
      </w:r>
    </w:p>
    <w:p>
      <w:pPr>
        <w:pStyle w:val="Source"/>
        <w:rPr/>
      </w:pPr>
      <w:r>
        <w:rPr/>
        <w:t>Descrição: Jornada de curso entre pré-matrícula, matrícula, aguardando certificado, em análise e desistência. Conclusão depende de aprovação administrativa externa informada pelo responsável.</w:t>
      </w:r>
    </w:p>
    <w:p>
      <w:pPr>
        <w:pStyle w:val="Source"/>
        <w:rPr/>
      </w:pPr>
      <w:r>
        <w:rPr/>
        <w:t>Fonte: server/routes/jornadaCursos.ts; server/controllers/jornadaCursosController.ts, criarJornada e atualizarStatusJornada; src/hooks/useCursosPreMatricula.ts; informação do responsável sobre o processo administrativo externo. Revisão 52c5224, examinada em 16/10/2026.</w:t>
      </w:r>
    </w:p>
    <w:p>
      <w:pPr>
        <w:pStyle w:val="Heading2"/>
        <w:rPr/>
      </w:pPr>
      <w:bookmarkStart w:id="71" w:name="__RefHeading___Toc8768_608013930"/>
      <w:bookmarkEnd w:id="71"/>
      <w:r>
        <w:rPr/>
        <w:t>Certificados e avaliação: contrato, verificações e falha parcial</w:t>
      </w:r>
    </w:p>
    <w:p>
      <w:pPr>
        <w:pStyle w:val="Normal"/>
        <w:rPr/>
      </w:pPr>
      <w:r>
        <w:rPr/>
        <w:t>O certificado é enviado por POST /api/certificados em JSON, e não por formulário multipart nem por upload direto do SDK cliente. O objeto contém cursoId, fileName, fileType e fileData. fileName aceita 1 a 255 caracteres; cursoId, 1 a 128; fileType aceita application/pdf, image/png ou image/jpeg; fileData é uma string não vazia com Data URL base64. O nome do arquivo recebido é sanitizado no cliente, mas não determina o nome salvo. O servidor gera um nome próprio, com extensão derivada dos bytes reconhecidos.</w:t>
      </w:r>
    </w:p>
    <w:p>
      <w:pPr>
        <w:pStyle w:val="Normal"/>
        <w:rPr/>
      </w:pPr>
      <w:r>
        <w:rPr/>
        <w:t>O teto efetivamente implementado é 1 MiB, equivalente a 1.048.576 bytes, apesar de a interface utilizar a expressão 1MB. O AGENTS.md estabelece um máximo de 5 MB; a implementação é mais restritiva. O modal recusa arquivos acima de 1 MiB antes de comprimir imagens, e a fábrica de API verifica novamente o limite. Imagens aceitas podem ser redimensionadas para até 1920 por 1920 pixels, preservando a proporção, e convertidas a JPEG com qualidade 0,7. PDFs não são comprimidos pelo utilitário. Essa compressão não é um caminho para aceitar previamente um arquivo maior que o limite.</w:t>
      </w:r>
    </w:p>
    <w:p>
      <w:pPr>
        <w:pStyle w:val="Caption"/>
        <w:keepNext w:val="true"/>
        <w:rPr/>
      </w:pPr>
      <w:r>
        <w:rPr/>
        <w:t xml:space="preserve">Tabela </w:t>
      </w:r>
      <w:bookmarkStart w:id="72" w:name="tbl37"/>
      <w:r>
        <w:rPr/>
        <w:fldChar w:fldCharType="begin"/>
      </w:r>
      <w:r>
        <w:rPr/>
        <w:instrText xml:space="preserve"> SEQ Tabela \* ARABIC </w:instrText>
      </w:r>
      <w:r>
        <w:rPr/>
        <w:fldChar w:fldCharType="separate"/>
      </w:r>
      <w:r>
        <w:rPr/>
        <w:t>37</w:t>
      </w:r>
      <w:r>
        <w:rPr/>
        <w:fldChar w:fldCharType="end"/>
      </w:r>
      <w:bookmarkEnd w:id="72"/>
      <w:r>
        <w:rPr/>
        <w:t xml:space="preserve"> — Verificações do upload e do vínculo do certificado.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Etapa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Regra implementada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ou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Borda HTTP</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Limitador específico, autenticação e JSON próprio.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 tentativas/hora; parser 2mb, aplicado após autenticação.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Tamanho da string</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fileData com até 1.400.000 caracteres; conteúdo base64 também verificado.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Excesso pode retornar 413; estrutura corrompida retorna 400.</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Tamanho binário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Buffer decodificado com até 1.048.576 bytes.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Excesso retorna 413.</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Assinatura de conteúdo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%PDF; assinatura PNG de oito bytes; prefixo JPEG ffd8ff.</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Formato não reconhecido retorna 400. Não equivale a antivírus ou validação integral do documento.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e jornada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de usuário completo e jornada daquele curso.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Ausência ou perfil incompleto retorna 403.</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Estado para upload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Somente MATRICULADO ou AGUARDANDO_CERTIFICADO.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Outros estados retornam 403.</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 interno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certificados/{uid}/{cursoTag}{timestamp}{UUID}.{ext}.</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cursoTag = primeiros 16 caracteres hexadecimais do SHA-256 do cursoId.</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Metadados do objeto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MIME reconhecido; disposition attachment; uploadedBy, cursoId e cursoTag.</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 caminho é devolvido, sem criar URL pública de download nessa operação.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Vínculo no PATCH</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Caminho na pasta do uid; sem .. ou barra invertida; nome restrito.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certificadoUrl somente pode ser informado com status EM_ANALISE.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Coerência do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Tag do nome deve corresponder ao curso; arquivo não pode estar em outra jornada.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Também compara cursoId e cursoTag dos metadados quando a leitura retorna esses campos.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Existência e legado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Verifica existência no Storage; admite arquivo legado sem tag apenas se já vinculado àquela jornada.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Falha de leitura dos metadados é capturada sem, por si só, rejeitar o arquivo existente.</w:t>
            </w:r>
          </w:p>
        </w:tc>
      </w:tr>
    </w:tbl>
    <w:p>
      <w:pPr>
        <w:pStyle w:val="Normal"/>
        <w:spacing w:lineRule="auto" w:line="240" w:before="0" w:after="20"/>
        <w:rPr/>
      </w:pPr>
      <w:r>
        <w:rPr/>
      </w:r>
    </w:p>
    <w:p>
      <w:pPr>
        <w:pStyle w:val="Normal"/>
        <w:rPr/>
      </w:pPr>
      <w:r>
        <w:rPr/>
        <w:t>O reconhecimento pelos bytes prevalece sobre o MIME declarado na determinação do contentType salvo e da extensão. As assinaturas verificadas são curtas e não atestam legitimidade acadêmica, integridade semântica do PDF ou ausência de conteúdo malicioso. A tag do curso representa um vínculo determinístico, não uma assinatura digital do certificado nem um hash de integridade de todo o arquivo. O armazenamento utiliza attachment e caminho isolado por uid. As regras de leitura e a forma de apresentar certificados existentes são tratadas nos capítulos de interface e dados.</w:t>
      </w:r>
    </w:p>
    <w:p>
      <w:pPr>
        <w:pStyle w:val="Normal"/>
        <w:rPr/>
      </w:pPr>
      <w:r>
        <w:rPr/>
        <w:t>Para entrar em EM_ANALISE, a avaliação resultante deve conter notaCurso, notaPlataforma e notaMaterial como inteiros de 1 a 5. comentario é opcional, com até 500 caracteres. As propriedades de nota são opcionais no schema isolado, porém a regra transacional exige as três na avaliação final, recebida ou já armazenada. Também aceita reaproveitar um certificado previamente vinculado. Assim, um payload parcial não dispensa os critérios: o servidor avalia o estado consolidado que será persistido, rechecando vínculo e reutilização dentro da transação.</w:t>
      </w:r>
    </w:p>
    <w:p>
      <w:pPr>
        <w:pStyle w:val="Normal"/>
        <w:rPr/>
      </w:pPr>
      <w:r>
        <w:rPr/>
        <w:t>Exemplo sintético de PATCH de envio para análise:</w:t>
      </w:r>
    </w:p>
    <w:p>
      <w:pPr>
        <w:pStyle w:val="Code"/>
        <w:rPr/>
      </w:pPr>
      <w:r>
        <w:rPr/>
        <w:t>{</w:t>
      </w:r>
    </w:p>
    <w:p>
      <w:pPr>
        <w:pStyle w:val="Code"/>
        <w:rPr/>
      </w:pPr>
      <w:r>
        <w:rPr/>
        <w:t xml:space="preserve">  </w:t>
      </w:r>
      <w:r>
        <w:rPr/>
        <w:t>"status": "EM_ANALISE",</w:t>
      </w:r>
    </w:p>
    <w:p>
      <w:pPr>
        <w:pStyle w:val="Code"/>
        <w:rPr/>
      </w:pPr>
      <w:r>
        <w:rPr/>
        <w:t xml:space="preserve">  </w:t>
      </w:r>
      <w:r>
        <w:rPr/>
        <w:t>"certificadoUrl": "certificados/UID_EXEMPLO/22068a521ae26682_1700000000000_00000000-0000-4000-8000-000000000000.pdf",</w:t>
      </w:r>
    </w:p>
    <w:p>
      <w:pPr>
        <w:pStyle w:val="Code"/>
        <w:rPr/>
      </w:pPr>
      <w:r>
        <w:rPr/>
        <w:t xml:space="preserve">  </w:t>
      </w:r>
      <w:r>
        <w:rPr/>
        <w:t>"avaliacao": {</w:t>
      </w:r>
    </w:p>
    <w:p>
      <w:pPr>
        <w:pStyle w:val="Code"/>
        <w:rPr/>
      </w:pPr>
      <w:r>
        <w:rPr/>
        <w:t xml:space="preserve">    </w:t>
      </w:r>
      <w:r>
        <w:rPr/>
        <w:t>"notaCurso": 5,</w:t>
      </w:r>
    </w:p>
    <w:p>
      <w:pPr>
        <w:pStyle w:val="Code"/>
        <w:rPr/>
      </w:pPr>
      <w:r>
        <w:rPr/>
        <w:t xml:space="preserve">    </w:t>
      </w:r>
      <w:r>
        <w:rPr/>
        <w:t>"notaPlataforma": 4,</w:t>
      </w:r>
    </w:p>
    <w:p>
      <w:pPr>
        <w:pStyle w:val="Code"/>
        <w:rPr/>
      </w:pPr>
      <w:r>
        <w:rPr/>
        <w:t xml:space="preserve">    </w:t>
      </w:r>
      <w:r>
        <w:rPr/>
        <w:t>"notaMaterial": 5,</w:t>
      </w:r>
    </w:p>
    <w:p>
      <w:pPr>
        <w:pStyle w:val="Code"/>
        <w:rPr/>
      </w:pPr>
      <w:r>
        <w:rPr/>
        <w:t xml:space="preserve">    </w:t>
      </w:r>
      <w:r>
        <w:rPr/>
        <w:t>"comentario": "Exemplo de avaliação, sem dados pessoais."</w:t>
      </w:r>
    </w:p>
    <w:p>
      <w:pPr>
        <w:pStyle w:val="Code"/>
        <w:rPr/>
      </w:pPr>
      <w:r>
        <w:rPr/>
        <w:t xml:space="preserve">  </w:t>
      </w:r>
      <w:r>
        <w:rPr/>
        <w:t>}</w:t>
      </w:r>
    </w:p>
    <w:p>
      <w:pPr>
        <w:pStyle w:val="Code"/>
        <w:rPr/>
      </w:pPr>
      <w:r>
        <w:rPr/>
        <w:t>}</w:t>
      </w:r>
    </w:p>
    <w:p>
      <w:pPr>
        <w:pStyle w:val="Normal"/>
        <w:rPr/>
      </w:pPr>
      <w:r>
        <w:rPr/>
        <w:t>Exemplo sintético para cursoId CURSO_EXEMPLO. O caminho real deve ser o retornado pelo upload, com a tag do curso e o uid da sessão autenticada.</w:t>
      </w:r>
    </w:p>
    <w:p>
      <w:pPr>
        <w:pStyle w:val="Normal"/>
        <w:rPr/>
      </w:pPr>
      <w:r>
        <w:rPr/>
        <w:t>Upload e atualização da jornada são duas requisições independentes. Quando o arquivo é salvo e apenas o PATCH falha, o cliente preserva caminho e avaliação na memória da jornada e do modal, retira a seleção do arquivo e permite tentar o vínculo novamente. O bloco finally libera Enviando..., e role=alert informa a falha. A preservação é local à sessão em memória: recarregar a página antes do vínculo pode perder essa referência. Fechar o modal invalida callbacks de interface, mas não garante cancelamento do trabalho já recebido pelo servidor. A limpeza externa de objetos eventualmente órfãos não foi verificada e não deve ser descrita como automática.</w:t>
      </w:r>
    </w:p>
    <w:p>
      <w:pPr>
        <w:pStyle w:val="Source"/>
        <w:rPr/>
      </w:pPr>
      <w:r>
        <w:rPr/>
        <w:t>Fonte: server/routes/certificados.ts; server/routes/jornadaCursos.ts, patchJornadaSchema; server/controllers/jornadaCursosController.ts; src/api/certificados.ts; src/components/ui/UploadCertificadoModal.tsx; src/pages/JornadaCursosInicio.tsx; src/lib/compressor.ts. Revisão 52c5224, examinada em 16/10/2026.</w:t>
      </w:r>
    </w:p>
    <w:p>
      <w:pPr>
        <w:pStyle w:val="Heading2"/>
        <w:rPr/>
      </w:pPr>
      <w:bookmarkStart w:id="73" w:name="__RefHeading___Toc8770_608013930"/>
      <w:bookmarkEnd w:id="73"/>
      <w:r>
        <w:rPr/>
        <w:t>Jornadas de vagas e declaração de resultado</w:t>
      </w:r>
    </w:p>
    <w:p>
      <w:pPr>
        <w:pStyle w:val="Normal"/>
        <w:rPr/>
      </w:pPr>
      <w:r>
        <w:rPr/>
        <w:t>POST /api/jornada-vagas recebe vagaId com 1 a 128 caracteres. O cliente pode enviar um snapshot para sua própria composição, mas o schema servidor considera apenas vagaId e o controlador obtém o snapshot do catálogo oficial. A identidade canônica usa v.id quando presente ou codigoDaVaga como alternativa. Essa precedência é a mesma aplicada pelo store de vagas; não há ID aleatório gerado para registros sem identificação, e esses registros são filtrados no cliente. Uma vaga não localizada retorna 404, preservando a correspondência entre catálogo e jornada.</w:t>
      </w:r>
    </w:p>
    <w:p>
      <w:pPr>
        <w:pStyle w:val="Normal"/>
        <w:rPr/>
      </w:pPr>
      <w:r>
        <w:rPr/>
        <w:t>O processamento transacional segue a política de cursos: perfil completo, até 150 entradas, retomada de DESISTIU para PRE_CANDIDATADO e conflito 409 para outra participação já existente. A operação não executa a candidatura no portal do parceiro. O usuário é direcionado ao serviço externo e posteriormente confirma sua situação no Educa, coerentemente com o modelo declaratório do produto. A tabela descreve os destinos aceitos no PATCH, cujo schema admite apenas a propriedade status pertencente ao enum de participação.</w:t>
      </w:r>
    </w:p>
    <w:p>
      <w:pPr>
        <w:pStyle w:val="Caption"/>
        <w:keepNext w:val="true"/>
        <w:rPr/>
      </w:pPr>
      <w:r>
        <w:rPr/>
        <w:t xml:space="preserve">Tabela </w:t>
      </w:r>
      <w:bookmarkStart w:id="74" w:name="tbl38"/>
      <w:r>
        <w:rPr/>
        <w:fldChar w:fldCharType="begin"/>
      </w:r>
      <w:r>
        <w:rPr/>
        <w:instrText xml:space="preserve"> SEQ Tabela \* ARABIC </w:instrText>
      </w:r>
      <w:r>
        <w:rPr/>
        <w:fldChar w:fldCharType="separate"/>
      </w:r>
      <w:r>
        <w:rPr/>
        <w:t>38</w:t>
      </w:r>
      <w:r>
        <w:rPr/>
        <w:fldChar w:fldCharType="end"/>
      </w:r>
      <w:bookmarkEnd w:id="74"/>
      <w:r>
        <w:rPr/>
        <w:t xml:space="preserve"> — Transições de vagas aceitas pelo controlador.</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Estado atual</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Destinos aceitos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Efeito relevante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PRE_CANDIDATADO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CANDIDATADO; DESISTIU.</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Registra confirmação de candidatura ou desistência.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CANDIDATADO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NAO_FOI_DESTA_VEZ; DESISTIU; CONTRATADO.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Permite declarar o resultado da participação.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NAO_FOI_DESTA_VEZ</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Nenhum.</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terminal nessa máquina de estados.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CONTRATADO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Nenhum.</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Estado terminal; primeira ocorrência registra contratadoAt.</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DESISTIU</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PRE_CANDIDATADO; CANDIDATADO.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Permite retomada da participação.</w:t>
            </w:r>
          </w:p>
        </w:tc>
      </w:tr>
    </w:tbl>
    <w:p>
      <w:pPr>
        <w:pStyle w:val="Normal"/>
        <w:spacing w:lineRule="auto" w:line="240" w:before="0" w:after="20"/>
        <w:rPr/>
      </w:pPr>
      <w:r>
        <w:rPr/>
      </w:r>
    </w:p>
    <w:p>
      <w:pPr>
        <w:pStyle w:val="Normal"/>
        <w:rPr/>
      </w:pPr>
      <w:r>
        <w:rPr/>
        <w:t>O primeiro registro de CONTRATADO incrementa totalContratados em paginaPublica/parte1 junto à gravação do documento do usuário. contratadoAt atua como marcador para impedir nova contagem da primeira contratação. O cache recebe o incremento após a transação, e a resposta não é enviada de dentro da callback. Repetição do estado atual retorna sucesso, enquanto transição não permitida retorna 400. Os endpoints públicos de totais descritos neste capítulo não expõem totalContratados, embora o contador seja atualizado na persistência e em memória.</w:t>
      </w:r>
    </w:p>
    <w:p>
      <w:pPr>
        <w:pStyle w:val="Source"/>
        <w:rPr/>
      </w:pPr>
      <w:r>
        <w:rPr/>
        <w:t>Fonte: server/routes/jornadaVagas.ts; server/controllers/jornadaVagasController.ts; src/store/useVagasStore.ts; src/hooks/useVagasInteresse.ts; server/controllers/catalogoController.ts, getMetadadosTotais. Revisão 52c5224, examinada em 16/10/2026.</w:t>
      </w:r>
    </w:p>
    <w:p>
      <w:pPr>
        <w:pStyle w:val="Heading2"/>
        <w:rPr/>
      </w:pPr>
      <w:bookmarkStart w:id="75" w:name="__RefHeading___Toc8772_608013930"/>
      <w:bookmarkEnd w:id="75"/>
      <w:r>
        <w:rPr/>
        <w:t>Contato, suporte e consultas acadêmicas e-MEC</w:t>
      </w:r>
    </w:p>
    <w:p>
      <w:pPr>
        <w:pStyle w:val="Caption"/>
        <w:keepNext w:val="true"/>
        <w:rPr/>
      </w:pPr>
      <w:r>
        <w:rPr/>
        <w:t xml:space="preserve">Tabela </w:t>
      </w:r>
      <w:bookmarkStart w:id="76" w:name="tbl39"/>
      <w:r>
        <w:rPr/>
        <w:fldChar w:fldCharType="begin"/>
      </w:r>
      <w:r>
        <w:rPr/>
        <w:instrText xml:space="preserve"> SEQ Tabela \* ARABIC </w:instrText>
      </w:r>
      <w:r>
        <w:rPr/>
        <w:fldChar w:fldCharType="separate"/>
      </w:r>
      <w:r>
        <w:rPr/>
        <w:t>39</w:t>
      </w:r>
      <w:r>
        <w:rPr/>
        <w:fldChar w:fldCharType="end"/>
      </w:r>
      <w:bookmarkEnd w:id="76"/>
      <w:r>
        <w:rPr/>
        <w:t xml:space="preserve"> — Contratos complementares de contato, suporte e atualizações.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Operação ou objeto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Restrições na borda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PATCH contato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emailContato opcional; telefone opcional.</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 válido até 254 caracteres ou vazio. Telefone até 20 caracteres, com 10 ou 11 dígitos quando preenchido.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POST suporte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assunto e mensagem obrigatórios.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com trim; assunto de 1 a 100 e mensagem de 1 a 2000 caracteres.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PATCH carteira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campos de negócio obrigatórios.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Identidade do token e perfil completo; grava exclusivamente a marca JA_TENHO.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PATCH curso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status obrigatório; certificadoUrl e avaliacao opcionais.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Certificado até 1000 caracteres; notas inteiras de 1 a 5; comentário até 500. Restrição final depende da transição.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PATCH vaga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status obrigatório.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 dos cinco estados previstos; a máquina de estados restringe o destino conforme a origem.</w:t>
            </w:r>
          </w:p>
        </w:tc>
      </w:tr>
    </w:tbl>
    <w:p>
      <w:pPr>
        <w:pStyle w:val="Normal"/>
        <w:spacing w:lineRule="auto" w:line="240" w:before="0" w:after="20"/>
        <w:rPr/>
      </w:pPr>
      <w:r>
        <w:rPr/>
      </w:r>
    </w:p>
    <w:p>
      <w:pPr>
        <w:pStyle w:val="Normal"/>
        <w:rPr/>
      </w:pPr>
      <w:r>
        <w:rPr/>
        <w:t>A atualização de contato exige pelo menos um valor útil e não altera o e-mail de autenticação do Firebase Auth. O servidor normaliza o e-mail para minúsculas, remove não dígitos do telefone e grava hashes no documento principal. Depois de confirmar a atualização no documento principal, inicia o envio assíncrono dos dados cifrados ao Cofre como atualização de lead. Valores vazios não representam comando de exclusão, e o endpoint não devolve os dados originais. Uma gravação primária bem-sucedida pode coexistir com falha secundária no Cofre, registrada de modo não bloqueante.</w:t>
      </w:r>
    </w:p>
    <w:p>
      <w:pPr>
        <w:pStyle w:val="Normal"/>
        <w:rPr/>
      </w:pPr>
      <w:r>
        <w:rPr/>
        <w:t>O suporte remove tags de assunto e mensagem por sanitize-html e neutraliza prefixos de fórmulas antes de criar o documento em suporte_tickets. O registro contém uid, e-mail cifrado quando disponível, texto tratado, status ABERTO e createdAt. A resposta confirma a abertura, mas não inclui número de protocolo nem prazo de atendimento. Não há, neste roteador do usuário, endpoint de acompanhamento ou encerramento do ticket. Esses pontos delimitam o contrato existente; não constituem promessa de funcionalidades administrativas não fornecidas.</w:t>
      </w:r>
    </w:p>
    <w:p>
      <w:pPr>
        <w:pStyle w:val="Normal"/>
        <w:rPr/>
      </w:pPr>
      <w:r>
        <w:rPr/>
        <w:t>A integração e-MEC consulta uma base institucional já carregada no Firestore, e não faz uma consulta HTTP em tempo real ao portal do Ministério da Educação a cada seleção. ensureMecDataLoaded agrega os documentos parte* de catalogoIes e constrói um índice por código de IES. As respostas deduplicam instituições, campi e cursos por seus códigos e ordenam os nomes com localeCompare. O retorno contém apenas código e nome necessários ao preenchimento. O perfil recebe os nomes selecionados, não uma vinculação autenticada pelo e-MEC que comprove matrícula acadêmica.</w:t>
      </w:r>
    </w:p>
    <w:p>
      <w:pPr>
        <w:pStyle w:val="Caption"/>
        <w:keepNext w:val="true"/>
        <w:rPr/>
      </w:pPr>
      <w:r>
        <w:rPr/>
        <w:t xml:space="preserve">Tabela </w:t>
      </w:r>
      <w:bookmarkStart w:id="77" w:name="tbl40"/>
      <w:r>
        <w:rPr/>
        <w:fldChar w:fldCharType="begin"/>
      </w:r>
      <w:r>
        <w:rPr/>
        <w:instrText xml:space="preserve"> SEQ Tabela \* ARABIC </w:instrText>
      </w:r>
      <w:r>
        <w:rPr/>
        <w:fldChar w:fldCharType="separate"/>
      </w:r>
      <w:r>
        <w:rPr/>
        <w:t>40</w:t>
      </w:r>
      <w:r>
        <w:rPr/>
        <w:fldChar w:fldCharType="end"/>
      </w:r>
      <w:bookmarkEnd w:id="77"/>
      <w:r>
        <w:rPr/>
        <w:t xml:space="preserve"> — Parâmetros e resultados das consultas e-MEC.</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Consulta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Validação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Composição do resultado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IES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parâmetros adicionais.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codIes e nomeIes presentes; deduplicação por codIes e ordenação por nomeIes.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Campus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codIes com apenas dígitos, máximo de 10 caracteres.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codLocal válido; nomeLocal ou alternativa Campus seguida do código. Deduplicação e ordenação por nomeLocal.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Cursos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codIes e codLocal numéricos, até 10 caracteres; filtroGrau opcional, até 50.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Filtra campus e, quando informado, compara grauAcademico por igualdade textual. Deduplica codCurso e ordena nomeCurso.</w:t>
            </w:r>
          </w:p>
        </w:tc>
      </w:tr>
    </w:tbl>
    <w:p>
      <w:pPr>
        <w:pStyle w:val="Normal"/>
        <w:spacing w:lineRule="auto" w:line="240" w:before="0" w:after="20"/>
        <w:rPr/>
      </w:pPr>
      <w:r>
        <w:rPr/>
      </w:r>
    </w:p>
    <w:p>
      <w:pPr>
        <w:pStyle w:val="Normal"/>
        <w:rPr/>
      </w:pPr>
      <w:r>
        <w:rPr/>
        <w:t>O store de e-MEC mantém contadores monotônicos separados para IES, campus e curso. Uma resposta atrasada só pode alterar a lista e o indicador de carregamento se ainda corresponder à requisição mais recente daquela categoria. Ao limpar campus ou cursos, o contador é incrementado imediatamente, invalidando respostas pendentes. Esse controle evita que uma seleção anterior sobrescreva a atual, sem cancelar necessariamente a requisição de rede. Falhas limpam a lista pertinente; lista vazia e indisponibilidade precisam ser interpretadas junto ao estado e à orientação de cadastro manual disponível na interface.</w:t>
      </w:r>
    </w:p>
    <w:p>
      <w:pPr>
        <w:pStyle w:val="Source"/>
        <w:rPr/>
      </w:pPr>
      <w:r>
        <w:rPr/>
        <w:t>Fonte: server/routes/usuarios.ts e mec.ts; server/controllers/usuariosSuporteController.ts; server/services/cache.ts, loadMecData e getMecByIes; src/store/useMecStore.ts; src/pages/CompleteProfilePage.tsx. Revisão 52c5224, examinada em 16/10/2026.</w:t>
      </w:r>
    </w:p>
    <w:p>
      <w:pPr>
        <w:pStyle w:val="Heading2"/>
        <w:rPr/>
      </w:pPr>
      <w:bookmarkStart w:id="78" w:name="__RefHeading___Toc8774_608013930"/>
      <w:bookmarkEnd w:id="78"/>
      <w:r>
        <w:rPr/>
        <w:t>Integração cliente, repetição e limites do processamento</w:t>
      </w:r>
    </w:p>
    <w:p>
      <w:pPr>
        <w:pStyle w:val="Normal"/>
        <w:rPr/>
      </w:pPr>
      <w:r>
        <w:rPr/>
        <w:t>As funções de /src/api recebem a instância de Auth por fábrica e obtêm getIdToken antes das operações privadas. index.ts reúne essas fábricas para os consumidores. Leituras públicas e algumas consultas usam fetch diretamente nos stores. A persistência das jornadas é sempre solicitada ao servidor; atualizações Zustand descrevem o estado da interface e não substituem a autorização nem o commit remoto. O retorno check-profile repovoa os históricos no início da sessão, evitando listeners Firestore dispersos para essa finalidade.</w:t>
      </w:r>
    </w:p>
    <w:p>
      <w:pPr>
        <w:pStyle w:val="Normal"/>
        <w:rPr/>
      </w:pPr>
      <w:r>
        <w:rPr/>
        <w:t>useAuthStore mantém uma época de sessão e um uid ativo para reconhecer respostas assíncronas originadas antes do logout ou da troca de conta. O logout invalida a época, limpa as jornadas, remove marcadores locais de retorno e redefine a navegação. Os fluxos de curso, vaga e certificado consultam a fotografia da sessão antes de aplicar resultados tardios. Uma resposta recusada na verificação inicial de perfil encerra o estado autenticado da interface e tenta finalizar a sessão Firebase. Essa é uma política de consistência do cliente, distinta da verificação de token realizada em toda operação privada do backend.</w:t>
      </w:r>
    </w:p>
    <w:p>
      <w:pPr>
        <w:pStyle w:val="Normal"/>
        <w:rPr/>
      </w:pPr>
      <w:r>
        <w:rPr/>
        <w:t>Nos comandos comuns de status, a interface antecipa a mudança e restaura o estado anterior se o PATCH falhar na mesma sessão. Na confirmação de retorno do parceiro, o cliente também pode retornar ao estado preliminar em caso de erro. A recuperação de certificado preserva o caminho de um upload já confirmado, evitando reenviar o mesmo arquivo por uma falha posterior de vínculo. Nem todas as fábricas propagam a mensagem específica do servidor: criação de jornadas e operações de vagas e contato possuem mensagens genéricas, enquanto perfil, certificado, suporte e alteração de curso aproveitam error quando disponível. A experiência apresentada deve ser lida conforme cada consumidor.</w:t>
      </w:r>
    </w:p>
    <w:p>
      <w:pPr>
        <w:pStyle w:val="Normal"/>
        <w:rPr/>
      </w:pPr>
      <w:r>
        <w:rPr/>
        <w:t>O processamento implementado combina validação sintática, autorização por identidade, perfil completo, estado de negócio e transações localizadas. Isso não transforma as operações em uma transação distribuída entre Firebase Auth, Firestore, Storage e Cofre. A autenticidade do certificado depende de análise administrativa; uploads órfãos exigem governança própria; o cache é por processo; e os contadores públicos são agregados, sujeitos ao ciclo de atualização das instâncias. Esses limites permitem operar e manter o sistema com entendimento preciso do que cada confirmação HTTP efetivamente comprova.</w:t>
      </w:r>
    </w:p>
    <w:p>
      <w:pPr>
        <w:pStyle w:val="Source"/>
        <w:rPr/>
      </w:pPr>
      <w:r>
        <w:rPr/>
        <w:t>Fonte: src/api/.ts; src/store/useAuthStore.ts, useJornadaCursosStore.ts e useJornadaVagasStore.ts; src/hooks/useCursosPreMatricula.ts e useVagasInteresse.ts; src/pages/JornadaCursosInicio.tsx; server/controllers/.ts. Revisão 52c5224, examinada em 16/10/2026.</w:t>
      </w:r>
    </w:p>
    <w:p>
      <w:pPr>
        <w:pStyle w:val="Heading1"/>
        <w:rPr/>
      </w:pPr>
      <w:bookmarkStart w:id="79" w:name="__RefHeading___Toc8776_608013930"/>
      <w:bookmarkEnd w:id="79"/>
      <w:r>
        <w:rPr/>
        <w:t>Serviços, dados, persistência e criptografia</w:t>
      </w:r>
    </w:p>
    <w:p>
      <w:pPr>
        <w:pStyle w:val="Heading2"/>
        <w:rPr/>
      </w:pPr>
      <w:bookmarkStart w:id="80" w:name="__RefHeading___Toc8778_608013930"/>
      <w:bookmarkEnd w:id="80"/>
      <w:r>
        <w:rPr/>
        <w:t>Configuração dos serviços e seleção das bases</w:t>
      </w:r>
    </w:p>
    <w:p>
      <w:pPr>
        <w:pStyle w:val="Normal"/>
        <w:rPr/>
      </w:pPr>
      <w:r>
        <w:rPr/>
        <w:t>A persistência do CRA-SP Educa separa identidade, estado operacional e captação de leads. O Firebase Authentication autentica as pessoas; o Firestore principal concentra perfil e jornadas; o Cloud Storage recebe certificados; e um segundo projeto Firebase, denominado Cofre, recebe registros cadastrais destinados ao processo de negócios. A comunicação com os bancos e o bucket é executada no servidor. No navegador, a inicialização Firebase importa Authentication e os provedores Google e Microsoft, sem criar cliente Firestore ou Storage para acesso direto a esses dados.</w:t>
      </w:r>
    </w:p>
    <w:p>
      <w:pPr>
        <w:pStyle w:val="Normal"/>
        <w:rPr/>
      </w:pPr>
      <w:r>
        <w:rPr/>
        <w:t>O servidor carrega dotenv e verifica a presença de HMAC_PEPPER_KEY e de VAULT_ENCRYPTION_KEY com 64 caracteres antes de atender requisições. A credencial principal provém inicialmente de FIREBASE_ADMIN_CREDENTIALS. Se existir /secrets/firebase-credentials.json, o conteúdo desse volume tem precedência. O JSON é interpretado, sequências literais de quebra de linha da chave privada são normalizadas e a aplicação Admin padrão é inicializada com cert(serviceAccount). O bucket padrão é definido por VITE_FIREBASE_STORAGE_BUCKET; o nome da variável não transforma a credencial Admin em configuração pública.</w:t>
      </w:r>
    </w:p>
    <w:p>
      <w:pPr>
        <w:pStyle w:val="Normal"/>
        <w:rPr/>
      </w:pPr>
      <w:r>
        <w:rPr/>
        <w:t>A credencial FIREBASE_COFRE_CREDENTIALS inicializa uma aplicação Admin nomeada vaultProject. O projeto usado por cada banco é determinado pela respectiva conta de serviço: getFirestore() seleciona a aplicação padrão, enquanto getFirestore(vaultApp) seleciona o Cofre. O código não seleciona explicitamente um banco Firestore nomeado. Falha da credencial principal encerra a inicialização; ausência ou falha da configuração do Cofre é registrada e permite continuidade do serviço principal. A correta configuração dos segredos em produção foi informada pelo responsável; os valores e as permissões efetivas das contas não foram inspecionados para esta documentação.</w:t>
      </w:r>
    </w:p>
    <w:p>
      <w:pPr>
        <w:pStyle w:val="Caption"/>
        <w:keepNext w:val="true"/>
        <w:rPr/>
      </w:pPr>
      <w:r>
        <w:rPr/>
        <w:t xml:space="preserve">Tabela </w:t>
      </w:r>
      <w:bookmarkStart w:id="81" w:name="tbl41"/>
      <w:r>
        <w:rPr/>
        <w:fldChar w:fldCharType="begin"/>
      </w:r>
      <w:r>
        <w:rPr/>
        <w:instrText xml:space="preserve"> SEQ Tabela \* ARABIC </w:instrText>
      </w:r>
      <w:r>
        <w:rPr/>
        <w:fldChar w:fldCharType="separate"/>
      </w:r>
      <w:r>
        <w:rPr/>
        <w:t>41</w:t>
      </w:r>
      <w:r>
        <w:rPr/>
        <w:fldChar w:fldCharType="end"/>
      </w:r>
      <w:bookmarkEnd w:id="81"/>
      <w:r>
        <w:rPr/>
        <w:t xml:space="preserve"> — Serviços e fronteiras de acesso aos dados.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Serviço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Identidade e seleção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Responsabilidade</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Fronteira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 Authentication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Projeto configurado em src/lib/firebase.ts e aplicação Admin padrão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Identidade, provedores e emissão/verificação de ID tokens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UID verificado no servidor determina o documento da pessoa.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Firestore principal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getFirestore() da aplicação Admin padrão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Perfil, jornadas, índice de CPF, suporte e catálogos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 API aplica validação e regras de negócio antes da escrita.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Firestore do Cofre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Aplicação Admin vaultProject</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Eventos de cadastro e atualização de contato</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Projeto separado; não participa da transação do banco principal.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Cloud Storage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getStorage().bucket() e bucket configurado no Admin</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Objetos de certificado e respectivos metadados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Upload realizado no servidor com caminho gerado por ele.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 no navegador</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Configuração VITE_FIREBASE_*; getAuth(app)</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de autenticação e obtenção de token</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As fábricas de API recebem Auth e fazem fetch para a API Express.</w:t>
            </w:r>
          </w:p>
        </w:tc>
      </w:tr>
    </w:tbl>
    <w:p>
      <w:pPr>
        <w:pStyle w:val="Normal"/>
        <w:spacing w:lineRule="auto" w:line="240" w:before="0" w:after="20"/>
        <w:rPr/>
      </w:pPr>
      <w:r>
        <w:rPr/>
      </w:r>
    </w:p>
    <w:p>
      <w:pPr>
        <w:pStyle w:val="Normal"/>
        <w:rPr/>
      </w:pPr>
      <w:r>
        <w:rPr/>
        <w:t>As regras versionadas de Firestore e Storage recusam todas as leituras e escritas pelos SDKs sujeitos às Security Rules. Isso é compatível com o navegador como cliente da API. O Admin SDK utiliza credenciais de serviço e controle de acesso do Google Cloud, não essas regras de cliente. Assim, deny-all não elimina a necessidade de autorização na API nem demonstra que uma conta Admin possui o menor conjunto possível de permissões. Regras versionadas e permissões IAM implantadas são evidências distintas.</w:t>
      </w:r>
    </w:p>
    <w:p>
      <w:pPr>
        <w:pStyle w:val="Source"/>
        <w:rPr/>
      </w:pPr>
      <w:r>
        <w:rPr/>
        <w:t>Fonte: server.ts, inicialização de Firebase Admin; src/lib/firebase.ts; src/api/index.ts e fábricas de API; data-plane-iac/firestore.rules; data-plane-iac/storage.rules; revisão 52c5224.</w:t>
      </w:r>
    </w:p>
    <w:p>
      <w:pPr>
        <w:pStyle w:val="Heading2"/>
        <w:rPr/>
      </w:pPr>
      <w:bookmarkStart w:id="82" w:name="__RefHeading___Toc8780_608013930"/>
      <w:bookmarkEnd w:id="82"/>
      <w:r>
        <w:rPr/>
        <w:t>Entidades, coleções e vínculos</w:t>
      </w:r>
    </w:p>
    <w:p>
      <w:pPr>
        <w:pStyle w:val="Normal"/>
        <w:rPr/>
      </w:pPr>
      <w:r>
        <w:rPr/>
        <w:t>O modelo principal é agregado por pessoa. O identificador de documento em usuarios é o UID do Authentication, e as jornadas de cursos e vagas são arrays embutidos nesse documento. A API não cria uma coleção independente de avaliações ou de conquistas: a avaliação integra a jornada do curso, e as conquistas derivam das jornadas concluídas. Os certificados são arquivos no bucket, referenciados pelo caminho armazenado no array. Esse desenho reduz o número de documentos necessários para hidratar o painel, mas conserva o limite de tamanho e a concorrência do documento agregado.</w:t>
      </w:r>
    </w:p>
    <w:p>
      <w:pPr>
        <w:pStyle w:val="Normal"/>
        <w:keepNext w:val="true"/>
        <w:jc w:val="center"/>
        <w:rPr/>
      </w:pPr>
      <w:r>
        <w:rPr/>
        <w:drawing>
          <wp:inline distT="0" distB="0" distL="0" distR="0">
            <wp:extent cx="4636770" cy="5760085"/>
            <wp:effectExtent l="0" t="0" r="0" b="0"/>
            <wp:docPr id="6" name="Picture 6" descr="UID vincula perfil e jornadas no Firestore principal, índice de CPF e certificados no Storage. Catálogos particionados e Cofre pertencem a fronteiras de persistência distintas."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ID vincula perfil e jornadas no Firestore principal, índice de CPF e certificados no Storage. Catálogos particionados e Cofre pertencem a fronteiras de persistência distintas." title="Figura 4"/>
                    <pic:cNvPicPr>
                      <a:picLocks noChangeAspect="1" noChangeArrowheads="1"/>
                    </pic:cNvPicPr>
                  </pic:nvPicPr>
                  <pic:blipFill>
                    <a:blip r:embed="rId11"/>
                    <a:stretch>
                      <a:fillRect/>
                    </a:stretch>
                  </pic:blipFill>
                  <pic:spPr bwMode="auto">
                    <a:xfrm>
                      <a:off x="0" y="0"/>
                      <a:ext cx="4636770" cy="5760085"/>
                    </a:xfrm>
                    <a:prstGeom prst="rect">
                      <a:avLst/>
                    </a:prstGeom>
                    <a:noFill/>
                  </pic:spPr>
                </pic:pic>
              </a:graphicData>
            </a:graphic>
          </wp:inline>
        </w:drawing>
      </w:r>
    </w:p>
    <w:p>
      <w:pPr>
        <w:pStyle w:val="Caption"/>
        <w:rPr/>
      </w:pPr>
      <w:r>
        <w:rPr/>
        <w:t xml:space="preserve">Figura </w:t>
      </w:r>
      <w:bookmarkStart w:id="83" w:name="fig4"/>
      <w:r>
        <w:rPr/>
        <w:fldChar w:fldCharType="begin"/>
      </w:r>
      <w:r>
        <w:rPr/>
        <w:instrText xml:space="preserve"> SEQ Figura \* ARABIC </w:instrText>
      </w:r>
      <w:r>
        <w:rPr/>
        <w:fldChar w:fldCharType="separate"/>
      </w:r>
      <w:r>
        <w:rPr/>
        <w:t>4</w:t>
      </w:r>
      <w:r>
        <w:rPr/>
        <w:fldChar w:fldCharType="end"/>
      </w:r>
      <w:bookmarkEnd w:id="83"/>
      <w:r>
        <w:rPr/>
        <w:t xml:space="preserve"> — Vínculos de dados e fronteiras de persistência do CRA-SP Educa.</w:t>
      </w:r>
    </w:p>
    <w:p>
      <w:pPr>
        <w:pStyle w:val="Source"/>
        <w:rPr/>
      </w:pPr>
      <w:r>
        <w:rPr/>
        <w:t>Descrição: UID vincula perfil e jornadas no Firestore principal, índice de CPF e certificados no Storage. Catálogos particionados e Cofre pertencem a fronteiras de persistência distintas.</w:t>
      </w:r>
    </w:p>
    <w:p>
      <w:pPr>
        <w:pStyle w:val="Source"/>
        <w:rPr/>
      </w:pPr>
      <w:r>
        <w:rPr/>
        <w:t>Fonte: server/controllers; server/services/vault.ts; server/routes/certificados.ts; revisão 52c5224.</w:t>
      </w:r>
    </w:p>
    <w:p>
      <w:pPr>
        <w:pStyle w:val="Caption"/>
        <w:keepNext w:val="true"/>
        <w:rPr/>
      </w:pPr>
      <w:r>
        <w:rPr/>
        <w:t xml:space="preserve">Tabela </w:t>
      </w:r>
      <w:bookmarkStart w:id="84" w:name="tbl42"/>
      <w:r>
        <w:rPr/>
        <w:fldChar w:fldCharType="begin"/>
      </w:r>
      <w:r>
        <w:rPr/>
        <w:instrText xml:space="preserve"> SEQ Tabela \* ARABIC </w:instrText>
      </w:r>
      <w:r>
        <w:rPr/>
        <w:fldChar w:fldCharType="separate"/>
      </w:r>
      <w:r>
        <w:rPr/>
        <w:t>42</w:t>
      </w:r>
      <w:r>
        <w:rPr/>
        <w:fldChar w:fldCharType="end"/>
      </w:r>
      <w:bookmarkEnd w:id="84"/>
      <w:r>
        <w:rPr/>
        <w:t xml:space="preserve"> — Inventário dos agrupamentos persistidos ou consultados.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Local</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Estrutura</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Conteúdo</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 da operação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usuarios/{uid} — principal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agregado por UID</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hashes, jornadaCursos, jornadaVagas e statusCarteira</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Controladores de usuários e jornadas.</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cpfs_indexados/{globalCpfHash}</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 de unicidade</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uid e createdAt</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Transação do cadastro inicial.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suporte_tickets/{id automático}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por ticket</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Solicitante, assunto, mensagem, e-mail cifrado e situação</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Abertura de suporte.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paginaPublica/parte1</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View materializada</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Vitrines, instituições, perguntas, imagens e metadados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Consulta em cache; contadores atualizados transacionalmente.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catalogoCursos/parteN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Documentos com array cursos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Catálogo completo de cursos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Carga administrativa externa; leitura pelo backend.</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catalogoVagas/parteN</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Documentos com array vagas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completo de vagas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 administrativa externa; leitura pelo backend.</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catalogoIes/parteN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Documentos com array ies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Registros relacionados de IES, campus e cursos e-MEC</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Carga administrativa externa; leitura pelo backend.</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usuarios/parteN — Cofre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Documentos com array registros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Eventos de leads, distintos dos documentos usuarios do principal</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Serviço saveToVault.</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usuarios/_controle — Cofre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de controle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Parte corrente, estimativa de bytes e total de registros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Transação ou batch do serviço do Cofre.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certificados/{uid}/{arquivo}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 no bucket</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Bytes de PDF, PNG ou JPEG e metadados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Rota de upload de certificados.</w:t>
            </w:r>
          </w:p>
        </w:tc>
      </w:tr>
    </w:tbl>
    <w:p>
      <w:pPr>
        <w:pStyle w:val="Normal"/>
        <w:spacing w:lineRule="auto" w:line="240" w:before="0" w:after="20"/>
        <w:rPr/>
      </w:pPr>
      <w:r>
        <w:rPr/>
      </w:r>
    </w:p>
    <w:p>
      <w:pPr>
        <w:pStyle w:val="Source"/>
        <w:rPr/>
      </w:pPr>
      <w:r>
        <w:rPr/>
        <w:t>Fonte: server/controllers/usuariosController.ts; server/controllers/usuariosSuporteController.ts; server/controllers/jornadaCursosController.ts; server/controllers/jornadaVagasController.ts; server/services/cache.ts; server/services/vault.ts; server/routes/certificados.ts; revisão 52c5224.</w:t>
      </w:r>
    </w:p>
    <w:p>
      <w:pPr>
        <w:pStyle w:val="Heading3"/>
        <w:rPr/>
      </w:pPr>
      <w:r>
        <w:rPr/>
        <w:t>Perfil e identidade de negócio</w:t>
      </w:r>
    </w:p>
    <w:p>
      <w:pPr>
        <w:pStyle w:val="Normal"/>
        <w:rPr/>
      </w:pPr>
      <w:r>
        <w:rPr/>
        <w:t>O cadastro inicial aceita dados validados na borda e grava um perfil imutável pela operação de cadastro: se o documento já tem cpfHash, uma nova gravação inicial é recusada. O servidor usa o e-mail do token verificado para derivar emailHash, sem aceitar a substituição desse e-mail por um campo livre do payload. Os dados de formação são condicionais: área de atuação para os perfis de outra área; instituição, campus, curso e semestre para estudante de Administração. Ao montar o registro, o controlador zera campos que não correspondem à formação selecionada.</w:t>
      </w:r>
    </w:p>
    <w:p>
      <w:pPr>
        <w:pStyle w:val="Caption"/>
        <w:keepNext w:val="true"/>
        <w:rPr/>
      </w:pPr>
      <w:r>
        <w:rPr/>
        <w:t xml:space="preserve">Tabela </w:t>
      </w:r>
      <w:bookmarkStart w:id="85" w:name="tbl43"/>
      <w:r>
        <w:rPr/>
        <w:fldChar w:fldCharType="begin"/>
      </w:r>
      <w:r>
        <w:rPr/>
        <w:instrText xml:space="preserve"> SEQ Tabela \* ARABIC </w:instrText>
      </w:r>
      <w:r>
        <w:rPr/>
        <w:fldChar w:fldCharType="separate"/>
      </w:r>
      <w:r>
        <w:rPr/>
        <w:t>43</w:t>
      </w:r>
      <w:r>
        <w:rPr/>
        <w:fldChar w:fldCharType="end"/>
      </w:r>
      <w:bookmarkEnd w:id="85"/>
      <w:r>
        <w:rPr/>
        <w:t xml:space="preserve"> — Dicionário do perfil no banco principal.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 persistido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Finalidade e condição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 do token verificado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Identificador da pessoa e redundância do ID do documento.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 uf</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Formulário validado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Identificação nominal e unidade federativa; permanecem legíveis.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registroCRA; comoSoube</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Opções do formulário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Declaração de registro e origem de conhecimento da iniciativa.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formacao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Opção do formulário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Define quais campos complementares são pertinentes.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areaAtuacao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Formulário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Somente para Profissional de outra área ou Estudante de outra área.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semestre</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Formulário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Somente para estudante de Administração; opções conforme a formação.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ies; campus; curso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Nomes selecionados ou cadastro manual</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Dados acadêmicos; tratamento de marcas HTML e prefixos de fórmula.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cadastroManualIes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boolean</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Formulário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Indica a alternativa manual; false fora do perfil estudantil pertinente.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lgpdAceite</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boolean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Campo lgpd validado como true</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Registra o aceite realizado no cadastro inicial.</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cpfHash; celularHash</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hexadecimal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PBKDF2-SHA256 no backend</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Representações derivadas de CPF e celular, sem os originais em texto limpo.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emailHash</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hexadecimal ou null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 do token; PBKDF2-SHA256</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Derivação do e-mail de autenticação no momento do cadastro.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globalCpfHash</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hexadecimal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HMAC-SHA256 do CPF normalizado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Chave global estável para detectar cadastro duplicado.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profileComplete</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boolean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inicial</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Gravado como true; a autorização reavalia os campos essenciais.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updatedAt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Timestamp Firestore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FieldValue.serverTimestamp()</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Data de atualização do perfil ou contato no servidor.</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emailContatoHash</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hexadecimal, quando informado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Atualização de contato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Hash do e-mail de contato; não altera o e-mail do Authentication.</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statusCarteira</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quando informado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Atualização de carteira</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Operação disponível grava JA_TENHO.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jornadaCursos; jornadaVagas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arrays de objetos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Operações de jornada</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Históricos embutidos descritos nas tabelas seguintes.</w:t>
            </w:r>
          </w:p>
        </w:tc>
      </w:tr>
    </w:tbl>
    <w:p>
      <w:pPr>
        <w:pStyle w:val="Normal"/>
        <w:spacing w:lineRule="auto" w:line="240" w:before="0" w:after="20"/>
        <w:rPr/>
      </w:pPr>
      <w:r>
        <w:rPr/>
      </w:r>
    </w:p>
    <w:p>
      <w:pPr>
        <w:pStyle w:val="Normal"/>
        <w:rPr/>
      </w:pPr>
      <w:r>
        <w:rPr/>
        <w:t>O critério isUserProfileComplete exige nome, cpfHash e uf preenchidos e lgpdAceite diferente de false. A aceitação de campo ausente preserva cadastros legados; não deve ser interpretada como prova de aceite explícito nesses registros históricos. A leitura check-profile devolve somente a seleção necessária à interface, sem CPF, celular ou seus hashes. Ela também hidrata os dois stores de jornadas numa única resposta. O campo emailContato é lido nessa seleção para compatibilidade, mas a atualização atual grava emailContatoHash; o código não reconstrói o e-mail legível a partir desse hash.</w:t>
      </w:r>
    </w:p>
    <w:p>
      <w:pPr>
        <w:pStyle w:val="Caption"/>
        <w:keepNext w:val="true"/>
        <w:rPr/>
      </w:pPr>
      <w:r>
        <w:rPr/>
        <w:t xml:space="preserve">Tabela </w:t>
      </w:r>
      <w:bookmarkStart w:id="86" w:name="tbl44"/>
      <w:r>
        <w:rPr/>
        <w:fldChar w:fldCharType="begin"/>
      </w:r>
      <w:r>
        <w:rPr/>
        <w:instrText xml:space="preserve"> SEQ Tabela \* ARABIC </w:instrText>
      </w:r>
      <w:r>
        <w:rPr/>
        <w:fldChar w:fldCharType="separate"/>
      </w:r>
      <w:r>
        <w:rPr/>
        <w:t>44</w:t>
      </w:r>
      <w:r>
        <w:rPr/>
        <w:fldChar w:fldCharType="end"/>
      </w:r>
      <w:bookmarkEnd w:id="86"/>
      <w:r>
        <w:rPr/>
        <w:t xml:space="preserve"> — Índice de unicidade de CPF.</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Elemento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globalCpfHash</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hexadecimal</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HMAC do CPF normalizado e pepper do servidor</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Localiza diretamente um CPF já cadastrado sem consulta por CPF legível.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uid</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Token verificado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Associa o CPF indexado à pessoa do perfil.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createdAt</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Timestamp Firestore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Relógio do servidor Firestore</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Marca a criação do índice na mesma transação do perfil.</w:t>
            </w:r>
          </w:p>
        </w:tc>
      </w:tr>
    </w:tbl>
    <w:p>
      <w:pPr>
        <w:pStyle w:val="Normal"/>
        <w:spacing w:lineRule="auto" w:line="240" w:before="0" w:after="20"/>
        <w:rPr/>
      </w:pPr>
      <w:r>
        <w:rPr/>
      </w:r>
    </w:p>
    <w:p>
      <w:pPr>
        <w:pStyle w:val="Normal"/>
        <w:rPr/>
      </w:pPr>
      <w:r>
        <w:rPr/>
        <w:t>Não há rotina versionada de reconstrução desse índice ou de migração dos documentos anteriores. A ausência de tais rotinas no repositório não demonstra inconsistência dos dados implantados; delimita o que pode ser explicado com base no código. Uma futura recuperação ou migração precisará preservar a correspondência entre CPF derivado, UID e perfil, sem substituir o índice por um hash público simples.</w:t>
      </w:r>
    </w:p>
    <w:p>
      <w:pPr>
        <w:pStyle w:val="Source"/>
        <w:rPr/>
      </w:pPr>
      <w:r>
        <w:rPr/>
        <w:t>Fonte: server/controllers/usuariosController.ts, atualizarPerfil e checarPerfil; server/controllers/usuariosSuporteController.ts, atualizarContato; server/utils/sanitizers.ts, isUserProfileComplete; server/routes/usuarios.ts; src/types/schemas.ts; src/store/useAuthStore.ts; revisão 52c5224.</w:t>
      </w:r>
    </w:p>
    <w:p>
      <w:pPr>
        <w:pStyle w:val="Heading3"/>
        <w:rPr/>
      </w:pPr>
      <w:r>
        <w:rPr/>
        <w:t>Jornadas de cursos, avaliações e certificados</w:t>
      </w:r>
    </w:p>
    <w:p>
      <w:pPr>
        <w:pStyle w:val="Normal"/>
        <w:rPr/>
      </w:pPr>
      <w:r>
        <w:rPr/>
        <w:t>Cada inscrição mantém um snapshot reduzido do curso, produzido com os dados do catálogo oficial no servidor. O payload opcional de snapshot do cliente não é a fonte autoritativa da persistência. A busca considera o catálogo completo e, como alternativa, a vitrine pública. Ao reativar uma jornada desistida, o mesmo elemento é reutilizado e seu snapshot é atualizado, evitando a criação de uma segunda jornada para o mesmo curso.</w:t>
      </w:r>
    </w:p>
    <w:p>
      <w:pPr>
        <w:pStyle w:val="Caption"/>
        <w:keepNext w:val="true"/>
        <w:rPr/>
      </w:pPr>
      <w:r>
        <w:rPr/>
        <w:t xml:space="preserve">Tabela </w:t>
      </w:r>
      <w:bookmarkStart w:id="87" w:name="tbl45"/>
      <w:r>
        <w:rPr/>
        <w:fldChar w:fldCharType="begin"/>
      </w:r>
      <w:r>
        <w:rPr/>
        <w:instrText xml:space="preserve"> SEQ Tabela \* ARABIC </w:instrText>
      </w:r>
      <w:r>
        <w:rPr/>
        <w:fldChar w:fldCharType="separate"/>
      </w:r>
      <w:r>
        <w:rPr/>
        <w:t>45</w:t>
      </w:r>
      <w:r>
        <w:rPr/>
        <w:fldChar w:fldCharType="end"/>
      </w:r>
      <w:bookmarkEnd w:id="87"/>
      <w:r>
        <w:rPr/>
        <w:t xml:space="preserve"> — Dicionário de jornadaCursos[].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cursoId</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do curso oficial</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estável da jornada dentro do documento da pessoa.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cursoSnapshot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Recorte do catálogo no backend</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Preserva conteúdo suficiente para exibir o histórico.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status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enumerada</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Máquina de estados do controlador</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PRE_MATRICULADO, MATRICULADO, AGUARDANDO_CERTIFICADO, EM_ANALISE, CONCLUIDO ou DESISTIU.</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createdAt; updatedAt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ISO 8601</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Relógio do servidor Node.js</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Criação e última mudança da jornada.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matriculadoAt</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Primeira transição para MATRICULADO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Conserva a primeira matrícula e protege a contagem contra repetição.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certificadoEnviadoAt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Entrada em EM_ANALISE</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Marca o envio da jornada para verificação.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desistiuAt</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Transição para DESISTIU</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Registra a desistência declarada.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concluidoAt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Ramo existente no controlador</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 endpoint do usuário não autoriza a transição para CONCLUIDO.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certificadoUrl</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de caminho no bucket</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Upload e vínculo confirmado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Apesar do nome, não é URL pública nem signed URL.</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avaliacao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 opcional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Avaliação válida ou já registrada</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Três notas e comentário, conforme tabela específica.</w:t>
            </w:r>
          </w:p>
        </w:tc>
      </w:tr>
    </w:tbl>
    <w:p>
      <w:pPr>
        <w:pStyle w:val="Normal"/>
        <w:spacing w:lineRule="auto" w:line="240" w:before="0" w:after="20"/>
        <w:rPr/>
      </w:pPr>
      <w:r>
        <w:rPr/>
      </w:r>
    </w:p>
    <w:p>
      <w:pPr>
        <w:pStyle w:val="Caption"/>
        <w:keepNext w:val="true"/>
        <w:rPr/>
      </w:pPr>
      <w:r>
        <w:rPr/>
        <w:t xml:space="preserve">Tabela </w:t>
      </w:r>
      <w:bookmarkStart w:id="88" w:name="tbl46"/>
      <w:r>
        <w:rPr/>
        <w:fldChar w:fldCharType="begin"/>
      </w:r>
      <w:r>
        <w:rPr/>
        <w:instrText xml:space="preserve"> SEQ Tabela \* ARABIC </w:instrText>
      </w:r>
      <w:r>
        <w:rPr/>
        <w:fldChar w:fldCharType="separate"/>
      </w:r>
      <w:r>
        <w:rPr/>
        <w:t>46</w:t>
      </w:r>
      <w:r>
        <w:rPr/>
        <w:fldChar w:fldCharType="end"/>
      </w:r>
      <w:bookmarkEnd w:id="88"/>
      <w:r>
        <w:rPr/>
        <w:t xml:space="preserve"> — Campos do snapshot seguro do curso.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 aplicada</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Utilização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titulo; tituloEditado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titulo, com alternativa tituloEditado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Os dois recebem o título resolvido pelo controlador.</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cargaHoraria</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cargaHoraria ou vazio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Apresentação da carga horária.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instituicaoCooperada</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Instituição do catálogo ou vazio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da ofertante.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nomeCineRotulo; area</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nomeCineRotulo, com alternativa area</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Os dois recebem a área resolvida.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Imagem oficial do catálogo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Ilustração do item no histórico.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linkDoCurso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linkDoCurso ou aliases link, url, site, linkDeInscricao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Destino externo resolvido; a interface ainda valida o protocolo antes da abertura.</w:t>
            </w:r>
          </w:p>
        </w:tc>
      </w:tr>
    </w:tbl>
    <w:p>
      <w:pPr>
        <w:pStyle w:val="Normal"/>
        <w:spacing w:lineRule="auto" w:line="240" w:before="0" w:after="20"/>
        <w:rPr/>
      </w:pPr>
      <w:r>
        <w:rPr/>
      </w:r>
    </w:p>
    <w:p>
      <w:pPr>
        <w:pStyle w:val="Normal"/>
        <w:rPr/>
      </w:pPr>
      <w:r>
        <w:rPr/>
        <w:t>Para enviar a jornada a EM_ANALISE, o resultado da operação deve conter certificado vinculado ao curso e avaliação válida nas três dimensões. O controlador pode reaproveitar certificado e avaliação já gravados. Ele impede o uso do mesmo caminho em outro curso do mesmo usuário e repete as condições de vínculo durante a transação. CONCLUIDO permanece um estado reconhecido, porém sem transição permitida pela API do aluno; a aprovação é realizada por outro sistema ou processo administrativo, conforme informado pelo responsável.</w:t>
      </w:r>
    </w:p>
    <w:p>
      <w:pPr>
        <w:pStyle w:val="Caption"/>
        <w:keepNext w:val="true"/>
        <w:rPr/>
      </w:pPr>
      <w:r>
        <w:rPr/>
        <w:t xml:space="preserve">Tabela </w:t>
      </w:r>
      <w:bookmarkStart w:id="89" w:name="tbl47"/>
      <w:r>
        <w:rPr/>
        <w:fldChar w:fldCharType="begin"/>
      </w:r>
      <w:r>
        <w:rPr/>
        <w:instrText xml:space="preserve"> SEQ Tabela \* ARABIC </w:instrText>
      </w:r>
      <w:r>
        <w:rPr/>
        <w:fldChar w:fldCharType="separate"/>
      </w:r>
      <w:r>
        <w:rPr/>
        <w:t>47</w:t>
      </w:r>
      <w:r>
        <w:rPr/>
        <w:fldChar w:fldCharType="end"/>
      </w:r>
      <w:bookmarkEnd w:id="89"/>
      <w:r>
        <w:rPr/>
        <w:t xml:space="preserve"> — Avaliação armazenada na jornada de curso.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Validação</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Persistência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notaCurso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number inteiro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Entre 1 e 5</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Obrigatória no resultado enviado a EM_ANALISE.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notaPlataforma</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number inteiro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Entre 1 e 5</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Obrigatória no resultado enviado a EM_ANALISE.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notaMaterial</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number inteiro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Entre 1 e 5</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Obrigatória no resultado enviado a EM_ANALISE.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comentario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opcional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Até 500 caracteres</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 EM_ANALISE, gravado quando preenchido, com recorte defensivo a 500 caracteres.</w:t>
            </w:r>
          </w:p>
        </w:tc>
      </w:tr>
    </w:tbl>
    <w:p>
      <w:pPr>
        <w:pStyle w:val="Normal"/>
        <w:spacing w:lineRule="auto" w:line="240" w:before="0" w:after="20"/>
        <w:rPr/>
      </w:pPr>
      <w:r>
        <w:rPr/>
      </w:r>
    </w:p>
    <w:p>
      <w:pPr>
        <w:pStyle w:val="Normal"/>
        <w:rPr/>
      </w:pPr>
      <w:r>
        <w:rPr/>
        <w:t>O armazenamento do arquivo e o vínculo da jornada são duas operações diferentes. O POST de upload salva os bytes e devolve o caminho; o PATCH posterior vincula esse caminho e muda o estado. O cliente conserva o caminho em memória para repetir apenas o PATCH quando necessário. Recarregar a página antes de confirmar o vínculo pode eliminar essa informação transitória. Não há transação conjunta entre Storage e Firestore, nem rotina de limpeza de objetos sem vínculo demonstrada no código. O processo externo de limpeza permanece não verificado; isso não comprova divulgação pública ou retenção indefinida desses objetos.</w:t>
      </w:r>
    </w:p>
    <w:p>
      <w:pPr>
        <w:pStyle w:val="Caption"/>
        <w:keepNext w:val="true"/>
        <w:rPr/>
      </w:pPr>
      <w:r>
        <w:rPr/>
        <w:t xml:space="preserve">Tabela </w:t>
      </w:r>
      <w:bookmarkStart w:id="90" w:name="tbl48"/>
      <w:r>
        <w:rPr/>
        <w:fldChar w:fldCharType="begin"/>
      </w:r>
      <w:r>
        <w:rPr/>
        <w:instrText xml:space="preserve"> SEQ Tabela \* ARABIC </w:instrText>
      </w:r>
      <w:r>
        <w:rPr/>
        <w:fldChar w:fldCharType="separate"/>
      </w:r>
      <w:r>
        <w:rPr/>
        <w:t>48</w:t>
      </w:r>
      <w:r>
        <w:rPr/>
        <w:fldChar w:fldCharType="end"/>
      </w:r>
      <w:bookmarkEnd w:id="90"/>
      <w:r>
        <w:rPr/>
        <w:t xml:space="preserve"> — Objeto de certificado no Cloud Storage.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Elemento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Formato ou valor</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Significado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Caminho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certificados/{uid}/{cursoTag}{tempo}{UUID}.{ext}</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Gerado pelo servidor</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Isola o UID e incorpora identificação do curso.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cursoTag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 primeiros caracteres hexadecimais de SHA-256(cursoId)</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Rótulo determinístico de vínculo; não é hash dos bytes do certificado.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contentType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application/pdf, image/png ou image/jpeg</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Assinatura dos bytes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Determina MIME e extensão; não depende só do MIME informado.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contentDisposition</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attachment com nome gerado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Solicita tratamento como anexo ao servir o objeto.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metadata.uploadedBy</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Token verificado</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de quem enviou o arquivo.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metadata.cursoId; metadata.cursoTag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 da jornada</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Informação adicional para verificar vínculo.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metadata.sanitizado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true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Marcador atribuído pela aplicação; não comprova antivírus ou saneamento integral.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metadata.xContentTypeOptions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nosniff</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Metadado gravado; não é prova de um cabeçalho HTTP aplicado pelo bucket.</w:t>
            </w:r>
          </w:p>
        </w:tc>
      </w:tr>
    </w:tbl>
    <w:p>
      <w:pPr>
        <w:pStyle w:val="Normal"/>
        <w:spacing w:lineRule="auto" w:line="240" w:before="0" w:after="20"/>
        <w:rPr/>
      </w:pPr>
      <w:r>
        <w:rPr/>
      </w:r>
    </w:p>
    <w:p>
      <w:pPr>
        <w:pStyle w:val="Normal"/>
        <w:rPr/>
      </w:pPr>
      <w:r>
        <w:rPr/>
        <w:t>O upload aceita PDF, PNG e JPEG, confirma suas assinaturas iniciais e limita o conteúdo decodificado a 1 MiB, com limites adicionais do JSON e da representação base64. O cliente também usa 1 MiB. Esse limite é mais restritivo que o teto de 5 MB declarado no AGENTS.md. A verificação do vínculo confirma a existência do objeto; se os metadados de curso puderem ser lidos, inconsistências são recusadas. Falha isolada da consulta de metadados é tolerada pelo código. Um certificado legado sem prefixo só pode ser reaproveitado se já estiver vinculado àquela jornada. Não existe neste recorte um fluxo do aluno para gerar URL assinada de download ou remover objetos.</w:t>
      </w:r>
    </w:p>
    <w:p>
      <w:pPr>
        <w:pStyle w:val="Source"/>
        <w:rPr/>
      </w:pPr>
      <w:r>
        <w:rPr/>
        <w:t>Fonte: server/controllers/jornadaCursosController.ts; server/routes/jornadaCursos.ts; server/routes/certificados.ts; src/api/certificados.ts; src/store/useJornadaCursosStore.ts; AGENTS.md, seções 1, 6 e 9; informação do responsável sobre aprovação administrativa; revisão 52c5224.</w:t>
      </w:r>
    </w:p>
    <w:p>
      <w:pPr>
        <w:pStyle w:val="Heading3"/>
        <w:rPr/>
      </w:pPr>
      <w:r>
        <w:rPr/>
        <w:t>Jornadas de vagas e suporte</w:t>
      </w:r>
    </w:p>
    <w:p>
      <w:pPr>
        <w:pStyle w:val="Normal"/>
        <w:rPr/>
      </w:pPr>
      <w:r>
        <w:rPr/>
        <w:t>A candidatura também é um evento declaratório. A jornada de vaga não envia currículo nem comprova inscrição junto à empresa: conserva o anúncio e a situação informada pela pessoa. O servidor resolve a vaga pelo identificador canônico id ou, quando ausente, codigoDaVaga. Itens sem identificador são descartados na normalização do catálogo no cliente. Não se usa identificador aleatório para substituir uma vaga sem chave.</w:t>
      </w:r>
    </w:p>
    <w:p>
      <w:pPr>
        <w:pStyle w:val="Caption"/>
        <w:keepNext w:val="true"/>
        <w:rPr/>
      </w:pPr>
      <w:r>
        <w:rPr/>
        <w:t xml:space="preserve">Tabela </w:t>
      </w:r>
      <w:bookmarkStart w:id="91" w:name="tbl49"/>
      <w:r>
        <w:rPr/>
        <w:fldChar w:fldCharType="begin"/>
      </w:r>
      <w:r>
        <w:rPr/>
        <w:instrText xml:space="preserve"> SEQ Tabela \* ARABIC </w:instrText>
      </w:r>
      <w:r>
        <w:rPr/>
        <w:fldChar w:fldCharType="separate"/>
      </w:r>
      <w:r>
        <w:rPr/>
        <w:t>49</w:t>
      </w:r>
      <w:r>
        <w:rPr/>
        <w:fldChar w:fldCharType="end"/>
      </w:r>
      <w:bookmarkEnd w:id="91"/>
      <w:r>
        <w:rPr/>
        <w:t xml:space="preserve"> — Jornada de vaga e seu snapshot seguro.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Finalidade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vagaId</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Identificador canônico da vaga</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Uma jornada por vaga no array jornadaVagas.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status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enumerada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Transições do controlador</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PRE_CANDIDATADO, CANDIDATADO, NAO_FOI_DESTA_VEZ, CONTRATADO ou DESISTIU.</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createdAt; updatedAt</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ISO 8601</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Criação e última mudança.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candidatadoAt; naoFoiDestaVezAt; desistiuAt</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Transições correspondentes</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Marcos declarados da candidatura.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contratadoAt</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ISO 8601, opcional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Primeira transição para CONTRATADO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Marco conservado para evitar contagem repetida.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vagaSnapshot.tituloEditado; nomeDaEmpresa; nomeDaEmpresa1</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oficial</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Título e denominações disponíveis da empresa.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vagaSnapshot.instituicaoCooperada; tipoDeVaga; cidade</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Catálogo oficial</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Contexto da oferta e localização.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vagaSnapshot.bolsaAuxilioExata; salarioExato; tipoAuxilioBolsa</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 de catálogo ou vazio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oficial</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Valores e modalidade de auxílio preservados no snapshot.</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vagaSnapshot.codigoDaVaga</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codigoDaVaga ou vagaId</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Código de identificação da oferta.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vagaSnapshot.image; imageUrl; linkDeInscricao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ou null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Catálogo oficial</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Imagens e destino de inscrição.</w:t>
            </w:r>
          </w:p>
        </w:tc>
      </w:tr>
    </w:tbl>
    <w:p>
      <w:pPr>
        <w:pStyle w:val="Normal"/>
        <w:spacing w:lineRule="auto" w:line="240" w:before="0" w:after="20"/>
        <w:rPr/>
      </w:pPr>
      <w:r>
        <w:rPr/>
      </w:r>
    </w:p>
    <w:p>
      <w:pPr>
        <w:pStyle w:val="Normal"/>
        <w:rPr/>
      </w:pPr>
      <w:r>
        <w:rPr/>
        <w:t>A abertura de suporte cria documento independente em suporte_tickets. O e-mail vem do token, é normalizado e cifrado antes da persistência. Assunto e mensagem têm marcas HTML removidas e recebem apóstrofo inicial quando começam com caracteres associados a fórmulas de planilha. Esse tratamento não torna o texto livre anônimo: o usuário ainda pode informar dados pessoais no conteúdo do chamado. O repositório disponibiliza a abertura de ticket, sem implementar um painel administrativo de resposta ou encerramento.</w:t>
      </w:r>
    </w:p>
    <w:p>
      <w:pPr>
        <w:pStyle w:val="Caption"/>
        <w:keepNext w:val="true"/>
        <w:rPr/>
      </w:pPr>
      <w:r>
        <w:rPr/>
        <w:t xml:space="preserve">Tabela </w:t>
      </w:r>
      <w:bookmarkStart w:id="92" w:name="tbl50"/>
      <w:r>
        <w:rPr/>
        <w:fldChar w:fldCharType="begin"/>
      </w:r>
      <w:r>
        <w:rPr/>
        <w:instrText xml:space="preserve"> SEQ Tabela \* ARABIC </w:instrText>
      </w:r>
      <w:r>
        <w:rPr/>
        <w:fldChar w:fldCharType="separate"/>
      </w:r>
      <w:r>
        <w:rPr/>
        <w:t>50</w:t>
      </w:r>
      <w:r>
        <w:rPr/>
        <w:fldChar w:fldCharType="end"/>
      </w:r>
      <w:bookmarkEnd w:id="92"/>
      <w:r>
        <w:rPr/>
        <w:t xml:space="preserve"> — Dicionário de suporte_tickets.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Utilização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do documento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automática</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Firestore add()</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técnica do ticket.</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uid</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Token verificado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Vínculo ao solicitante.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emailEncrypted</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cifrada ou null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E-mail do token</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Contato protegido com AES-256-GCM.</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assunto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Texto validado e sanitizado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Tema do atendimento.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mensagem</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Texto validado e sanitizado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Descrição fornecida pelo solicitante.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status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Valor inicial ABERTO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Situação de criação; gestão posterior externa ao recorte.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createdAt</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 ISO 8601</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 Node.js</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Data de abertura.</w:t>
            </w:r>
          </w:p>
        </w:tc>
      </w:tr>
    </w:tbl>
    <w:p>
      <w:pPr>
        <w:pStyle w:val="Normal"/>
        <w:spacing w:lineRule="auto" w:line="240" w:before="0" w:after="20"/>
        <w:rPr/>
      </w:pPr>
      <w:r>
        <w:rPr/>
      </w:r>
    </w:p>
    <w:p>
      <w:pPr>
        <w:pStyle w:val="Source"/>
        <w:rPr/>
      </w:pPr>
      <w:r>
        <w:rPr/>
        <w:t>Fonte: server/controllers/jornadaVagasController.ts; src/store/useVagasStore.ts; server/controllers/usuariosSuporteController.ts, abrirTicketSuporte; revisão 52c5224.</w:t>
      </w:r>
    </w:p>
    <w:p>
      <w:pPr>
        <w:pStyle w:val="Heading3"/>
        <w:rPr/>
      </w:pPr>
      <w:r>
        <w:rPr/>
        <w:t>Página pública, catálogos e e-MEC</w:t>
      </w:r>
    </w:p>
    <w:p>
      <w:pPr>
        <w:pStyle w:val="Normal"/>
        <w:rPr/>
      </w:pPr>
      <w:r>
        <w:rPr/>
        <w:t>paginaPublica/parte1 é uma view materializada usada para montar a página inicial sem ler todos os catálogos. A API seleciona até três cursos, procurando diversificar instituições, e até três vagas, priorizando aprendiz e estágio e evitando empresas repetidas. A seleção é feita sobre cópias embaralhadas com crypto.randomInt. O processamento em RAM não representa nova leitura de cada item no Firestore.</w:t>
      </w:r>
    </w:p>
    <w:p>
      <w:pPr>
        <w:pStyle w:val="Caption"/>
        <w:keepNext w:val="true"/>
        <w:rPr/>
      </w:pPr>
      <w:r>
        <w:rPr/>
        <w:t xml:space="preserve">Tabela </w:t>
      </w:r>
      <w:bookmarkStart w:id="93" w:name="tbl51"/>
      <w:r>
        <w:rPr/>
        <w:fldChar w:fldCharType="begin"/>
      </w:r>
      <w:r>
        <w:rPr/>
        <w:instrText xml:space="preserve"> SEQ Tabela \* ARABIC </w:instrText>
      </w:r>
      <w:r>
        <w:rPr/>
        <w:fldChar w:fldCharType="separate"/>
      </w:r>
      <w:r>
        <w:rPr/>
        <w:t>51</w:t>
      </w:r>
      <w:r>
        <w:rPr/>
        <w:fldChar w:fldCharType="end"/>
      </w:r>
      <w:bookmarkEnd w:id="93"/>
      <w:r>
        <w:rPr/>
        <w:t xml:space="preserve"> — Conteúdo consumido de paginaPublica/parte1.</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 esperado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Consumo</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Observação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vitrineCursos; vitrineVagas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getHomeStartup</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Origem dos destaques públicos e alternativa de localização de curso.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instituicoesParticipantes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getHomeStartup</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Exposto na resposta como instituicoes.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perguntasFrequentes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getHomeStartup</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Exposto na resposta como perguntas.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imagensPublicas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de strings ou objetos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Rota imagens</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URLs extraídas dos aliases url, imageUrl, src ou link.</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metadados.totalCursos; totalVagas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number esperado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Home e totais</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Expostos como totalDeCursos e totalDeVagas.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metadados.totalUsuarios; totalMatriculas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number esperado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Rota de totais</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Atualizados pelas operações transacionais correspondentes.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metadados.totalContratados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number esperado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Transação de contratação e cache</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Incrementado pelo servidor; não é incluído em getMetadadosTotais.</w:t>
            </w:r>
          </w:p>
        </w:tc>
      </w:tr>
    </w:tbl>
    <w:p>
      <w:pPr>
        <w:pStyle w:val="Normal"/>
        <w:spacing w:lineRule="auto" w:line="240" w:before="0" w:after="20"/>
        <w:rPr/>
      </w:pPr>
      <w:r>
        <w:rPr/>
      </w:r>
    </w:p>
    <w:p>
      <w:pPr>
        <w:pStyle w:val="Normal"/>
        <w:rPr/>
      </w:pPr>
      <w:r>
        <w:rPr/>
        <w:t>Os três catálogos são lidos por coleção com projeção do campo de array pertinente. Apenas documentos cujo ID começa com parte têm seus arrays concatenados. O código não impõe ordenação numérica às partes nem pagina os arrays no endpoint: depois de carregados, cursos e vagas são devolvidos integralmente pela API. Os tipos TypeScript ajudam o desenvolvimento, mas os registros de catálogo são tratados majoritariamente como any no backend, sem validação integral de cada registro carregado. A qualidade da carga administrativa é, portanto, parte da governança do conteúdo.</w:t>
      </w:r>
    </w:p>
    <w:p>
      <w:pPr>
        <w:pStyle w:val="Caption"/>
        <w:keepNext w:val="true"/>
        <w:rPr/>
      </w:pPr>
      <w:r>
        <w:rPr/>
        <w:t xml:space="preserve">Tabela </w:t>
      </w:r>
      <w:bookmarkStart w:id="94" w:name="tbl52"/>
      <w:r>
        <w:rPr/>
        <w:fldChar w:fldCharType="begin"/>
      </w:r>
      <w:r>
        <w:rPr/>
        <w:instrText xml:space="preserve"> SEQ Tabela \* ARABIC </w:instrText>
      </w:r>
      <w:r>
        <w:rPr/>
        <w:fldChar w:fldCharType="separate"/>
      </w:r>
      <w:r>
        <w:rPr/>
        <w:t>52</w:t>
      </w:r>
      <w:r>
        <w:rPr/>
        <w:fldChar w:fldCharType="end"/>
      </w:r>
      <w:bookmarkEnd w:id="94"/>
      <w:r>
        <w:rPr/>
        <w:t xml:space="preserve"> — Dicionário funcional dos itens de catalogoCursos.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Grupo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Campos presentes no contrato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 declarado</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titulo; tituloEditado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Busca, listas, detalhes e criação de jornada.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Classificação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nomeCineRotulo; area; tipoDeOferta; formato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opcionais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Filtros e contexto da oferta.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Conteúdo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apresentacao; objetivo; conteudoProgramatico; conteudo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opcionais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Descrição nos detalhes do curso.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Requisitos e duração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cargaHoraria; publicoAlvo; preRequisitos; prazoConclusao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opcionais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Informações para a decisão de participação.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Organizações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instituicaoCooperada; certificador; conteudista</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opcionais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dos envolvidos na oferta.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Publicação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status; destaque; vitrine</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vitrine também number, boolean ou null</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Elegibilidade e destaque conforme o consumo da interface.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Recursos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 linkDoCurso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opcionais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Ilustração e acesso ao ambiente externo.</w:t>
            </w:r>
          </w:p>
        </w:tc>
      </w:tr>
    </w:tbl>
    <w:p>
      <w:pPr>
        <w:pStyle w:val="Normal"/>
        <w:spacing w:lineRule="auto" w:line="240" w:before="0" w:after="20"/>
        <w:rPr/>
      </w:pPr>
      <w:r>
        <w:rPr/>
      </w:r>
    </w:p>
    <w:p>
      <w:pPr>
        <w:pStyle w:val="Caption"/>
        <w:keepNext w:val="true"/>
        <w:rPr/>
      </w:pPr>
      <w:r>
        <w:rPr/>
        <w:t xml:space="preserve">Tabela </w:t>
      </w:r>
      <w:bookmarkStart w:id="95" w:name="tbl53"/>
      <w:r>
        <w:rPr/>
        <w:fldChar w:fldCharType="begin"/>
      </w:r>
      <w:r>
        <w:rPr/>
        <w:instrText xml:space="preserve"> SEQ Tabela \* ARABIC </w:instrText>
      </w:r>
      <w:r>
        <w:rPr/>
        <w:fldChar w:fldCharType="separate"/>
      </w:r>
      <w:r>
        <w:rPr/>
        <w:t>53</w:t>
      </w:r>
      <w:r>
        <w:rPr/>
        <w:fldChar w:fldCharType="end"/>
      </w:r>
      <w:bookmarkEnd w:id="95"/>
      <w:r>
        <w:rPr/>
        <w:t xml:space="preserve"> — Dicionário funcional dos itens de catalogoVagas.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Grupo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Campos do contrato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Tipo declarado</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 codigoDaVaga; status; destaque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id e destaque opcionais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Chave canônica e publicação.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Oferta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tipoDeVaga; nomeDaEmpresa; instituicaoCooperada</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com instituição opcional</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Natureza da vaga e ofertante.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nivelEscolar; areaProfissional; areaDeAtuacao; semestreInicio; semestreFinal; escolasExigidas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semestres também number</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Critérios e contexto de elegibilidade.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Bolsa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tipoValorBolsa; tipoAuxilioBolsa; bolsaAuxilioExata; bolsaAuxilioDe; bolsaAuxilioAte</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Apresentação do auxílio.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Salário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tipoDeSalario; tipoSalarioValor; salarioExato; salarioDe; salarioAte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Apresentação da remuneração.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Condições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qtdDeBeneficios; beneficios; tipoDeHorario; horarioEntrada; horarioSaida</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quantidade também number</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Benefícios e horário.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Localização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tipoLogradouro; endereco; numero; complemento; bairro; cep; cidade; uf</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Endereço e filtros territoriais.</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Conteúdo e recursos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descricao; atividades; image; linkDeInscricao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strings, com recursos opcionais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Detalhamento e acesso externo.</w:t>
            </w:r>
          </w:p>
        </w:tc>
      </w:tr>
    </w:tbl>
    <w:p>
      <w:pPr>
        <w:pStyle w:val="Normal"/>
        <w:spacing w:lineRule="auto" w:line="240" w:before="0" w:after="20"/>
        <w:rPr/>
      </w:pPr>
      <w:r>
        <w:rPr/>
      </w:r>
    </w:p>
    <w:p>
      <w:pPr>
        <w:pStyle w:val="Normal"/>
        <w:rPr/>
      </w:pPr>
      <w:r>
        <w:rPr/>
        <w:t>Os contratos de catálogo admitem propriedades adicionais. Campos legados, como imageUrl ou nomeDaEmpresa1, também são lidos por componentes ou snapshots; sua existência no código não garante preenchimento em todas as cargas. Valores monetários passam por parseMonetaryValue na apresentação e nos filtros, preservando centavos em entradas numéricas e textuais compatíveis. Isso não muda o tipo ou o valor originalmente armazenado no catálogo.</w:t>
      </w:r>
    </w:p>
    <w:p>
      <w:pPr>
        <w:pStyle w:val="Caption"/>
        <w:keepNext w:val="true"/>
        <w:rPr/>
      </w:pPr>
      <w:r>
        <w:rPr/>
        <w:t xml:space="preserve">Tabela </w:t>
      </w:r>
      <w:bookmarkStart w:id="96" w:name="tbl54"/>
      <w:r>
        <w:rPr/>
        <w:fldChar w:fldCharType="begin"/>
      </w:r>
      <w:r>
        <w:rPr/>
        <w:instrText xml:space="preserve"> SEQ Tabela \* ARABIC </w:instrText>
      </w:r>
      <w:r>
        <w:rPr/>
        <w:fldChar w:fldCharType="separate"/>
      </w:r>
      <w:r>
        <w:rPr/>
        <w:t>54</w:t>
      </w:r>
      <w:r>
        <w:rPr/>
        <w:fldChar w:fldCharType="end"/>
      </w:r>
      <w:bookmarkEnd w:id="96"/>
      <w:r>
        <w:rPr/>
        <w:t xml:space="preserve"> — Dados e derivados do catálogo e-MEC.</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927"/>
        <w:gridCol w:w="1814"/>
        <w:gridCol w:w="2438"/>
        <w:gridCol w:w="3345"/>
      </w:tblGrid>
      <w:tr>
        <w:trPr>
          <w:tblHeader w:val="true"/>
          <w:cantSplit/>
        </w:trPr>
        <w:tc>
          <w:tcPr>
            <w:tcW w:w="192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w:t>
            </w:r>
          </w:p>
        </w:tc>
        <w:tc>
          <w:tcPr>
            <w:tcW w:w="181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Forma utilizada</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Origem</w:t>
            </w:r>
          </w:p>
        </w:tc>
        <w:tc>
          <w:tcPr>
            <w:tcW w:w="334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Finalidade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ies</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do documento parteN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catalogoIes</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Contém registros que relacionam instituição, local e curso.</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codIes; nomeIes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Código convertido para string e nome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Registro de catálogo</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Lista de IES deduplicada por código e ordenada por nome.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codLocal; nomeLocal</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Código convertido para string e nome</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Registros da IES selecionada</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Lista de campus; usa Campus {id} quando não há nome.</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codCurso; nomeCurso</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Código convertido para string e nome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Registros de IES e local</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Lista de cursos deduplicada por código e ordenada.</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grauAcademico</w:t>
            </w:r>
          </w:p>
        </w:tc>
        <w:tc>
          <w:tcPr>
            <w:tcW w:w="181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Comparação por string</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 de catálogo</w:t>
            </w:r>
          </w:p>
        </w:tc>
        <w:tc>
          <w:tcPr>
            <w:tcW w:w="334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Filtro opcional filtroGrau da consulta de cursos.</w:t>
            </w:r>
          </w:p>
        </w:tc>
      </w:tr>
      <w:tr>
        <w:trPr>
          <w:cantSplit/>
        </w:trPr>
        <w:tc>
          <w:tcPr>
            <w:tcW w:w="192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mecIndexByIes</w:t>
            </w:r>
          </w:p>
        </w:tc>
        <w:tc>
          <w:tcPr>
            <w:tcW w:w="181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Map em memória, sem persistência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Construção no backend</w:t>
            </w:r>
          </w:p>
        </w:tc>
        <w:tc>
          <w:tcPr>
            <w:tcW w:w="334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Evita percorrer o catálogo inteiro a cada seleção de campus ou curso.</w:t>
            </w:r>
          </w:p>
        </w:tc>
      </w:tr>
    </w:tbl>
    <w:p>
      <w:pPr>
        <w:pStyle w:val="Normal"/>
        <w:spacing w:lineRule="auto" w:line="240" w:before="0" w:after="20"/>
        <w:rPr/>
      </w:pPr>
      <w:r>
        <w:rPr/>
      </w:r>
    </w:p>
    <w:p>
      <w:pPr>
        <w:pStyle w:val="Normal"/>
        <w:rPr/>
      </w:pPr>
      <w:r>
        <w:rPr/>
        <w:t>O fluxo de cadastro consulta IES, campus e cursos conforme a seleção do estudante de Administração. O backend exige autenticação para e-MEC, mas não reavalia a formação em cada consulta: a restrição contextual de abrir esse catálogo parte da interface. No perfil são gravados os nomes selecionados, não os três códigos como chaves relacionais. O cadastro manual permite registrar os mesmos nomes sem equivaler a uma validação oficial de vínculo acadêmico.</w:t>
      </w:r>
    </w:p>
    <w:p>
      <w:pPr>
        <w:pStyle w:val="Source"/>
        <w:rPr/>
      </w:pPr>
      <w:r>
        <w:rPr/>
        <w:t>Fonte: server/services/cache.ts; server/controllers/catalogoController.ts; server/routes/mec.ts; server/routes/imagens.ts; src/types/catalog.ts; src/types/schemas.ts; src/lib/formatters.ts; revisão 52c5224.</w:t>
      </w:r>
    </w:p>
    <w:p>
      <w:pPr>
        <w:pStyle w:val="Heading2"/>
        <w:rPr/>
      </w:pPr>
      <w:bookmarkStart w:id="97" w:name="__RefHeading___Toc8782_608013930"/>
      <w:bookmarkEnd w:id="97"/>
      <w:r>
        <w:rPr/>
        <w:t>Agregação, capacidade e crescimento</w:t>
      </w:r>
    </w:p>
    <w:p>
      <w:pPr>
        <w:pStyle w:val="Normal"/>
        <w:rPr/>
      </w:pPr>
      <w:r>
        <w:rPr/>
        <w:t>O limite de documento do Firestore é 1 MiB. O padrão de documentos parteN distribui catálogos e registros do Cofre para reduzir o risco de ultrapassar esse limite. Já o documento usuarios/{uid} agrega dois históricos potencialmente crescentes. Cada controlador limita seu próprio array a 150 novas jornadas; esse limite de quantidade não é uma medição de tamanho em bytes, pois os snapshots e comentários têm comprimentos variáveis. O código não calcula o tamanho final do documento principal antes de gravar.</w:t>
      </w:r>
    </w:p>
    <w:p>
      <w:pPr>
        <w:pStyle w:val="Normal"/>
        <w:rPr/>
      </w:pPr>
      <w:r>
        <w:rPr/>
        <w:t>A promessa de uma leitura refere-se a uma operação e a um instante definidos. O cold start carrega uma vez paginaPublica/parte1 em cada processo. O login consulta uma vez o documento agregado para recuperar o perfil e os históricos; Authentication e verificação de revogação envolvem outros serviços. Criar jornadas, enviar certificados ou mudar estados pode exigir outras leituras e escritas. Em múltiplas instâncias do Cloud Run, cada processo possui cache próprio e realiza seu próprio carregamento; não há garantia de uma única leitura global por toda a implantação.</w:t>
      </w:r>
    </w:p>
    <w:p>
      <w:pPr>
        <w:pStyle w:val="Caption"/>
        <w:keepNext w:val="true"/>
        <w:rPr/>
      </w:pPr>
      <w:r>
        <w:rPr/>
        <w:t xml:space="preserve">Tabela </w:t>
      </w:r>
      <w:bookmarkStart w:id="98" w:name="tbl55"/>
      <w:r>
        <w:rPr/>
        <w:fldChar w:fldCharType="begin"/>
      </w:r>
      <w:r>
        <w:rPr/>
        <w:instrText xml:space="preserve"> SEQ Tabela \* ARABIC </w:instrText>
      </w:r>
      <w:r>
        <w:rPr/>
        <w:fldChar w:fldCharType="separate"/>
      </w:r>
      <w:r>
        <w:rPr/>
        <w:t>55</w:t>
      </w:r>
      <w:r>
        <w:rPr/>
        <w:fldChar w:fldCharType="end"/>
      </w:r>
      <w:bookmarkEnd w:id="98"/>
      <w:r>
        <w:rPr/>
        <w:t xml:space="preserve"> — Capacidade, cache e comportamento de atualização.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Área</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Mecanismo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Renovação ou limite</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Consequência operacional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Página pública</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Promise compartilhada e objeto em RAM</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TTL de 30 minutos; início do TTL no cold start</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Requisições próximas reutilizam o carregamento.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Cursos e vagas</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Carga sob demanda com Promise compartilhada</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Sem TTL implementado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Conteúdo permanece no processo até reinício ou nova tentativa após falha.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e-MEC</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Carga sob demanda e índice por IES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TTL implementado</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 consulta em memória sucede a primeira carga do catálogo.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Falha da página pública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substituído por objeto vazio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Promise é liberada para nova tentativa</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Respostas podem mostrar listas vazias e totais zero durante a indisponibilidade.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Falha dos catálogos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Erro registrado e Promise liberada</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Nova chamada pode tentar novamente</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Dados anteriores permanecem; primeira carga falha pode retornar lista vazia.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Contadores em RAM</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Incremento depois do commit</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Somente no processo que executou a operação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Outras instâncias convergem ao recarregar a página pública.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Jornadas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Dois arrays no perfil</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150 cursos e 150 vagas, separadamente</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Também precisam respeitar o limite de bytes do documento agregado.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Partes do Cofre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Estimativa de JSON em UTF-8</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Rollover previsto em 900 × 1024 bytes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Margem abaixo de 1 MiB; estimativa não equivale ao tamanho interno exato do Firestore.</w:t>
            </w:r>
          </w:p>
        </w:tc>
      </w:tr>
    </w:tbl>
    <w:p>
      <w:pPr>
        <w:pStyle w:val="Normal"/>
        <w:spacing w:lineRule="auto" w:line="240" w:before="0" w:after="20"/>
        <w:rPr/>
      </w:pPr>
      <w:r>
        <w:rPr/>
      </w:r>
    </w:p>
    <w:p>
      <w:pPr>
        <w:pStyle w:val="Normal"/>
        <w:rPr/>
      </w:pPr>
      <w:r>
        <w:rPr/>
        <w:t>initCache evita uma segunda inicialização no mesmo processo e define o instante da carga inicial. As funções ensure* reutilizam a Promise de uma carga em curso para não disparar consultas simultâneas iguais. Na página pública, a API ainda aplica Cache-Control para impedir cache HTTP do payload; isso não desativa o cache interno do backend. O serviço não publica mecanismo administrativo de invalidação dos catálogos nem atualização por listener em tempo real. O custo efetivo depende da quantidade de partes, das instâncias, das operações e dos preços aplicáveis, não apenas do número de pessoas conectadas.</w:t>
      </w:r>
    </w:p>
    <w:p>
      <w:pPr>
        <w:pStyle w:val="Source"/>
        <w:rPr/>
      </w:pPr>
      <w:r>
        <w:rPr/>
        <w:t>Fonte: server/services/cache.ts, initCache e funções ensure*; server/controllers/catalogoController.ts; server/controllers/jornadaCursosController.ts; server/controllers/jornadaVagasController.ts; server/services/vault.ts; limite de documento conforme documentação oficial do Cloud Firestore; revisão 52c5224.</w:t>
      </w:r>
    </w:p>
    <w:p>
      <w:pPr>
        <w:pStyle w:val="Heading2"/>
        <w:rPr/>
      </w:pPr>
      <w:bookmarkStart w:id="99" w:name="__RefHeading___Toc8784_608013930"/>
      <w:bookmarkEnd w:id="99"/>
      <w:r>
        <w:rPr/>
        <w:t>Transações, unicidade e concorrência</w:t>
      </w:r>
    </w:p>
    <w:p>
      <w:pPr>
        <w:pStyle w:val="Normal"/>
        <w:rPr/>
      </w:pPr>
      <w:r>
        <w:rPr/>
        <w:t>As operações transacionais usam leitura e escrita do documento agregado dentro de db.runTransaction. A biblioteca pode repetir a callback diante de concorrência; por isso, a resposta HTTP e o incremento do cache são executados depois do retorno confirmado da transação. O cadastro escreve o índice e o perfil de forma atômica no banco principal. A contagem da primeira matrícula e da primeira contratação usa marcos persistidos para evitar que reativações do histórico incrementem novamente os totais.</w:t>
      </w:r>
    </w:p>
    <w:p>
      <w:pPr>
        <w:pStyle w:val="Caption"/>
        <w:keepNext w:val="true"/>
        <w:rPr/>
      </w:pPr>
      <w:r>
        <w:rPr/>
        <w:t xml:space="preserve">Tabela </w:t>
      </w:r>
      <w:bookmarkStart w:id="100" w:name="tbl56"/>
      <w:r>
        <w:rPr/>
        <w:fldChar w:fldCharType="begin"/>
      </w:r>
      <w:r>
        <w:rPr/>
        <w:instrText xml:space="preserve"> SEQ Tabela \* ARABIC </w:instrText>
      </w:r>
      <w:r>
        <w:rPr/>
        <w:fldChar w:fldCharType="separate"/>
      </w:r>
      <w:r>
        <w:rPr/>
        <w:t>56</w:t>
      </w:r>
      <w:r>
        <w:rPr/>
        <w:fldChar w:fldCharType="end"/>
      </w:r>
      <w:bookmarkEnd w:id="100"/>
      <w:r>
        <w:rPr/>
        <w:t xml:space="preserve"> — Fronteiras reais de atomicidade.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Operação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Leituras relevantes</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Escritas no mesmo commit</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Fora da fronteira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inicial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e índice de CPF</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cpfs_indexados, usuarios e incremento de totalUsuarios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Envio do lead ao segundo projeto e resposta HTTP.</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Criação de jornada de curso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 usuarios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jornadaCursos completo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Consulta anterior do catálogo em RAM.</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Mudança de estado de curso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usuarios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e, na primeira matrícula, totalMatriculas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Verificação anterior do objeto no bucket e cache local posterior.</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Criação e mudança de vaga</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 usuarios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Array e, na primeira contratação, totalContratados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Consulta do catálogo e cache local posterior.</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Atualização de contato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consultado previamente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Update dos hashes e updatedAt</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usa transação; envio posterior ao Cofre é independente.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Gravação no Cofre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 _controle</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Parte com arrayUnion e controle na transação do Cofre</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Banco principal e Storage não participam.</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Upload de certificado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Perfil e jornada antes da gravação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 no Storage</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Vínculo e mudança de estado ocorrem em PATCH posterior.</w:t>
            </w:r>
          </w:p>
        </w:tc>
      </w:tr>
    </w:tbl>
    <w:p>
      <w:pPr>
        <w:pStyle w:val="Normal"/>
        <w:spacing w:lineRule="auto" w:line="240" w:before="0" w:after="20"/>
        <w:rPr/>
      </w:pPr>
      <w:r>
        <w:rPr/>
      </w:r>
    </w:p>
    <w:p>
      <w:pPr>
        <w:pStyle w:val="Normal"/>
        <w:rPr/>
      </w:pPr>
      <w:r>
        <w:rPr/>
        <w:t>O Cofre mantém uma cadeia de Promises para serializar gravações no processo. Com o Admin SDK normal, também usa transação no documento _controle, coordenando a escolha da parte entre instâncias. Existe um caminho alternativo para objeto de banco sem runTransaction: ele faz leitura e batch, mantendo atomicidade das duas escritas, mas sem a mesma proteção de concorrência entre processos. Esse caminho alternativo não deve ser descrito como transação Firestore.</w:t>
      </w:r>
    </w:p>
    <w:p>
      <w:pPr>
        <w:pStyle w:val="Normal"/>
        <w:rPr/>
      </w:pPr>
      <w:r>
        <w:rPr/>
        <w:t>O registro do Cofre combina o payload com id, derivado de uid quando disponível, e timestamp. As partes usam FieldValue.arrayUnion, que evita repetir objetos integralmente iguais, não eventos logicamente equivalentes com timestamps diferentes. O contador totalRegistros é incrementado a cada gravação processada. O controle de bytes estima a soma de JSON.stringify(registro), sem contabilizar exatamente toda a representação do documento. Não existe coleção de histórico de cursos ou vagas no Cofre.</w:t>
      </w:r>
    </w:p>
    <w:p>
      <w:pPr>
        <w:pStyle w:val="Caption"/>
        <w:keepNext w:val="true"/>
        <w:rPr/>
      </w:pPr>
      <w:r>
        <w:rPr/>
        <w:t xml:space="preserve">Tabela </w:t>
      </w:r>
      <w:bookmarkStart w:id="101" w:name="tbl57"/>
      <w:r>
        <w:rPr/>
        <w:fldChar w:fldCharType="begin"/>
      </w:r>
      <w:r>
        <w:rPr/>
        <w:instrText xml:space="preserve"> SEQ Tabela \* ARABIC </w:instrText>
      </w:r>
      <w:r>
        <w:rPr/>
        <w:fldChar w:fldCharType="separate"/>
      </w:r>
      <w:r>
        <w:rPr/>
        <w:t>57</w:t>
      </w:r>
      <w:r>
        <w:rPr/>
        <w:fldChar w:fldCharType="end"/>
      </w:r>
      <w:bookmarkEnd w:id="101"/>
      <w:r>
        <w:rPr/>
        <w:t xml:space="preserve"> — Estrutura do Cofre secundário.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Grupo</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Campos</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Formato</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Conteúdo e alcance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Envelope do registro</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 id; timestamp; origem</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Associação ao lead, data e tipo de evento.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Cadastro inicial protegido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email; cpf; celular</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AES-256-GCM ou null</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Originais protegidos por cifragem autenticada.</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inicial legível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 uf; registroCRA; comoSoube; formacao; areaAtuacao; semestre; ies; campus; curso; lgpdAceite</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strings, null e boolean</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Campos de contexto do lead; não há cifragem global do objeto.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Atualização de contato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emailContato; telefone; updatedAt</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Campos cifrados ou null e data ISO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Evento separado, sem copiar jornadas do principal.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parteN</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registros; ultimaAtualizacao</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array de objetos e string ISO</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Agrupa eventos da parte.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Documento _controle</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parteAtual; bytesAcumulados; totalRegistros; ultimaAtualizacao</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numbers e string ISO</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Controle de distribuição e contagem.</w:t>
            </w:r>
          </w:p>
        </w:tc>
      </w:tr>
    </w:tbl>
    <w:p>
      <w:pPr>
        <w:pStyle w:val="Normal"/>
        <w:spacing w:lineRule="auto" w:line="240" w:before="0" w:after="20"/>
        <w:rPr/>
      </w:pPr>
      <w:r>
        <w:rPr/>
      </w:r>
    </w:p>
    <w:p>
      <w:pPr>
        <w:pStyle w:val="Normal"/>
        <w:rPr/>
      </w:pPr>
      <w:r>
        <w:rPr/>
        <w:t>A arquitetura chamada Dual-Write possui duas gravações com compromisso independente. Após confirmar o banco principal, a chamada ao Cofre trata rejeições assíncronas com catch e registra o erro sem desfazer o perfil ou o contato. Se vaultProject não estiver configurado, saveToVault registra o aviso e retorna sem gravar. Não há outbox, fila durável, confirmação conjunta ou rotina versionada de reenvio dos leads que falharam. A característica documentada é tolerância à indisponibilidade do Cofre, com possibilidade de divergência entre bases; não se afirma entrega exatamente uma vez.</w:t>
      </w:r>
    </w:p>
    <w:p>
      <w:pPr>
        <w:pStyle w:val="Source"/>
        <w:rPr/>
      </w:pPr>
      <w:r>
        <w:rPr/>
        <w:t>Fonte: server/controllers/usuariosController.ts, atualizarPerfil; server/controllers/usuariosSuporteController.ts, atualizarContato; server/controllers/jornadaCursosController.ts; server/controllers/jornadaVagasController.ts; server/services/vault.ts; revisão 52c5224.</w:t>
      </w:r>
    </w:p>
    <w:p>
      <w:pPr>
        <w:pStyle w:val="Heading2"/>
        <w:rPr/>
      </w:pPr>
      <w:bookmarkStart w:id="102" w:name="__RefHeading___Toc8786_608013930"/>
      <w:bookmarkEnd w:id="102"/>
      <w:r>
        <w:rPr/>
        <w:t>Hashes, HMAC e cifragem</w:t>
      </w:r>
    </w:p>
    <w:p>
      <w:pPr>
        <w:pStyle w:val="Normal"/>
        <w:rPr/>
      </w:pPr>
      <w:r>
        <w:rPr/>
        <w:t>O sistema aplica mecanismos distintos conforme a finalidade. PBKDF2 torna mais custoso testar valores candidatos; HMAC usa um segredo do servidor para criar identificadores e salts determinísticos; AES-GCM protege conteúdo que precisa ser recuperável no Cofre ou no atendimento. Hashes não são descriptografados. Cifragem exige a chave para recuperar o texto. Como há UID, nome, dados legíveis e relações com Authentication, essas transformações não demonstram anonimização dos registros.</w:t>
      </w:r>
    </w:p>
    <w:p>
      <w:pPr>
        <w:pStyle w:val="Caption"/>
        <w:keepNext w:val="true"/>
        <w:rPr/>
      </w:pPr>
      <w:r>
        <w:rPr/>
        <w:t xml:space="preserve">Tabela </w:t>
      </w:r>
      <w:bookmarkStart w:id="103" w:name="tbl58"/>
      <w:r>
        <w:rPr/>
        <w:fldChar w:fldCharType="begin"/>
      </w:r>
      <w:r>
        <w:rPr/>
        <w:instrText xml:space="preserve"> SEQ Tabela \* ARABIC </w:instrText>
      </w:r>
      <w:r>
        <w:rPr/>
        <w:fldChar w:fldCharType="separate"/>
      </w:r>
      <w:r>
        <w:rPr/>
        <w:t>58</w:t>
      </w:r>
      <w:r>
        <w:rPr/>
        <w:fldChar w:fldCharType="end"/>
      </w:r>
      <w:bookmarkEnd w:id="103"/>
      <w:r>
        <w:rPr/>
        <w:t xml:space="preserve"> — Algoritmos e formatos efetivamente implementados.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098"/>
        <w:gridCol w:w="2438"/>
        <w:gridCol w:w="2493"/>
        <w:gridCol w:w="2495"/>
      </w:tblGrid>
      <w:tr>
        <w:trPr>
          <w:tblHeader w:val="true"/>
          <w:cantSplit/>
        </w:trPr>
        <w:tc>
          <w:tcPr>
            <w:tcW w:w="209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Finalidade</w:t>
            </w:r>
          </w:p>
        </w:tc>
        <w:tc>
          <w:tcPr>
            <w:tcW w:w="2438"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Entrada e normalização</w:t>
            </w:r>
          </w:p>
        </w:tc>
        <w:tc>
          <w:tcPr>
            <w:tcW w:w="249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Mecanismo</w:t>
            </w:r>
          </w:p>
        </w:tc>
        <w:tc>
          <w:tcPr>
            <w:tcW w:w="2495"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Salt por pessoa</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UID do token</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HMAC-SHA256 com HMAC_PEPPER_KEY</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Hexadecimal usado como string de salt do PBKDF2.</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Unicidade de CPF</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CPF somente com dígitos, prefixado por CPF_GLOBAL_</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HMAC-SHA256 com o mesmo pepper</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globalCpfHash, chave do índice de unicidade.</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CPF e celular no principal</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Somente dígitos</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PBKDF2-SHA256, 100.000 iterações e 32 bytes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cpfHash e celularHash em hexadecimal.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E-mail no principal</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Trim e conversão para minúsculas</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PBKDF2-SHA256, 100.000 iterações e 32 bytes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emailHash ou emailContatoHash em hexadecimal.</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Dados recuperáveis</w:t>
            </w:r>
          </w:p>
        </w:tc>
        <w:tc>
          <w:tcPr>
            <w:tcW w:w="2438"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Texto UTF-8 e VAULT_ENCRYPTION_KEY</w:t>
            </w:r>
          </w:p>
        </w:tc>
        <w:tc>
          <w:tcPr>
            <w:tcW w:w="249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AES-256-GCM; IV aleatório de 12 bytes</w:t>
            </w:r>
          </w:p>
        </w:tc>
        <w:tc>
          <w:tcPr>
            <w:tcW w:w="2495"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ivHex:ciphertextHex:authTagHex.</w:t>
            </w:r>
          </w:p>
        </w:tc>
      </w:tr>
      <w:tr>
        <w:trPr>
          <w:cantSplit/>
        </w:trPr>
        <w:tc>
          <w:tcPr>
            <w:tcW w:w="209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Identificação do curso no arquivo</w:t>
            </w:r>
          </w:p>
        </w:tc>
        <w:tc>
          <w:tcPr>
            <w:tcW w:w="2438"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String cursoId</w:t>
            </w:r>
          </w:p>
        </w:tc>
        <w:tc>
          <w:tcPr>
            <w:tcW w:w="249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SHA-256 simples, recorte de 16 caracteres hexadecimais</w:t>
            </w:r>
          </w:p>
        </w:tc>
        <w:tc>
          <w:tcPr>
            <w:tcW w:w="2495"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cursoTag; não é proteção de CPF nem prova de autenticidade documental.</w:t>
            </w:r>
          </w:p>
        </w:tc>
      </w:tr>
    </w:tbl>
    <w:p>
      <w:pPr>
        <w:pStyle w:val="Normal"/>
        <w:spacing w:lineRule="auto" w:line="240" w:before="0" w:after="20"/>
        <w:rPr/>
      </w:pPr>
      <w:r>
        <w:rPr/>
      </w:r>
    </w:p>
    <w:p>
      <w:pPr>
        <w:pStyle w:val="Normal"/>
        <w:rPr/>
      </w:pPr>
      <w:r>
        <w:rPr/>
        <w:t>processProfileSecurityData normaliza CPF e celular antes de calcular os derivados, executa as duas primeiras derivações PBKDF2 em paralelo e trata o e-mail quando disponível. A alteração de contato repete os mesmos parâmetros de salt e derivação. Não há HKDF na revisão examinada. A expressão PBKDF2/SHA256 do AGENTS.md deve ser entendida à luz dessas chamadas reais, sem substituir PBKDF2 por um SHA-256 simples. O HMAC global também não é um salt público aleatório: sua estabilidade permite localizar a mesma entrada no índice.</w:t>
      </w:r>
    </w:p>
    <w:p>
      <w:pPr>
        <w:pStyle w:val="Normal"/>
        <w:rPr/>
      </w:pPr>
      <w:r>
        <w:rPr/>
        <w:t>encryptSensitiveData gera novo IV para cada valor não vazio, usa chave lida como hexadecimal e concatena IV, texto cifrado e tag de autenticação. A checagem de configuração verifica presença e comprimento da chave; a validade efetiva depende também de a representação hexadecimal fornecer os 32 bytes exigidos pelo algoritmo. Valores vazios retornam null. decryptSensitiveData rejeita formatos sem os componentes esperados e, diante de erro de autenticação ou decifragem, registra mensagem sanitizada e retorna null. Nenhum controlador examinado utiliza a decifragem para devolver contatos ao navegador.</w:t>
      </w:r>
    </w:p>
    <w:p>
      <w:pPr>
        <w:pStyle w:val="Normal"/>
        <w:rPr/>
      </w:pPr>
      <w:r>
        <w:rPr/>
        <w:t>O formato persistido não incorpora identificador de versão ou de chave, e o código não fornece rotina de rotação ou recifragem. A documentação registra esse fato sem presumir que os segredos devam ser alterados nesta entrega. A gestão operacional de chaves precisa preservar a capacidade de leitura dos dados cifrados existentes. Senhas de login, por sua vez, pertencem ao Firebase Authentication: esses algoritmos do perfil não constituem implementação própria de armazenamento de senhas.</w:t>
      </w:r>
    </w:p>
    <w:p>
      <w:pPr>
        <w:pStyle w:val="Source"/>
        <w:rPr/>
      </w:pPr>
      <w:r>
        <w:rPr/>
        <w:t>Fonte: server/utils/sanitizers.ts, processProfileSecurityData; server/controllers/usuariosSuporteController.ts, atualizarContato; server/services/crypto.ts; server/routes/certificados.ts; AGENTS.md, seções 6, 10, 12 e 16; revisão 52c5224.</w:t>
      </w:r>
    </w:p>
    <w:p>
      <w:pPr>
        <w:pStyle w:val="Heading2"/>
        <w:rPr/>
      </w:pPr>
      <w:bookmarkStart w:id="104" w:name="__RefHeading___Toc8788_608013930"/>
      <w:bookmarkEnd w:id="104"/>
      <w:r>
        <w:rPr/>
        <w:t>Logs, sanitização e minimização das respostas</w:t>
      </w:r>
    </w:p>
    <w:p>
      <w:pPr>
        <w:pStyle w:val="Normal"/>
        <w:rPr/>
      </w:pPr>
      <w:r>
        <w:rPr/>
        <w:t>Os serviços de persistência usam mensagens genéricas ou sanitizeLogText nos registros de erro. O utilitário extrai a mensagem de Error, trata strings e objetos, mascara padrões de Bearer token, e-mail, CPF e diferentes formas de telefone e limita a saída a 300 caracteres. Toda ocorrência remanescente de @ também é substituída. getSafeRouteId reduz caminhos de API a grupos conhecidos, evitando registrar o identificador completo de uma rota dinâmica nas mensagens que usam esse recurso.</w:t>
      </w:r>
    </w:p>
    <w:p>
      <w:pPr>
        <w:pStyle w:val="Normal"/>
        <w:rPr/>
      </w:pPr>
      <w:r>
        <w:rPr/>
        <w:t>O tratamento de logs não é cifragem e não garante reconhecer todo dado pessoal possível. Nomes, narrativas e identificadores sem padrão podem continuar reconhecíveis se forem incluídos indevidamente por um novo emissor. Por isso, os controladores normalmente enviam ao cliente respostas genéricas e mantêm os detalhes técnicos no servidor. A leitura do perfil obtém o documento agregado completo no backend e seleciona explicitamente os campos devolvidos na resposta JSON. Essa seleção evita retornar todos os campos ao navegador; não é uma projeção select da consulta Firestore. Os logs de cache registram quantidades e eventos de carregamento, não os conteúdos integrais dos catálogos ou perfis.</w:t>
      </w:r>
    </w:p>
    <w:p>
      <w:pPr>
        <w:pStyle w:val="Normal"/>
        <w:rPr/>
      </w:pPr>
      <w:r>
        <w:rPr/>
        <w:t>Há ainda tratamentos específicos antes da persistência: CPF e telefone são normalizados para dígitos; e-mails são normalizados em caixa baixa; campos acadêmicos e textos de suporte têm remoção de marcas HTML e proteção contra prefixos de fórmula; nomes de arquivos enviados são sanitizados no cliente, enquanto o servidor gera outro nome independente. Nenhum desses tratamentos deve ser apresentado como saneamento integral de documentos PDF, antivírus ou anonimização de texto livre. São controles com finalidade e alcance delimitados pelo código.</w:t>
      </w:r>
    </w:p>
    <w:p>
      <w:pPr>
        <w:pStyle w:val="Source"/>
        <w:rPr/>
      </w:pPr>
      <w:r>
        <w:rPr/>
        <w:t>Fonte: server/utils/logSanitizer.ts; server/controllers/usuariosController.ts; server/controllers/usuariosSuporteController.ts; server/services/cache.ts; server/services/crypto.ts; src/api/certificados.ts; server/routes/certificados.ts; revisão 52c5224.</w:t>
      </w:r>
    </w:p>
    <w:p>
      <w:pPr>
        <w:pStyle w:val="Heading1"/>
        <w:rPr/>
      </w:pPr>
      <w:bookmarkStart w:id="105" w:name="__RefHeading___Toc8790_608013930"/>
      <w:bookmarkEnd w:id="105"/>
      <w:r>
        <w:rPr/>
        <w:t>HTTP, integridade e distribuição</w:t>
      </w:r>
    </w:p>
    <w:p>
      <w:pPr>
        <w:pStyle w:val="Heading2"/>
        <w:rPr/>
      </w:pPr>
      <w:bookmarkStart w:id="106" w:name="__RefHeading___Toc8792_608013930"/>
      <w:bookmarkEnd w:id="106"/>
      <w:r>
        <w:rPr/>
        <w:t>Políticas HTTP e fronteira de responsabilidade</w:t>
      </w:r>
    </w:p>
    <w:p>
      <w:pPr>
        <w:pStyle w:val="Normal"/>
        <w:rPr/>
      </w:pPr>
      <w:r>
        <w:rPr/>
        <w:t>O Express concentra as políticas HTTP da aplicação antes do registro das rotas e da entrega dos arquivos. A sequência começa com compressão, configuração de proxy e Permissions-Policy; em seguida, Helmet compõe a Content Security Policy e os demais cabeçalhos de proteção. As exceções de compartilhamento de recursos públicos são aplicadas depois desse conjunto, de forma que o tipo do recurso e o método da requisição determinam o alcance efetivo. Essa ordem precisa ser preservada em futuras manutenções, pois mover uma política para depois de uma resposta já encerrada impede sua aplicação.</w:t>
      </w:r>
    </w:p>
    <w:p>
      <w:pPr>
        <w:pStyle w:val="Normal"/>
        <w:rPr/>
      </w:pPr>
      <w:r>
        <w:rPr/>
        <w:t>O código do serviço e a borda da hospedagem têm responsabilidades diferentes. A revisão documentada permite conhecer os cabeçalhos que o processo Node pretende emitir; as capturas dos scanners demonstram respostas recebidas no domínio publicado nas datas indicadas no capítulo de evidências. Elas não identificam automaticamente o commit em execução. A configuração do TLS, os cookies eventualmente acrescentados pela plataforma e a topologia completa dos proxies não estão integralmente representados no repositório.</w:t>
      </w:r>
    </w:p>
    <w:p>
      <w:pPr>
        <w:pStyle w:val="Caption"/>
        <w:keepNext w:val="true"/>
        <w:rPr/>
      </w:pPr>
      <w:r>
        <w:rPr/>
        <w:t xml:space="preserve">Tabela </w:t>
      </w:r>
      <w:bookmarkStart w:id="107" w:name="tbl59"/>
      <w:r>
        <w:rPr/>
        <w:fldChar w:fldCharType="begin"/>
      </w:r>
      <w:r>
        <w:rPr/>
        <w:instrText xml:space="preserve"> SEQ Tabela \* ARABIC </w:instrText>
      </w:r>
      <w:r>
        <w:rPr/>
        <w:fldChar w:fldCharType="separate"/>
      </w:r>
      <w:r>
        <w:rPr/>
        <w:t>59</w:t>
      </w:r>
      <w:r>
        <w:rPr/>
        <w:fldChar w:fldCharType="end"/>
      </w:r>
      <w:bookmarkEnd w:id="107"/>
      <w:r>
        <w:rPr/>
        <w:t xml:space="preserve"> — Políticas HTTP configuradas e significado operacional.</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Controle</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Configuração ou comportamento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Alcance e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Strict-Transport-Security</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max-age=31536000; includeSubDomains; preload.</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Helmet configura um ano de HSTS. O token preload não comprova inscrição efetiva em uma lista de navegadores.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Referrer-Policy</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no-referrer; também presente no HTML.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Evita enviar o endereço da página como Referer. Não remove outros dados transmitidos por uma integração.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X-Content-Type-Options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nosniff, emitido pelo Helmet observado localmente.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Restringe a interpretação de MIME diferente do declarado; o tipo correto continua necessário.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X-Frame-Options e frame-ancestors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SAMEORIGIN e frame-ancestors self.</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Restringem enquadramento por outras origens; a CSP é o controle atual equivalente no navegador compatível.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Cross-Origin-Opener-Policy</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same-origin-allow-popups.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Mantém a política de isolamento compatível com janelas de autenticação; não equivale a cross-origin isolation pleno.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Cross-Origin-Resource-Policy</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same-origin por padrão; cross-origin nas exceções públicas.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Compartilhamento seletivo de recursos não substitui autenticação nem autorização de dados privados.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Cross-Origin-Embedder-Policy</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Desativado explicitamente: false.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Decisão de compatibilidade com recursos externos, incluindo VLibras. A aplicação não declara COEP require-corp nem credentialless.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Permissions-Policy</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geolocation, microphone, camera, payment, usb e fullscreen com listas vazias.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Recursos correspondentes ficam desabilitados pela política enviada. Não há concessão de permissões de iframe no metadata.json.</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X-XSS-Protection</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0, observado no servidor compilado.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Desativa o filtro legado do navegador. A proteção principal depende da CSP, da validação e da renderização segura.</w:t>
            </w:r>
          </w:p>
        </w:tc>
      </w:tr>
    </w:tbl>
    <w:p>
      <w:pPr>
        <w:pStyle w:val="Normal"/>
        <w:spacing w:lineRule="auto" w:line="240" w:before="0" w:after="20"/>
        <w:rPr/>
      </w:pPr>
      <w:r>
        <w:rPr/>
      </w:r>
    </w:p>
    <w:p>
      <w:pPr>
        <w:pStyle w:val="Source"/>
        <w:rPr/>
      </w:pPr>
      <w:r>
        <w:rPr/>
        <w:t>Fonte: server.ts, startServer e configuração Helmet, revisão 52c5224; execução HTTP local do servidor compilado em 16/10/2026, com serviços Firebase simulados.</w:t>
      </w:r>
    </w:p>
    <w:p>
      <w:pPr>
        <w:pStyle w:val="Normal"/>
        <w:rPr/>
      </w:pPr>
      <w:r>
        <w:rPr/>
        <w:t>A aplicação configura trust proxy com valor 1. Assim, o cálculo do endereço do cliente considera um salto de proxy confiável. Os limitadores utilizam esse contexto para contar requisições. O teste local confirmou o comportamento do trecho configurado; não inspecionou a cadeia real de encaminhamento do Cloud Run. A operação deve manter coerência entre essa decisão e a infraestrutura efetiva, principalmente ao acrescentar um intermediário de rede.</w:t>
      </w:r>
    </w:p>
    <w:p>
      <w:pPr>
        <w:pStyle w:val="Normal"/>
        <w:rPr/>
      </w:pPr>
      <w:r>
        <w:rPr/>
        <w:t>O limitador global é montado em /api/ com janela de quinze minutos e máximo de quinhentas requisições. Os cabeçalhos padronizados de limite são habilitados, e os cabeçalhos legados estão desativados. A resposta de excesso é um JSON em português. Rotas específicas podem somar limites próprios; por isso, o teto global não deve ser apresentado como a única restrição aplicável a cada função. O parser JSON geral limita o corpo a 100 kb; o upload de certificados segue parser próprio, aplicado após autenticação. O tratamento final converte JSON inválido em 400 e excesso de corpo em 413 sem devolver o payload recebido.</w:t>
      </w:r>
    </w:p>
    <w:p>
      <w:pPr>
        <w:pStyle w:val="Source"/>
        <w:rPr/>
      </w:pPr>
      <w:r>
        <w:rPr/>
        <w:t>Fonte: server.ts, apiLimiter, seleção do parser JSON e middleware final de erros; server/routes/certificados.ts, revisão 52c5224.</w:t>
      </w:r>
    </w:p>
    <w:p>
      <w:pPr>
        <w:pStyle w:val="Heading2"/>
        <w:rPr/>
      </w:pPr>
      <w:bookmarkStart w:id="108" w:name="__RefHeading___Toc8794_608013930"/>
      <w:bookmarkEnd w:id="108"/>
      <w:r>
        <w:rPr/>
        <w:t>Content Security Policy e integrações permitidas</w:t>
      </w:r>
    </w:p>
    <w:p>
      <w:pPr>
        <w:pStyle w:val="Normal"/>
        <w:rPr/>
      </w:pPr>
      <w:r>
        <w:rPr/>
        <w:t>A CSP parte de default-src none: uma categoria de recurso precisa de uma autorização específica para ser carregada. O documento limita a base das URLs e os formulários à própria origem, bloqueia objetos incorporados e restringe o enquadramento. As listas de domínios dos serviços Firebase, Google, VLibras e jsDelivr representam permissões de carregamento da aplicação. Estar autorizado pela política não demonstra que um domínio foi efetivamente acessado em cada visita; esse comportamento depende da tela, da sessão e das ações realizadas.</w:t>
      </w:r>
    </w:p>
    <w:p>
      <w:pPr>
        <w:pStyle w:val="Caption"/>
        <w:keepNext w:val="true"/>
        <w:rPr/>
      </w:pPr>
      <w:r>
        <w:rPr/>
        <w:t xml:space="preserve">Tabela </w:t>
      </w:r>
      <w:bookmarkStart w:id="109" w:name="tbl60"/>
      <w:r>
        <w:rPr/>
        <w:fldChar w:fldCharType="begin"/>
      </w:r>
      <w:r>
        <w:rPr/>
        <w:instrText xml:space="preserve"> SEQ Tabela \* ARABIC </w:instrText>
      </w:r>
      <w:r>
        <w:rPr/>
        <w:fldChar w:fldCharType="separate"/>
      </w:r>
      <w:r>
        <w:rPr/>
        <w:t>60</w:t>
      </w:r>
      <w:r>
        <w:rPr/>
        <w:fldChar w:fldCharType="end"/>
      </w:r>
      <w:bookmarkEnd w:id="109"/>
      <w:r>
        <w:rPr/>
        <w:t xml:space="preserve"> — Síntese das diretivas CSP da revisão documentada.</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Diretiva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Regra relevante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Efeito e observação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default-src; object-src</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none em ambas.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Padrão restritivo e bloqueio de objetos/plugins.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base-uri; form-action; manifest-src; frame-ancestors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self em cada diretiva.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Restringe base de resolução, formulários, manifestos e enquadramento à própria origem.</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script-src; script-src-elem</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self; origens Google/Firebase; VLibras e subdomínios; jsDelivr; hashes fixos.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Sem unsafe-inline ou unsafe-eval para scripts na configuração. Permitir uma origem não fixa o conteúdo de todos os seus arquivos.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connect-src</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self; APIs Google/Firebase; VLibras e dicionário; jsDelivr; WebSocket do VLibras.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Autoriza requisições de rede e conexões necessárias às integrações.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frame-src</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self; firebaseapp.com; VLibras; jsDelivr.</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Permite frames das origens listadas; não concede permissão para terceiros enquadrarem o Educa.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img-src</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self, data:, blob: e https:, além das origens explicitadas.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 autorização https: é ampla para imagens externas do catálogo; não é uma lista fechada de fornecedores.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style-src; style-src-elem</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self; Google Fonts; VLibras; jsDelivr; hashes de estilos.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unsafe-inline é acrescentado nessas duas diretivas apenas fora de produção.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style-src-attr</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unsafe-inline.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Permanece permitido em produção para atributos de estilo. Não declarar ausência absoluta de unsafe-* na política.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worker-src</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self, blob:, VLibras e jsDelivr.</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Viabiliza workers das integrações autorizadas.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font-src; media-src</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Fontes: self, data:, Google Fonts e integrações; mídia: self, blob:, data: e integrações.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Listas distintas para fontes e áudio/vídeo; não significam hospedagem própria de aulas.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upgrade-insecure-requests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Presente.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Instrui o navegador compatível a promover solicitações inseguras; não substitui a validação HTTPS dos links de negócio.</w:t>
            </w:r>
          </w:p>
        </w:tc>
      </w:tr>
    </w:tbl>
    <w:p>
      <w:pPr>
        <w:pStyle w:val="Normal"/>
        <w:spacing w:lineRule="auto" w:line="240" w:before="0" w:after="20"/>
        <w:rPr/>
      </w:pPr>
      <w:r>
        <w:rPr/>
      </w:r>
    </w:p>
    <w:p>
      <w:pPr>
        <w:pStyle w:val="Source"/>
        <w:rPr/>
      </w:pPr>
      <w:r>
        <w:rPr/>
        <w:t>Fonte: server.ts, contentSecurityPolicy.directives, revisão 52c5224.</w:t>
      </w:r>
    </w:p>
    <w:p>
      <w:pPr>
        <w:pStyle w:val="Normal"/>
        <w:rPr/>
      </w:pPr>
      <w:r>
        <w:rPr/>
        <w:t>O modo de execução altera o tratamento de estilos: quando NODE_ENV é diferente de production, style-src e style-src-elem aceitam unsafe-inline para acomodar o ambiente de desenvolvimento. Em produção, esses dois conjuntos usam origens e hashes definidos, enquanto style-src-attr mantém sua própria exceção. Essa distinção impede conclusões imprecisas como afirmar que todo estilo inline é proibido ou que a política inteira é idêntica nos dois ambientes.</w:t>
      </w:r>
    </w:p>
    <w:p>
      <w:pPr>
        <w:pStyle w:val="Normal"/>
        <w:rPr/>
      </w:pPr>
      <w:r>
        <w:rPr/>
        <w:t>A ausência de COEP é intencional na revisão e foi preservada após as rodadas de compatibilidade do VLibras. Habilitar require-corp ou credentialless pode modificar o carregamento de recursos de terceiros e precisa ser avaliado com os recursos transitivos efetivamente usados, nos navegadores suportados. O resultado A+ das evidências externas não cria obrigação técnica de ativar esse cabeçalho. Tampouco significa que a aplicação alcança o modo crossOriginIsolated ou que funcionalidades dependentes desse modo estejam disponíveis.</w:t>
      </w:r>
    </w:p>
    <w:p>
      <w:pPr>
        <w:pStyle w:val="Normal"/>
        <w:rPr/>
      </w:pPr>
      <w:r>
        <w:rPr/>
        <w:t>A manutenção dos hashes e das origens deve acompanhar mudanças reais das integrações. Uma atualização do fornecedor pode ser bloqueada pela política ou pela integridade do script; ampliar permissões sem identificar o recurso bloqueado reduz a rastreabilidade. O procedimento adequado é reproduzir a falha em ambiente controlado, examinar a resposta e a mensagem do navegador e atualizar somente a autorização necessária, mediante autorização para mudar o código. Não se utiliza o código de referência de outro sistema como substituto da configuração específica do Educa.</w:t>
      </w:r>
    </w:p>
    <w:p>
      <w:pPr>
        <w:pStyle w:val="Source"/>
        <w:rPr/>
      </w:pPr>
      <w:r>
        <w:rPr/>
        <w:t>Fonte: server.ts e src/components/ui/VLibrasWidget.tsx; AGENTS.md, seções 12, 14 e 15, revisão 52c5224.</w:t>
      </w:r>
    </w:p>
    <w:p>
      <w:pPr>
        <w:pStyle w:val="Heading2"/>
        <w:rPr/>
      </w:pPr>
      <w:bookmarkStart w:id="110" w:name="__RefHeading___Toc8796_608013930"/>
      <w:bookmarkEnd w:id="110"/>
      <w:r>
        <w:rPr/>
        <w:t>Compartilhamento público, cache HTTP e fallback</w:t>
      </w:r>
    </w:p>
    <w:p>
      <w:pPr>
        <w:pStyle w:val="Normal"/>
        <w:rPr/>
      </w:pPr>
      <w:r>
        <w:rPr/>
        <w:t>O middleware de compartilhamento responde apenas aos métodos GET e HEAD e a um conjunto de caminhos públicos. Ele acrescenta Access-Control-Allow-Origin com asterisco e muda CORP para cross-origin em assets, extensões estáticas selecionadas e três endpoints da vitrine. A exceção permite leitura por outras origens desses recursos públicos. Não habilita credenciais cross-origin nem muda as exigências de token das operações privadas.</w:t>
      </w:r>
    </w:p>
    <w:p>
      <w:pPr>
        <w:pStyle w:val="Caption"/>
        <w:keepNext w:val="true"/>
        <w:rPr/>
      </w:pPr>
      <w:r>
        <w:rPr/>
        <w:t xml:space="preserve">Tabela </w:t>
      </w:r>
      <w:bookmarkStart w:id="111" w:name="tbl61"/>
      <w:r>
        <w:rPr/>
        <w:fldChar w:fldCharType="begin"/>
      </w:r>
      <w:r>
        <w:rPr/>
        <w:instrText xml:space="preserve"> SEQ Tabela \* ARABIC </w:instrText>
      </w:r>
      <w:r>
        <w:rPr/>
        <w:fldChar w:fldCharType="separate"/>
      </w:r>
      <w:r>
        <w:rPr/>
        <w:t>61</w:t>
      </w:r>
      <w:r>
        <w:rPr/>
        <w:fldChar w:fldCharType="end"/>
      </w:r>
      <w:bookmarkEnd w:id="111"/>
      <w:r>
        <w:rPr/>
        <w:t xml:space="preserve"> — Distribuição e cache por classe de recurso.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Recurso ou caminho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Comportamento configurado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Consequência operacional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/assets/ e extensões estáticas selecionadas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CORS público e CORP cross-origin em GET/HEAD. Estáticos de produção recebem cache de um ano.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Nomes com hash gerados pelo build reduzem colisões entre versões; preservar o conjunto coerente de HTML e assets.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/api/home-startup</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CORS público; Cache-Control no-cache, no-store, must-revalidate.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 seleção de destaques é montada na resposta e não deve ser confundida com cache HTTP de catálogo.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/api/imagens e /api/metadados/totais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CORS público e CORP cross-origin em GET/HEAD.</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Consomem o cache da página pública no servidor. O middleware não lhes aplica automaticamente o cache de arquivos estáticos.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HTML em dist/client</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public, max-age=0, must-revalidate.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Revalida o documento inicial, permitindo que novas referências de assets sejam obtidas após uma publicação.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/.well-known existente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Entrega estática específica; max-age de um dia.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Manifestos podem permanecer em cache por até esse intervalo, conforme semântica HTTP.</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/.well-known inexistente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404 JSON com Manifest not found em produção.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Evita apresentar HTML da SPA como um manifesto válido.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não reconhecido fora da exceção acima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Fallback para dist/client/index.html.</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Inclui atualmente GET desconhecido sob /api, que pode retornar HTML com status 200; consumidores devem validar tipo e corpo.</w:t>
            </w:r>
          </w:p>
        </w:tc>
      </w:tr>
    </w:tbl>
    <w:p>
      <w:pPr>
        <w:pStyle w:val="Normal"/>
        <w:spacing w:lineRule="auto" w:line="240" w:before="0" w:after="20"/>
        <w:rPr/>
      </w:pPr>
      <w:r>
        <w:rPr/>
      </w:r>
    </w:p>
    <w:p>
      <w:pPr>
        <w:pStyle w:val="Source"/>
        <w:rPr/>
      </w:pPr>
      <w:r>
        <w:rPr/>
        <w:t>Fonte: server.ts, middleware de recursos públicos, express.static e app.get; server/controllers/catalogoController.ts, getHomeStartup, revisão 52c5224.</w:t>
      </w:r>
    </w:p>
    <w:p>
      <w:pPr>
        <w:pStyle w:val="Normal"/>
        <w:rPr/>
      </w:pPr>
      <w:r>
        <w:rPr/>
        <w:t>Cache HTTP e cache de dados em RAM são mecanismos distintos. O primeiro controla reutilização no navegador e em intermediários; o segundo evita leituras repetidas do Firestore dentro de uma instância do processo. Um HTML com revalidação imediata pode continuar utilizando dados mantidos no cache do backend. O TTL da página pública é de trinta minutos, enquanto os catálogos completos são carregados sob demanda e retidos em memória durante a vida da instância. Uma nova instância reconstitui seu próprio estado.</w:t>
      </w:r>
    </w:p>
    <w:p>
      <w:pPr>
        <w:pStyle w:val="Normal"/>
        <w:rPr/>
      </w:pPr>
      <w:r>
        <w:rPr/>
        <w:t>No modo de produção, o diretório público de desenvolvimento e o diretório compilado possuem entregas específicas para .well-known. O bundle do cliente também recebe a cópia dos recursos de public. Em uma publicação, deve-se conservar a localização esperada de dist/client e executar o processo a partir da raiz do projeto. O código usa process.cwd() para localizar os arquivos; iniciar a mesma saída a partir de outro diretório pode impedir a entrega do documento inicial e dos manifestos.</w:t>
      </w:r>
    </w:p>
    <w:p>
      <w:pPr>
        <w:pStyle w:val="Source"/>
        <w:rPr/>
      </w:pPr>
      <w:r>
        <w:rPr/>
        <w:t>Fonte: server.ts e server/services/cache.ts, revisão 52c5224.</w:t>
      </w:r>
    </w:p>
    <w:p>
      <w:pPr>
        <w:pStyle w:val="Heading2"/>
        <w:rPr/>
      </w:pPr>
      <w:bookmarkStart w:id="112" w:name="__RefHeading___Toc8798_608013930"/>
      <w:bookmarkEnd w:id="112"/>
      <w:r>
        <w:rPr/>
        <w:t>Integridade dos arquivos gerados no build</w:t>
      </w:r>
    </w:p>
    <w:p>
      <w:pPr>
        <w:pStyle w:val="Normal"/>
        <w:rPr/>
      </w:pPr>
      <w:r>
        <w:rPr/>
        <w:t>A integridade dos assets usa SHA-384. O navegador compara os bytes recebidos com o valor integrity do elemento script ou link antes de aceitar o recurso conforme as regras de SRI. O atributo crossorigin anonymous acompanha as referências correspondentes. SRI verifica o conteúdo referenciado; não valida regras de negócio, não examina dependências em tempo de execução e não garante disponibilidade da origem.</w:t>
      </w:r>
    </w:p>
    <w:p>
      <w:pPr>
        <w:pStyle w:val="Caption"/>
        <w:keepNext w:val="true"/>
        <w:rPr/>
      </w:pPr>
      <w:r>
        <w:rPr/>
        <w:t xml:space="preserve">Tabela </w:t>
      </w:r>
      <w:bookmarkStart w:id="113" w:name="tbl62"/>
      <w:r>
        <w:rPr/>
        <w:fldChar w:fldCharType="begin"/>
      </w:r>
      <w:r>
        <w:rPr/>
        <w:instrText xml:space="preserve"> SEQ Tabela \* ARABIC </w:instrText>
      </w:r>
      <w:r>
        <w:rPr/>
        <w:fldChar w:fldCharType="separate"/>
      </w:r>
      <w:r>
        <w:rPr/>
        <w:t>62</w:t>
      </w:r>
      <w:r>
        <w:rPr/>
        <w:fldChar w:fldCharType="end"/>
      </w:r>
      <w:bookmarkEnd w:id="113"/>
      <w:r>
        <w:rPr/>
        <w:t xml:space="preserve"> — Etapas e limites da geração de SRI.</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Etapa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Implementação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e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Geração do cliente</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vite build --outDir dist/client.</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Produz HTML, CSS e chunks JavaScript com nomes versionados por conteúdo.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Plugin pós-build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crasp-sri-sha384 em vite.config.ts, writeBundle.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Percorre referências /assets/ do HTML e calcula hashes dos arquivos existentes; preserva elementos que já possuem integrity.</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Passo complementar</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tsx scripts/inject-sri.ts.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Lê dist/client, com fallback para dist, e acrescenta SRI ausente nas referências elegíveis.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Prevenção de duplicação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Verificação prévia de integrity nos dois mecanismos.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 passo complementar pode concluir sem gerar nova linha de hash se o plugin já tratou o elemento.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Falha de entrada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Script encerra com código 1 se index.html não existir.</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comando encadeado interrompe a sequência de build; não produz servidor compilado após essa falha.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Verificação observada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Três referências iniciais do HTML conferidas em 16/10/2026.</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Hashes de dois JavaScripts e um CSS coincidiram com os bytes gerados e possuíam crossorigin.</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Cobertura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Referências elegíveis no HTML de saída.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demonstra SRI individual para todos os chunks dinâmicos ou recursos carregados transitivamente por fornecedores.</w:t>
            </w:r>
          </w:p>
        </w:tc>
      </w:tr>
    </w:tbl>
    <w:p>
      <w:pPr>
        <w:pStyle w:val="Normal"/>
        <w:spacing w:lineRule="auto" w:line="240" w:before="0" w:after="20"/>
        <w:rPr/>
      </w:pPr>
      <w:r>
        <w:rPr/>
      </w:r>
    </w:p>
    <w:p>
      <w:pPr>
        <w:pStyle w:val="Source"/>
        <w:rPr/>
      </w:pPr>
      <w:r>
        <w:rPr/>
        <w:t>Fonte: vite.config.ts, sriBuildPlugin e computeAssetSha384; scripts/inject-sri.ts; evidência local sri-results.json de 16/10/2026, revisão 52c5224.</w:t>
      </w:r>
    </w:p>
    <w:p>
      <w:pPr>
        <w:pStyle w:val="Normal"/>
        <w:rPr/>
      </w:pPr>
      <w:r>
        <w:rPr/>
        <w:t>O plugin pós-build resolve os caminhos dentro da saída e ignora referência que não possa ser associada a um arquivo. O script complementar avisa quando um arquivo referenciado não é encontrado. Consequentemente, a existência do passo de build não autoriza afirmar que qualquer referência futura recebeu integridade: a conferência da saída permanece necessária. O conjunto de três referências validado nesta edição pertence ao build observado, não a um manifesto imutável para todas as publicações futuras.</w:t>
      </w:r>
    </w:p>
    <w:p>
      <w:pPr>
        <w:pStyle w:val="Normal"/>
        <w:rPr/>
      </w:pPr>
      <w:r>
        <w:rPr/>
        <w:t>A compilação do servidor ocorre depois da etapa de integridade e gera CommonJS com esbuild. As dependências de pacote são externas ao bundle. Portanto, dist/server.cjs sozinho não constitui uma distribuição autossuficiente: o ambiente de execução precisa das dependências compatíveis e do cliente gerado. Publicar apenas o HTML ou apenas o arquivo Node não reproduz a aplicação monolítica documentada.</w:t>
      </w:r>
    </w:p>
    <w:p>
      <w:pPr>
        <w:pStyle w:val="Source"/>
        <w:rPr/>
      </w:pPr>
      <w:r>
        <w:rPr/>
        <w:t>Fonte: package.json, script build, revisão 52c5224.</w:t>
      </w:r>
    </w:p>
    <w:p>
      <w:pPr>
        <w:pStyle w:val="Heading2"/>
        <w:rPr/>
      </w:pPr>
      <w:bookmarkStart w:id="114" w:name="__RefHeading___Toc8800_608013930"/>
      <w:bookmarkEnd w:id="114"/>
      <w:r>
        <w:rPr/>
        <w:t>VLibras: carregamento, persistência e recuperação</w:t>
      </w:r>
    </w:p>
    <w:p>
      <w:pPr>
        <w:pStyle w:val="Normal"/>
        <w:rPr/>
      </w:pPr>
      <w:r>
        <w:rPr/>
        <w:t>O componente VLibrasWidget é renderizado na raiz de App, fora do conteúdo condicionado à sessão e à aba. Assim, alternar entre vitrine, autenticação, conclusão de perfil e painel não cria deliberadamente uma nova montagem do recurso global. O componente entrega o contêiner esperado pelo plugin e mantém initializedRef para impedir repetição da instanciação no ciclo ativo. A biblioteca remota continua sendo operada pelo fornecedor; não há reimplementação do seu mecanismo de tradução no Educa.</w:t>
      </w:r>
    </w:p>
    <w:p>
      <w:pPr>
        <w:pStyle w:val="Caption"/>
        <w:keepNext w:val="true"/>
        <w:rPr/>
      </w:pPr>
      <w:r>
        <w:rPr/>
        <w:t xml:space="preserve">Tabela </w:t>
      </w:r>
      <w:bookmarkStart w:id="115" w:name="tbl63"/>
      <w:r>
        <w:rPr/>
        <w:fldChar w:fldCharType="begin"/>
      </w:r>
      <w:r>
        <w:rPr/>
        <w:instrText xml:space="preserve"> SEQ Tabela \* ARABIC </w:instrText>
      </w:r>
      <w:r>
        <w:rPr/>
        <w:fldChar w:fldCharType="separate"/>
      </w:r>
      <w:r>
        <w:rPr/>
        <w:t>63</w:t>
      </w:r>
      <w:r>
        <w:rPr/>
        <w:fldChar w:fldCharType="end"/>
      </w:r>
      <w:bookmarkEnd w:id="115"/>
      <w:r>
        <w:rPr/>
        <w:t xml:space="preserve"> — Ciclo de vida implementado para o VLibras.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Momento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Ação no código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Proteção e limite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Documento carregado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requestIdleCallback com timeout de 4000 ms, quando disponível; fallback com timer de 2500 ms.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Adia o trabalho inicial sem depender somente de interação. Os tempos são de agendamento, não garantia de conclusão.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Primeira interação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mousedown, keydown, touchstart ou scroll chama initVLibras.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Remove os ouvintes de interação após o acionamento; cada entrada verifica montagem e inicialização.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Inclusão do script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URL oficial; async; crossorigin anonymous; hash SHA-384 fixo.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há caminho alternativo que retire a verificação de integridade.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Script já presente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Reutiliza elemento identificado; instancia se window.VLibras existir ou aguarda load.</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Evita inserir outro script com o mesmo identificador pelo fluxo normal do componente.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Sucesso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new window.VLibras.Widget com a base oficial /app.</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Só marca initializedRef após a chamada bem-sucedida; exceção de instanciação é registrada.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Erro de carregamento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Remove o elemento e agenda uma repetição após 1500 ms.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 segunda tentativa preserva o mesmo SRI e não autoriza nova repetição; falha final produz aviso.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Desmontagem</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Marca isMounted false; remove ouvintes globais e cancela idle callback, timer inicial e timer de retry.</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Callbacks verificam montagem antes de instanciar; não há chamada a uma API de destruição interna do fornecedor.</w:t>
            </w:r>
          </w:p>
        </w:tc>
      </w:tr>
    </w:tbl>
    <w:p>
      <w:pPr>
        <w:pStyle w:val="Normal"/>
        <w:spacing w:lineRule="auto" w:line="240" w:before="0" w:after="20"/>
        <w:rPr/>
      </w:pPr>
      <w:r>
        <w:rPr/>
      </w:r>
    </w:p>
    <w:p>
      <w:pPr>
        <w:pStyle w:val="Source"/>
        <w:rPr/>
      </w:pPr>
      <w:r>
        <w:rPr/>
        <w:t>Fonte: src/components/ui/VLibrasWidget.tsx e src/App.tsx, revisão 52c5224.</w:t>
      </w:r>
    </w:p>
    <w:p>
      <w:pPr>
        <w:pStyle w:val="Normal"/>
        <w:rPr/>
      </w:pPr>
      <w:r>
        <w:rPr/>
        <w:t>O hash fixo corresponde ao script oficial vlibras-plugin.js referenciado pelo componente e consta também entre as autorizações de scripts da CSP. Uma mudança de bytes na URL do fornecedor causa bloqueio de integridade, mesmo quando o transporte HTTPS está correto. O retry ajuda em falhas transitórias de rede; ele não resolve uma alteração legítima do fornecedor que produza outro hash, pois utiliza deliberadamente o mesmo valor.</w:t>
      </w:r>
    </w:p>
    <w:p>
      <w:pPr>
        <w:pStyle w:val="Normal"/>
        <w:rPr/>
      </w:pPr>
      <w:r>
        <w:rPr/>
        <w:t>Diante de desaparecimento ou falha do widget, a investigação deve distinguir rede, SRI, CSP e instanciação. Primeiro, conferir se o script foi solicitado, qual foi a resposta e se há erro de integridade ou política no console. Depois, verificar a existência do contêiner e a disponibilidade de window.VLibras. O relato visual de funcionamento e os resultados do PDF pertencem às evidências fornecidas; a documentação não reexecutou o fornecedor remoto nem certificou seu estado atual. A manutenção não deve remover integrity, liberar qualquer origem ou alterar o DOM interno do plugin apenas para obter uma nota de scanner.</w:t>
      </w:r>
    </w:p>
    <w:p>
      <w:pPr>
        <w:pStyle w:val="Normal"/>
        <w:rPr/>
      </w:pPr>
      <w:r>
        <w:rPr/>
        <w:t>A exceção interna de práticas recomendadas do AGENTS.md refere-se especificamente à imagem nativa do VLibras. No PDF recebido, o alerta de proporção de imagens está recolhido e não identifica o arquivo causador. Por isso, o resultado 96 é transcrito sem atribuí-lo de forma comprovada a vlibras-popup.webp. Essa distinção preserva tanto a decisão de não adulterar o recurso federal quanto a fidelidade ao que a captura realmente mostra.</w:t>
      </w:r>
    </w:p>
    <w:p>
      <w:pPr>
        <w:pStyle w:val="Source"/>
        <w:rPr/>
      </w:pPr>
      <w:r>
        <w:rPr/>
        <w:t>Fonte histórica citada no Word de origem: AGENTS.md, seção 14; Análises Site Crasp Educa.pdf, páginas 8 e 18; revisão 52c5224 e evidências externas de 16/10/2026.</w:t>
      </w:r>
    </w:p>
    <w:p>
      <w:pPr>
        <w:pStyle w:val="Heading2"/>
        <w:rPr/>
      </w:pPr>
      <w:bookmarkStart w:id="116" w:name="__RefHeading___Toc8802_608013930"/>
      <w:bookmarkEnd w:id="116"/>
      <w:r>
        <w:rPr/>
        <w:t>Metadados, descoberta e recursos públicos</w:t>
      </w:r>
    </w:p>
    <w:p>
      <w:pPr>
        <w:pStyle w:val="Normal"/>
        <w:rPr/>
      </w:pPr>
      <w:r>
        <w:rPr/>
        <w:t>O documento inicial define idioma pt-BR, codificação UTF-8 e viewport responsivo. Título, descrição e metadados Open Graph apresentam o Educa como conector gratuito de cursos e oportunidades de estágio e aprendiz. Há cartão Twitter do tipo summary_large_image. Não foram identificadas tags canonical, og:url, og:image nem um sitemap.xml na fonte congelada. A presença das categorias SEO 100 nas capturas não autoriza preencher esses itens como implementados.</w:t>
      </w:r>
    </w:p>
    <w:p>
      <w:pPr>
        <w:pStyle w:val="Caption"/>
        <w:keepNext w:val="true"/>
        <w:rPr/>
      </w:pPr>
      <w:r>
        <w:rPr/>
        <w:t xml:space="preserve">Tabela </w:t>
      </w:r>
      <w:bookmarkStart w:id="117" w:name="tbl64"/>
      <w:r>
        <w:rPr/>
        <w:fldChar w:fldCharType="begin"/>
      </w:r>
      <w:r>
        <w:rPr/>
        <w:instrText xml:space="preserve"> SEQ Tabela \* ARABIC </w:instrText>
      </w:r>
      <w:r>
        <w:rPr/>
        <w:fldChar w:fldCharType="separate"/>
      </w:r>
      <w:r>
        <w:rPr/>
        <w:t>64</w:t>
      </w:r>
      <w:r>
        <w:rPr/>
        <w:fldChar w:fldCharType="end"/>
      </w:r>
      <w:bookmarkEnd w:id="117"/>
      <w:r>
        <w:rPr/>
        <w:t xml:space="preserve"> — Inventário dos metadados e recursos públicos relevantes.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Arquivo ou elemento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Conteúdo ou finalidade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 na revisão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index.html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Título, description, og:title, og:description, og:type website e twitter:card.</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Implementados no documento base; não há geração de metadados por aba autenticada.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public/favicon.svg</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Ícone vetorial referenciado pelo HTML.</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Distribuído como recurso público.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Preloads de imagens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image1-mobile.webp, image1-tablet.webp e image1-desktop.webp, com media queries e prioridade alta.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Correspondem às faixas responsivas do banner; o picture escolhe a imagem aplicável.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Preconnects e DNS prefetch</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Google Fonts, Firestore, Identity Toolkit, VLibras, jsDelivr e cdn.evg.gov.br.</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Dicas de conexão; sua presença não comprova uso efetivo de cada serviço na visita.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public/robots.txt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User-agent asterisco e Allow /.</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Permite rastreamento; não protege telas ou dados privados.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public/llms.txt</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Descrição institucional e link para crasp-educa.ai.studio.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Texto estático de descoberta; não é uma API de inteligência artificial.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.well-known/ard.json e ai-catalog.json</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specVersion 1.0, identificação did:web e entrada do catálogo público.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Dois arquivos com o mesmo conteúdo nesta revisão; apontam para llms.txt.</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metadata.json</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Nome, descrição, requestFramePermissions vazio e capacidade declarada de Gemini.</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Metadados do ambiente de origem; não comprovam uma funcionalidade Gemini implementada no aplicativo.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canonical e sitemap.xml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identificados no pacote de 140 arquivos.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documentados como recurso existente.</w:t>
            </w:r>
          </w:p>
        </w:tc>
      </w:tr>
    </w:tbl>
    <w:p>
      <w:pPr>
        <w:pStyle w:val="Normal"/>
        <w:spacing w:lineRule="auto" w:line="240" w:before="0" w:after="20"/>
        <w:rPr/>
      </w:pPr>
      <w:r>
        <w:rPr/>
      </w:r>
    </w:p>
    <w:p>
      <w:pPr>
        <w:pStyle w:val="Source"/>
        <w:rPr/>
      </w:pPr>
      <w:r>
        <w:rPr/>
        <w:t>Fonte: index.html; public/; metadata.json; src/components/showcase/HeroBanner.tsx, revisão 52c5224.</w:t>
      </w:r>
    </w:p>
    <w:p>
      <w:pPr>
        <w:pStyle w:val="Normal"/>
        <w:rPr/>
      </w:pPr>
      <w:r>
        <w:rPr/>
        <w:t>Os manifestos de descoberta e llms.txt são públicos e estáticos, sem rotas de consulta a dados pessoais ou poder de mutação. Eles não alteram as fronteiras de autorização do Express. Da mesma forma, robots.txt é uma convenção de rastreamento: a proteção de informações privadas é exercida pela autenticação do backend e pelas regras de acesso, e não por instruções dirigidas a robôs.</w:t>
      </w:r>
    </w:p>
    <w:p>
      <w:pPr>
        <w:pStyle w:val="Normal"/>
        <w:rPr/>
      </w:pPr>
      <w:r>
        <w:rPr/>
        <w:t>Os recursos públicos incluem imagens de banner, carteira estudantil e informações institucionais. Os conteúdos de catálogo e outras imagens também podem vir da view materializada da página pública. Portanto, um inventário só de arquivos locais não descreve todos os pedidos de rede de uma visita. As requisições de terceiros observadas no Webbkoll são registradas separadamente no capítulo de evidências, com data e alcance da execução.</w:t>
      </w:r>
    </w:p>
    <w:p>
      <w:pPr>
        <w:pStyle w:val="Source"/>
        <w:rPr/>
      </w:pPr>
      <w:r>
        <w:rPr/>
        <w:t>Fonte histórica citada no Word de origem: public/, server/routes/imagens.ts e server/controllers/catalogoController.ts, revisão 52c5224; Análises Site Crasp Educa.pdf, páginas 29 a 35.</w:t>
      </w:r>
    </w:p>
    <w:p>
      <w:pPr>
        <w:pStyle w:val="Heading1"/>
        <w:rPr/>
      </w:pPr>
      <w:bookmarkStart w:id="118" w:name="__RefHeading___Toc8804_608013930"/>
      <w:bookmarkEnd w:id="118"/>
      <w:r>
        <w:rPr/>
        <w:t>Operação, configuração e testes</w:t>
      </w:r>
    </w:p>
    <w:p>
      <w:pPr>
        <w:pStyle w:val="Heading2"/>
        <w:rPr/>
      </w:pPr>
      <w:bookmarkStart w:id="119" w:name="__RefHeading___Toc8806_608013930"/>
      <w:bookmarkEnd w:id="119"/>
      <w:r>
        <w:rPr/>
        <w:t>Runtime, versões e instalação reproduzível</w:t>
      </w:r>
    </w:p>
    <w:p>
      <w:pPr>
        <w:pStyle w:val="Normal"/>
        <w:rPr/>
      </w:pPr>
      <w:r>
        <w:rPr/>
        <w:t>O projeto utiliza npm e módulos ECMAScript na fonte. O package.json está marcado como privado e mantém nome técnico react-example e versão 0.0.0; esses campos não correspondem à edição desta documentação nem demonstram uma versão comercial do produto. A identificação precisa desta entrega é o commit 52c5224d3fb3372e97859468cf1d44439effdc18 e o conjunto de arquivos associado. O lockfile de versão 3 registra a resolução utilizada nas verificações.</w:t>
      </w:r>
    </w:p>
    <w:p>
      <w:pPr>
        <w:pStyle w:val="Normal"/>
        <w:rPr/>
      </w:pPr>
      <w:r>
        <w:rPr/>
        <w:t>No ramo Node 22, as dependências obrigatórias resolvidas exigem pelo menos 22.13.0: Firebase Admin requer Node 22 ou superior, o plugin React/Vite exige 22.12.0 nesse ramo e o ESLint estabelece 22.13.0. O pacote opcional de compressão @napi-rs/lzma-linux-x64-gnu, presente no lock, requer uma versão mais recente: ^22.20.0, ^24.12.0 ou &gt;=25.0.0. Para uma instalação que também satisfaça esse pacote opcional, a referência é Node 22.20 ou posterior no ramo 22. O manifesto não declara engines nem fixa o runtime da hospedagem; a referência deve ser escolhida pelos requisitos resolvidos, e não pela versão das tipagens @types/node.</w:t>
      </w:r>
    </w:p>
    <w:p>
      <w:pPr>
        <w:pStyle w:val="Caption"/>
        <w:keepNext w:val="true"/>
        <w:rPr/>
      </w:pPr>
      <w:r>
        <w:rPr/>
        <w:t xml:space="preserve">Tabela </w:t>
      </w:r>
      <w:bookmarkStart w:id="120" w:name="tbl65"/>
      <w:r>
        <w:rPr/>
        <w:fldChar w:fldCharType="begin"/>
      </w:r>
      <w:r>
        <w:rPr/>
        <w:instrText xml:space="preserve"> SEQ Tabela \* ARABIC </w:instrText>
      </w:r>
      <w:r>
        <w:rPr/>
        <w:fldChar w:fldCharType="separate"/>
      </w:r>
      <w:r>
        <w:rPr/>
        <w:t>65</w:t>
      </w:r>
      <w:r>
        <w:rPr/>
        <w:fldChar w:fldCharType="end"/>
      </w:r>
      <w:bookmarkEnd w:id="120"/>
      <w:r>
        <w:rPr/>
        <w:t xml:space="preserve"> — Versões de componentes selecionados no lockfile.</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267"/>
        <w:gridCol w:w="1304"/>
        <w:gridCol w:w="5953"/>
      </w:tblGrid>
      <w:tr>
        <w:trPr>
          <w:tblHeader w:val="true"/>
          <w:cantSplit/>
        </w:trPr>
        <w:tc>
          <w:tcPr>
            <w:tcW w:w="226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Componente</w:t>
            </w:r>
          </w:p>
        </w:tc>
        <w:tc>
          <w:tcPr>
            <w:tcW w:w="130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Versão resolvida</w:t>
            </w:r>
          </w:p>
        </w:tc>
        <w:tc>
          <w:tcPr>
            <w:tcW w:w="595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Responsabilidade</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React</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19.3.1</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Composição da interface e ciclos de vida dos componentes.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6.4.4</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Servidor de desenvolvimento e empacotamento do cliente.</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Express</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4.22.3</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Servidor HTTP e montagem das rotas de API.</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 cliente</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12.19.0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no navegador.</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 Admin</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14.5.0</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Validação de tokens e acesso administrativo aos serviços de dados.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Helmet</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8.3.0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Cabeçalhos e política de segurança.</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Zustand</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5.0.15</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Estado global e persistência de preferências selecionadas.</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Zod</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4.6.7</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Validação dos contratos de entrada.</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TypeScript</w:t>
            </w:r>
          </w:p>
        </w:tc>
        <w:tc>
          <w:tcPr>
            <w:tcW w:w="130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5.8.3</w:t>
            </w:r>
          </w:p>
        </w:tc>
        <w:tc>
          <w:tcPr>
            <w:tcW w:w="595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Verificação e transpilação da fonte tipada.</w:t>
            </w:r>
          </w:p>
        </w:tc>
      </w:tr>
      <w:tr>
        <w:trPr>
          <w:cantSplit/>
        </w:trPr>
        <w:tc>
          <w:tcPr>
            <w:tcW w:w="226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ESLint</w:t>
            </w:r>
          </w:p>
        </w:tc>
        <w:tc>
          <w:tcPr>
            <w:tcW w:w="130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10.12.0</w:t>
            </w:r>
          </w:p>
        </w:tc>
        <w:tc>
          <w:tcPr>
            <w:tcW w:w="595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Análise estática com regras TypeScript e de segurança.</w:t>
            </w:r>
          </w:p>
        </w:tc>
      </w:tr>
    </w:tbl>
    <w:p>
      <w:pPr>
        <w:pStyle w:val="Normal"/>
        <w:spacing w:lineRule="auto" w:line="240" w:before="0" w:after="20"/>
        <w:rPr/>
      </w:pPr>
      <w:r>
        <w:rPr/>
      </w:r>
    </w:p>
    <w:p>
      <w:pPr>
        <w:pStyle w:val="Source"/>
        <w:rPr/>
      </w:pPr>
      <w:r>
        <w:rPr/>
        <w:t>Fonte: package.json e package-lock.json, revisão 52c5224; versões resolvidas, não apenas intervalos de atualização do manifesto.</w:t>
      </w:r>
    </w:p>
    <w:p>
      <w:pPr>
        <w:pStyle w:val="Normal"/>
        <w:rPr/>
      </w:pPr>
      <w:r>
        <w:rPr/>
        <w:t>A instalação reproduzível deve usar npm ci na raiz da cópia do projeto, preservando package-lock.json. O comando usa as resoluções do lock e deve falhar se houver incompatibilidade com o manifesto. Para montar o ambiente de build são necessárias as dependências de desenvolvimento, pois TypeScript, tsx, esbuild e ESLint participam das etapas de geração e verificação. O diretório node_modules não pertence à fonte versionada e não deve ser considerado evidência de uma implantação remota.</w:t>
      </w:r>
    </w:p>
    <w:p>
      <w:pPr>
        <w:pStyle w:val="Code"/>
        <w:rPr/>
      </w:pPr>
      <w:r>
        <w:rPr/>
        <w:t>npm ci</w:t>
      </w:r>
    </w:p>
    <w:p>
      <w:pPr>
        <w:pStyle w:val="Code"/>
        <w:rPr/>
      </w:pPr>
      <w:r>
        <w:rPr/>
        <w:t>npx tsc --noEmit</w:t>
      </w:r>
    </w:p>
    <w:p>
      <w:pPr>
        <w:pStyle w:val="Code"/>
        <w:rPr/>
      </w:pPr>
      <w:r>
        <w:rPr/>
        <w:t>npm run lint</w:t>
      </w:r>
    </w:p>
    <w:p>
      <w:pPr>
        <w:pStyle w:val="Code"/>
        <w:rPr/>
      </w:pPr>
      <w:r>
        <w:rPr/>
        <w:t>npm run build</w:t>
      </w:r>
    </w:p>
    <w:p>
      <w:pPr>
        <w:pStyle w:val="Normal"/>
        <w:rPr/>
      </w:pPr>
      <w:r>
        <w:rPr/>
        <w:t>A edição de origem relata reaproveitamento de uma instalação previamente validada após comparação byte a byte de package.json e package-lock.json, que teriam permanecido idênticos; não relata nova instalação ou atualização na rodada final. Preservam-se as contagens informadas de 597 entradas em packages, incluindo a raiz, e 596 dependências. Contagens com definições diferentes não devem ser tratadas como divergência. A preparação editorial da edição 1.1 não reexecuta nem reconfirma esses procedimentos históricos.</w:t>
      </w:r>
    </w:p>
    <w:p>
      <w:pPr>
        <w:pStyle w:val="Source"/>
        <w:rPr/>
      </w:pPr>
      <w:r>
        <w:rPr/>
        <w:t>Fonte: Evidências locais dependency-reuse.json e npm-audit-all.json, 16/10/2026; SHA-256 do lock: 326866e2c2e1de2bd1ff350e229f5e7dff9d9431d778154bc22fa22b9a82bd16.</w:t>
      </w:r>
    </w:p>
    <w:p>
      <w:pPr>
        <w:pStyle w:val="Heading2"/>
        <w:rPr/>
      </w:pPr>
      <w:bookmarkStart w:id="121" w:name="__RefHeading___Toc8808_608013930"/>
      <w:bookmarkEnd w:id="121"/>
      <w:r>
        <w:rPr/>
        <w:t>Comandos e sequência de geração</w:t>
      </w:r>
    </w:p>
    <w:p>
      <w:pPr>
        <w:pStyle w:val="Caption"/>
        <w:keepNext w:val="true"/>
        <w:rPr/>
      </w:pPr>
      <w:r>
        <w:rPr/>
        <w:t xml:space="preserve">Tabela </w:t>
      </w:r>
      <w:bookmarkStart w:id="122" w:name="tbl66"/>
      <w:r>
        <w:rPr/>
        <w:fldChar w:fldCharType="begin"/>
      </w:r>
      <w:r>
        <w:rPr/>
        <w:instrText xml:space="preserve"> SEQ Tabela \* ARABIC </w:instrText>
      </w:r>
      <w:r>
        <w:rPr/>
        <w:fldChar w:fldCharType="separate"/>
      </w:r>
      <w:r>
        <w:rPr/>
        <w:t>66</w:t>
      </w:r>
      <w:r>
        <w:rPr/>
        <w:fldChar w:fldCharType="end"/>
      </w:r>
      <w:bookmarkEnd w:id="122"/>
      <w:r>
        <w:rPr/>
        <w:t xml:space="preserve"> — Comandos declarados e verificações complementares.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Comando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Implementação e finalidade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Observação operacional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npm run dev</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tsx server.ts.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Inicia o Express e o Vite em modo middleware quando NODE_ENV difere de production; depende da configuração Firebase e das chaves obrigatórias.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npm run build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 para injeção SRI para esbuild.</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Gera dist/client e dist/server.cjs; operadores encadeados interrompem a sequência se uma etapa falhar.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npm start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NODE_ENV=production node dist/server.cjs.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Entrega o cliente compilado e a API pelo mesmo processo; requer build prévio.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npm run preview</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 preview.</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Prévia do cliente pelo Vite; não substitui o Express nem reproduz a API monolítica.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npm run lint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ESLint sobre src//*.{ts,tsx} e server//*.ts.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inclui automaticamente server.ts e scripts da raiz em seu glob.</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npx tsc --noEmit</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TypeScript com tsconfig.json.</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Comando de verificação utilizado; não há script test nem script dedicado de typecheck no manifesto.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npx eslint server.ts scripts/inject-sri.ts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Análise estática complementar da entrada e do script SRI.</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Na rodada final: nenhum erro e seis avisos contextuais no script de arquivos.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npm audit --json</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Consulta de advisories das dependências resolvidas.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Resultado observado: zero vulnerabilidades reportadas na data; não examina toda a lógica da aplicação.</w:t>
            </w:r>
          </w:p>
        </w:tc>
      </w:tr>
    </w:tbl>
    <w:p>
      <w:pPr>
        <w:pStyle w:val="Normal"/>
        <w:spacing w:lineRule="auto" w:line="240" w:before="0" w:after="20"/>
        <w:rPr/>
      </w:pPr>
      <w:r>
        <w:rPr/>
      </w:r>
    </w:p>
    <w:p>
      <w:pPr>
        <w:pStyle w:val="Source"/>
        <w:rPr/>
      </w:pPr>
      <w:r>
        <w:rPr/>
        <w:t>Fonte: package.json, tsconfig.json e eslint.config.mjs, revisão 52c5224; comandos e saídas preservados na rodada de qualidade de 16/10/2026.</w:t>
      </w:r>
    </w:p>
    <w:p>
      <w:pPr>
        <w:pStyle w:val="Normal"/>
        <w:rPr/>
      </w:pPr>
      <w:r>
        <w:rPr/>
        <w:t>O build do cliente aplica os plugins React e Tailwind, usa alvo ES2022, minificação esbuild e minificação de CSS. O empacotamento manual separa dependências Firebase, React/ReactDOM e Zod em categorias de chunks. A resolução do preload filtra dependências cujo caminho contém firebase, reduzindo sua antecipação no HTML. Isso não impede o carregamento posterior necessário à autenticação. A interface também utiliza importações lazy e Suspense para postergar áreas que não são necessárias à primeira vista.</w:t>
      </w:r>
    </w:p>
    <w:p>
      <w:pPr>
        <w:pStyle w:val="Normal"/>
        <w:rPr/>
      </w:pPr>
      <w:r>
        <w:rPr/>
        <w:t>A etapa do servidor usa esbuild com plataforma Node, saída CommonJS, dependências externas e sourcemap. São gerados dist/server.cjs e dist/server.cjs.map. O mapa do servidor fica fora de dist/client, que é o diretório estático entregue pelo Express. A aplicação não disponibiliza automaticamente o diretório dist inteiro. A política de retenção dos artefatos de build no ambiente de publicação não está definida por um pipeline versionado.</w:t>
      </w:r>
    </w:p>
    <w:p>
      <w:pPr>
        <w:pStyle w:val="Normal"/>
        <w:rPr/>
      </w:pPr>
      <w:r>
        <w:rPr/>
        <w:t>O tsconfig usa target ES2022, module ESNext, moduleResolution bundler, JSX react-jsx e noEmit. Também permite arquivos JavaScript e importações com extensão TypeScript; skipLibCheck reduz a checagem de declarações de bibliotecas. O alias @/ aponta para a raiz na configuração TypeScript e Vite. Essas opções descrevem a compilação atual; não comprovam adoção de todas as opções estritas possíveis do compilador.</w:t>
      </w:r>
    </w:p>
    <w:p>
      <w:pPr>
        <w:pStyle w:val="Source"/>
        <w:rPr/>
      </w:pPr>
      <w:r>
        <w:rPr/>
        <w:t>Fonte: vite.config.ts, tsconfig.json, src/App.tsx e package.json, revisão 52c5224.</w:t>
      </w:r>
    </w:p>
    <w:p>
      <w:pPr>
        <w:pStyle w:val="Heading2"/>
        <w:rPr/>
      </w:pPr>
      <w:bookmarkStart w:id="123" w:name="__RefHeading___Toc8810_608013930"/>
      <w:bookmarkEnd w:id="123"/>
      <w:r>
        <w:rPr/>
        <w:t>Desenvolvimento, produção e distribuição monolítica</w:t>
      </w:r>
    </w:p>
    <w:p>
      <w:pPr>
        <w:pStyle w:val="Normal"/>
        <w:rPr/>
      </w:pPr>
      <w:r>
        <w:rPr/>
        <w:t>O ponto de entrada importa dotenv/config antes da inicialização dos serviços. O servidor abre em 0.0.0.0 na porta fixa 3000. Não há leitura de process.env.PORT nesta revisão. A configuração de publicação precisa encaminhar o tráfego para essa porta ou fornecer uma camada de execução compatível; não se deve documentar um comportamento automático de porta variável inexistente. Antes de escutar, o processo valida as chaves obrigatórias, inicializa Firebase Admin e aguarda initCache.</w:t>
      </w:r>
    </w:p>
    <w:p>
      <w:pPr>
        <w:pStyle w:val="Caption"/>
        <w:keepNext w:val="true"/>
        <w:rPr/>
      </w:pPr>
      <w:r>
        <w:rPr/>
        <w:t xml:space="preserve">Tabela </w:t>
      </w:r>
      <w:bookmarkStart w:id="124" w:name="tbl67"/>
      <w:r>
        <w:rPr/>
        <w:fldChar w:fldCharType="begin"/>
      </w:r>
      <w:r>
        <w:rPr/>
        <w:instrText xml:space="preserve"> SEQ Tabela \* ARABIC </w:instrText>
      </w:r>
      <w:r>
        <w:rPr/>
        <w:fldChar w:fldCharType="separate"/>
      </w:r>
      <w:r>
        <w:rPr/>
        <w:t>67</w:t>
      </w:r>
      <w:r>
        <w:rPr/>
        <w:fldChar w:fldCharType="end"/>
      </w:r>
      <w:bookmarkEnd w:id="124"/>
      <w:r>
        <w:rPr/>
        <w:t xml:space="preserve"> — Comportamentos por modo de execução.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Aspecto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Desenvolvimento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Produção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Seleção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NODE_ENV diferente de production.</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NODE_ENV igual a production, definido pelo script start.</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Cliente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 com middlewareMode e appType spa dentro do Express.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Arquivos de dist/client entregues por express.static.</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Atualização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HMR habilitado por padrão; DISABLE_HMR=true o desativa e ajusta watch.</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há servidor HMR; conteúdo depende de nova geração e publicação.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Estilos e CSP</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style-src e style-src-elem admitem unsafe-inline.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Essas diretivas removem a exceção de desenvolvimento; style-src-attr conserva sua própria permissão.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Fallback</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Tratado pelo middleware SPA do Vite.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GET genérico devolve index.html, exceto .well-known ausente.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Distribuição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Fonte executada com tsx e dependências de desenvolvimento.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Bundle Node, cliente compilado e dependências externas compatíveis.</w:t>
            </w:r>
          </w:p>
        </w:tc>
      </w:tr>
    </w:tbl>
    <w:p>
      <w:pPr>
        <w:pStyle w:val="Normal"/>
        <w:spacing w:lineRule="auto" w:line="240" w:before="0" w:after="20"/>
        <w:rPr/>
      </w:pPr>
      <w:r>
        <w:rPr/>
      </w:r>
    </w:p>
    <w:p>
      <w:pPr>
        <w:pStyle w:val="Normal"/>
        <w:keepNext w:val="true"/>
        <w:jc w:val="center"/>
        <w:rPr/>
      </w:pPr>
      <w:r>
        <w:rPr/>
        <w:drawing>
          <wp:inline distT="0" distB="0" distL="0" distR="0">
            <wp:extent cx="4210050" cy="5760085"/>
            <wp:effectExtent l="0" t="0" r="0" b="0"/>
            <wp:docPr id="7" name="Picture 7" descr="npm ci instala dependências; Vite, SRI e esbuild geram cliente e servidor. Express em produção entrega recursos estáticos e API; desenvolvimento utiliza tsx e middleware Vi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pm ci instala dependências; Vite, SRI e esbuild geram cliente e servidor. Express em produção entrega recursos estáticos e API; desenvolvimento utiliza tsx e middleware Vite." title="Figura 5"/>
                    <pic:cNvPicPr>
                      <a:picLocks noChangeAspect="1" noChangeArrowheads="1"/>
                    </pic:cNvPicPr>
                  </pic:nvPicPr>
                  <pic:blipFill>
                    <a:blip r:embed="rId12"/>
                    <a:stretch>
                      <a:fillRect/>
                    </a:stretch>
                  </pic:blipFill>
                  <pic:spPr bwMode="auto">
                    <a:xfrm>
                      <a:off x="0" y="0"/>
                      <a:ext cx="4210050" cy="5760085"/>
                    </a:xfrm>
                    <a:prstGeom prst="rect">
                      <a:avLst/>
                    </a:prstGeom>
                    <a:noFill/>
                  </pic:spPr>
                </pic:pic>
              </a:graphicData>
            </a:graphic>
          </wp:inline>
        </w:drawing>
      </w:r>
    </w:p>
    <w:p>
      <w:pPr>
        <w:pStyle w:val="Caption"/>
        <w:rPr/>
      </w:pPr>
      <w:r>
        <w:rPr/>
        <w:t xml:space="preserve">Figura </w:t>
      </w:r>
      <w:bookmarkStart w:id="125" w:name="fig5"/>
      <w:r>
        <w:rPr/>
        <w:fldChar w:fldCharType="begin"/>
      </w:r>
      <w:r>
        <w:rPr/>
        <w:instrText xml:space="preserve"> SEQ Figura \* ARABIC </w:instrText>
      </w:r>
      <w:r>
        <w:rPr/>
        <w:fldChar w:fldCharType="separate"/>
      </w:r>
      <w:r>
        <w:rPr/>
        <w:t>5</w:t>
      </w:r>
      <w:r>
        <w:rPr/>
        <w:fldChar w:fldCharType="end"/>
      </w:r>
      <w:bookmarkEnd w:id="125"/>
      <w:r>
        <w:rPr/>
        <w:t xml:space="preserve"> — Geração, distribuição e encaminhamento das requisições no monólito CRA-SP Educa.</w:t>
      </w:r>
    </w:p>
    <w:p>
      <w:pPr>
        <w:pStyle w:val="Source"/>
        <w:rPr/>
      </w:pPr>
      <w:r>
        <w:rPr/>
        <w:t>Descrição: npm ci instala dependências; Vite, SRI e esbuild geram cliente e servidor. Express em produção entrega recursos estáticos e API; desenvolvimento utiliza tsx e middleware Vite.</w:t>
      </w:r>
    </w:p>
    <w:p>
      <w:pPr>
        <w:pStyle w:val="Source"/>
        <w:rPr/>
      </w:pPr>
      <w:r>
        <w:rPr/>
        <w:t>Fonte: package.json, vite.config.ts e server.ts, revisão 52c5224. Cloud Run é a hospedagem declarada no AGENTS.md.</w:t>
      </w:r>
    </w:p>
    <w:p>
      <w:pPr>
        <w:pStyle w:val="Normal"/>
        <w:rPr/>
      </w:pPr>
      <w:r>
        <w:rPr/>
        <w:t>O modelo de hospedagem definido pelo projeto é Cloud Run, com frontend e backend no mesmo serviço. Não foram identificados Dockerfile, configuração de Cloud Build, workflow de GitHub Actions, manifesto do serviço Cloud Run ou arquivo de Terraform no pacote recebido. O diretório data-plane-iac contém regras de acesso dos serviços Firebase. Não descreve região, CPU, memória, concorrência, número de instâncias, identidades IAM, política de revisão ou estratégia de rollback da hospedagem.</w:t>
      </w:r>
    </w:p>
    <w:p>
      <w:pPr>
        <w:pStyle w:val="Normal"/>
        <w:rPr/>
      </w:pPr>
      <w:r>
        <w:rPr/>
        <w:t>O metadata.json pertence ao contexto de origem do AI Studio. Seus campos declaram nome, descrição e uma capacidade de Gemini, mas não especificam um pipeline de publicação. A presença de GEMINI_API_KEY no exemplo de ambiente também não demonstra chamadas de inteligência artificial implementadas. Esses elementos permanecem no inventário, classificados conforme seu uso efetivo.</w:t>
      </w:r>
    </w:p>
    <w:p>
      <w:pPr>
        <w:pStyle w:val="Normal"/>
        <w:rPr/>
      </w:pPr>
      <w:r>
        <w:rPr/>
        <w:t>A publicação requer manter o cliente, o servidor e as dependências da mesma revisão. A confirmação da versão em produção deve utilizar a identificação real da revisão implantada e o histórico do ambiente. As capturas dos scanners comprovam seus resultados nas datas exibidas; não contêm uma associação verificável ao commit desta documentação. A declaração do responsável de que a versão final foi sincronizada é informação complementar, distinta de uma inspeção técnica do serviço remoto.</w:t>
      </w:r>
    </w:p>
    <w:p>
      <w:pPr>
        <w:pStyle w:val="Source"/>
        <w:rPr/>
      </w:pPr>
      <w:r>
        <w:rPr/>
        <w:t>Fonte: AGENTS.md, seções 4 e 8; inventário dos 140 arquivos; metadata.json; server.ts, revisão 52c5224; informações fornecidas pelo responsável.</w:t>
      </w:r>
    </w:p>
    <w:p>
      <w:pPr>
        <w:pStyle w:val="Heading2"/>
        <w:rPr/>
      </w:pPr>
      <w:bookmarkStart w:id="126" w:name="__RefHeading___Toc8812_608013930"/>
      <w:bookmarkEnd w:id="126"/>
      <w:r>
        <w:rPr/>
        <w:t>Variáveis, credenciais e precedência</w:t>
      </w:r>
    </w:p>
    <w:p>
      <w:pPr>
        <w:pStyle w:val="Normal"/>
        <w:rPr/>
      </w:pPr>
      <w:r>
        <w:rPr/>
        <w:t>As variáveis com prefixo VITE são lidas pelo código do navegador durante a geração do cliente. Elas integram o bundle e não devem conter chaves privadas ou segredos administrativos. A configuração pública do Firebase identifica o projeto e o provedor de autenticação, enquanto a autorização de dados continua no backend. Alterar essas variáveis somente no runtime depois do build não recompila o JavaScript já gerado.</w:t>
      </w:r>
    </w:p>
    <w:p>
      <w:pPr>
        <w:pStyle w:val="Caption"/>
        <w:keepNext w:val="true"/>
        <w:rPr/>
      </w:pPr>
      <w:r>
        <w:rPr/>
        <w:t xml:space="preserve">Tabela </w:t>
      </w:r>
      <w:bookmarkStart w:id="127" w:name="tbl68"/>
      <w:r>
        <w:rPr/>
        <w:fldChar w:fldCharType="begin"/>
      </w:r>
      <w:r>
        <w:rPr/>
        <w:instrText xml:space="preserve"> SEQ Tabela \* ARABIC </w:instrText>
      </w:r>
      <w:r>
        <w:rPr/>
        <w:fldChar w:fldCharType="separate"/>
      </w:r>
      <w:r>
        <w:rPr/>
        <w:t>68</w:t>
      </w:r>
      <w:r>
        <w:rPr/>
        <w:fldChar w:fldCharType="end"/>
      </w:r>
      <w:bookmarkEnd w:id="127"/>
      <w:r>
        <w:rPr/>
        <w:t xml:space="preserve"> — Configuração consumida, finalidade e precedência.</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Nome ou grupo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Leitura e finalidade</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Condição e tratamento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VITE_FIREBASE_API_KEY; VITE_FIREBASE_AUTH_DOMAIN</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src/lib/firebase.ts: configuração do Firebase e do Auth cliente.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Fornecidas ao build. Identificadores públicos; não substituem credenciais administrativas.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VITE_FIREBASE_PROJECT_ID; VITE_FIREBASE_APP_ID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src/lib/firebase.ts: identificação do projeto e da aplicação.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Fornecidas ao build; não há seleção dinâmica de projeto pelo usuário.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VITE_FIREBASE_STORAGE_BUCKET</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Cliente e server.ts: bucket de Storage.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Necessária ao vínculo correto do armazenamento; é utilizada também pelo Admin na inicialização.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VITE_FIREBASE_MESSAGING_SENDER_ID; VITE_FIREBASE_MEASUREMENT_ID</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Campos do objeto de configuração cliente.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 presença dos campos não comprova uso de mensagens ou de Analytics; não há inicialização desses produtos no módulo.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FIREBASE_ADMIN_CREDENTIALS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JSON da conta de serviço primária.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É substituído pelo conteúdo de /secrets/firebase-credentials.json quando esse volume existe. Ausência ou configuração inválida aborta a inicialização.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FIREBASE_COFRE_CREDENTIALS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JSON de conta de serviço do projeto secundário vaultProject.</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Consumida, mas ausente do .env.example. Falha registra alerta e não encerra o serviço principal.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HMAC_PEPPER_KEY</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server.ts e utilitários de proteção dos identificadores.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Obrigatória; ausência aborta o processo. Seu valor não deve ser incluído em documento ou bundle.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VAULT_ENCRYPTION_KEY</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server.ts e server/services/crypto.ts, para AES-256-GCM.</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Obrigatória; bootstrap e getKey exigem comprimento 64. O serviço decodifica como hexadecimal; createCipheriv requer uma chave AES válida de 32 bytes.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NODE_ENV</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Seleciona desenvolvimento ou produção e condicionais da CSP.</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script start define production; dev não força esse valor.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DISABLE_HMR</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vite.config.ts, configuração de desenvolvimento.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Somente a string true desativa HMR no trecho implementado.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GEMINI_API_KEY; APP_URL</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Constam no .env.example.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foram identificadas leituras pela aplicação documentada; não tratá-las como integração executada.</w:t>
            </w:r>
          </w:p>
        </w:tc>
      </w:tr>
    </w:tbl>
    <w:p>
      <w:pPr>
        <w:pStyle w:val="Normal"/>
        <w:spacing w:lineRule="auto" w:line="240" w:before="0" w:after="20"/>
        <w:rPr/>
      </w:pPr>
      <w:r>
        <w:rPr/>
      </w:r>
    </w:p>
    <w:p>
      <w:pPr>
        <w:pStyle w:val="Source"/>
        <w:rPr/>
      </w:pPr>
      <w:r>
        <w:rPr/>
        <w:t>Fonte: .env.example; src/lib/firebase.ts; server.ts; server/services/crypto.ts; server/utils/sanitizers.ts; server/controllers/usuariosSuporteController.ts; vite.config.ts, revisão 52c5224.</w:t>
      </w:r>
    </w:p>
    <w:p>
      <w:pPr>
        <w:pStyle w:val="Normal"/>
        <w:rPr/>
      </w:pPr>
      <w:r>
        <w:rPr/>
        <w:t>O arquivo de exemplo não é uma lista completa do runtime: FIREBASE_COFRE_CREDENTIALS é efetivamente consumida e não aparece nele. NODE_ENV e DISABLE_HMR também participam das condicionais do código. Em contrapartida, GEMINI_API_KEY e APP_URL estão exemplificadas sem leitura identificada. Na transferência de operação, a lista deve ser montada a partir dos consumidores reais, preservando essa diferença. O .gitignore exclui arquivos .env, com exceção de .env.example, além de node_modules, dist, logs e arquivos .cjs.</w:t>
      </w:r>
    </w:p>
    <w:p>
      <w:pPr>
        <w:pStyle w:val="Normal"/>
        <w:rPr/>
      </w:pPr>
      <w:r>
        <w:rPr/>
        <w:t>Na inicialização primária, o conteúdo JSON é interpretado, sequências literais de quebra de linha da chave privada são normalizadas e campos mínimos são verificados antes de cert(). Se houver arquivo no volume de Secrets, ele tem precedência sobre a variável. Um arquivo inválido não aciona fallback automático para outra credencial, pois a falha aborta a inicialização. No cofre, a interpretação ocorre em bloco próprio: falha de configuração é registrada sem expor o conteúdo e sem derrubar a instância primária.</w:t>
      </w:r>
    </w:p>
    <w:p>
      <w:pPr>
        <w:pStyle w:val="Normal"/>
        <w:rPr/>
      </w:pPr>
      <w:r>
        <w:rPr/>
        <w:t>O responsável declarou que os segredos e as chaves estão corretamente configurados no AI Studio e no Cloud Run. A documentação registra essa declaração; não inspecionou os valores nem as permissões do Secret Manager. Rotação de pepper ou de chave de cifragem precisa considerar os dados existentes: mudar o valor pode impedir correspondência de hashes ou leitura de registros cifrados. Não existe procedimento versionado completo de migração criptográfica, agendamento de rotação ou recuperação de chaves no pacote.</w:t>
      </w:r>
    </w:p>
    <w:p>
      <w:pPr>
        <w:pStyle w:val="Source"/>
        <w:rPr/>
      </w:pPr>
      <w:r>
        <w:rPr/>
        <w:t>Fonte: server.ts, server/services/crypto.ts e .gitignore, revisão 52c5224; declaração do responsável sobre Secrets.</w:t>
      </w:r>
    </w:p>
    <w:p>
      <w:pPr>
        <w:pStyle w:val="Heading2"/>
        <w:rPr/>
      </w:pPr>
      <w:bookmarkStart w:id="128" w:name="__RefHeading___Toc8814_608013930"/>
      <w:bookmarkEnd w:id="128"/>
      <w:r>
        <w:rPr/>
        <w:t>Serviços de dados, manutenção e continuidade</w:t>
      </w:r>
    </w:p>
    <w:p>
      <w:pPr>
        <w:pStyle w:val="Normal"/>
        <w:rPr/>
      </w:pPr>
      <w:r>
        <w:rPr/>
        <w:t>As regras versionadas de Firestore e Storage negam toda leitura e escrita por clientes submetidos às regras. O Admin SDK opera com a identidade administrativa e não é limitado por essas regras de cliente. Portanto, a aplicação depende simultaneamente dos controles de autorização do Express e das permissões IAM das identidades de serviço. A documentação confirma os arquivos recebidos, sem alegar que uma implantação remota dessas regras foi inspecionada ou que as permissões IAM foram enumeradas.</w:t>
      </w:r>
    </w:p>
    <w:p>
      <w:pPr>
        <w:pStyle w:val="Normal"/>
        <w:rPr/>
      </w:pPr>
      <w:r>
        <w:rPr/>
        <w:t>O armazenamento em RAM é por processo. O cold start lê paginaPublica/parte1 e não antecipa os catálogos completos. Cursos, vagas e e-MEC são obtidos em sua primeira demanda, concatenando documentos parte* e preservando os arrays em memória. O TTL de trinta minutos se aplica à página pública; os catálogos não possuem o mesmo mecanismo periódico de atualização. Renovar a instância limpa esse estado. Uma operação de atualização de catálogo precisa considerar qual instância responderá às próximas consultas e não presumir invalidação distribuída automática.</w:t>
      </w:r>
    </w:p>
    <w:p>
      <w:pPr>
        <w:pStyle w:val="Normal"/>
        <w:rPr/>
      </w:pPr>
      <w:r>
        <w:rPr/>
        <w:t>O cofre é uma gravação secundária de leads e não participa de uma transação distribuída com o banco primário. Sua falha não deve impedir a jornada principal. Essa escolha requer acompanhamento dos alertas de escrita e um processo administrativo para reconciliar eventuais diferenças. O código não contém um job persistente de reprocessamento, nem demonstra uma garantia de entrega exatamente uma vez entre os dois projetos.</w:t>
      </w:r>
    </w:p>
    <w:p>
      <w:pPr>
        <w:pStyle w:val="Normal"/>
        <w:rPr/>
      </w:pPr>
      <w:r>
        <w:rPr/>
        <w:t>Também não foram identificados scripts versionados de backup, restauração, política de retenção, agendamento de limpeza de objetos órfãos ou endpoint de healthcheck dedicado. O processo administrativo externo aprova certificados e efetua a passagem de EM_ANALISE para CONCLUIDO, conforme informado pelo responsável. A inexistência dessa função no frontend não representa uma promessa de aprovação automática. As responsabilidades externas devem acompanhar a operação, com responsáveis e evidências próprios.</w:t>
      </w:r>
    </w:p>
    <w:p>
      <w:pPr>
        <w:pStyle w:val="Source"/>
        <w:rPr/>
      </w:pPr>
      <w:r>
        <w:rPr/>
        <w:t>Fonte: data-plane-iac/firestore.rules; data-plane-iac/storage.rules; server/services/cache.ts; server/services/vault.ts, revisão 52c5224; informação do responsável sobre aprovação administrativa.</w:t>
      </w:r>
    </w:p>
    <w:p>
      <w:pPr>
        <w:pStyle w:val="Caption"/>
        <w:keepNext w:val="true"/>
        <w:rPr/>
      </w:pPr>
      <w:r>
        <w:rPr/>
        <w:t xml:space="preserve">Tabela </w:t>
      </w:r>
      <w:bookmarkStart w:id="129" w:name="tbl69"/>
      <w:r>
        <w:rPr/>
        <w:fldChar w:fldCharType="begin"/>
      </w:r>
      <w:r>
        <w:rPr/>
        <w:instrText xml:space="preserve"> SEQ Tabela \* ARABIC </w:instrText>
      </w:r>
      <w:r>
        <w:rPr/>
        <w:fldChar w:fldCharType="separate"/>
      </w:r>
      <w:r>
        <w:rPr/>
        <w:t>69</w:t>
      </w:r>
      <w:r>
        <w:rPr/>
        <w:fldChar w:fldCharType="end"/>
      </w:r>
      <w:bookmarkEnd w:id="129"/>
      <w:r>
        <w:rPr/>
        <w:t xml:space="preserve"> — Referência para diagnóstico operacional sem alterar dados.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Sintoma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Verificação inicial</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Limite ou encaminhamento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Processo não inicia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Conferir runtime compatível, artefatos e mensagens fatais de configuração.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imprimir valores das chaves; separar erro de JSON, volume ausente e configuração criptográfica.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Cliente carrega, mas API falha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Confirmar que o acesso passa pelo Express, não apenas por vite preview.</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Examinar status e Content-Type; HTML 200 de fallback não equivale a sucesso de API.</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Catálogo parece desatualizado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Conferir fonte materializada, estado da instância e mecanismo de carregamento.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RAM não é cache distribuído; catálogo completo e página pública têm políticas distintas.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Widget de Libras indisponível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Conferir rede, SRI, CSP e disponibilidade de window.VLibras.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Preservar verificação de integridade e DOM do fornecedor; mudanças requerem diagnóstico específico.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Upload falhou na transição de status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Distinguir gravação do arquivo e PATCH de conclusão.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cliente pode reaproveitar o caminho já enviado; evitar instruir reenvio indiscriminado.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Alerta de cofre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Conferir disponibilidade do projeto secundário e identidade configurada.</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presumir reversão do banco primário nem reprocessamento automático durável.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 sem vínculo confirmado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Identificar objeto e estado de negócio antes de qualquer limpeza.</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processo externo de órfãos não foi verificado; não excluir certificados válidos por uma regra genérica de idade.</w:t>
            </w:r>
          </w:p>
        </w:tc>
      </w:tr>
    </w:tbl>
    <w:p>
      <w:pPr>
        <w:pStyle w:val="Normal"/>
        <w:spacing w:lineRule="auto" w:line="240" w:before="0" w:after="20"/>
        <w:rPr/>
      </w:pPr>
      <w:r>
        <w:rPr/>
      </w:r>
    </w:p>
    <w:p>
      <w:pPr>
        <w:pStyle w:val="Source"/>
        <w:rPr/>
      </w:pPr>
      <w:r>
        <w:rPr/>
        <w:t>Fonte: Implementação e limites observados na revisão 52c5224; procedimentos descritos como orientação de diagnóstico, sem execução de operações de produção.</w:t>
      </w:r>
    </w:p>
    <w:p>
      <w:pPr>
        <w:pStyle w:val="Heading2"/>
        <w:rPr/>
      </w:pPr>
      <w:bookmarkStart w:id="130" w:name="__RefHeading___Toc8816_608013930"/>
      <w:bookmarkEnd w:id="130"/>
      <w:r>
        <w:rPr/>
        <w:t>Testes disponíveis e resultados históricos relatados</w:t>
      </w:r>
    </w:p>
    <w:p>
      <w:pPr>
        <w:pStyle w:val="Normal"/>
        <w:rPr/>
      </w:pPr>
      <w:r>
        <w:rPr/>
        <w:t>A fonte técnica descrita não inclui uma suíte de testes versionada nem comando npm test. O Word de origem relata scripts e resultados locais de auditoria mantidos fora do código da aplicação. A tabela seguinte preserva seus números, revisões, métodos e limitações como histórico documental; os scripts e relatórios brutos não foram recebidos para esta edição. Esses registros não constituem rotina de CI existente, cobertura global ou prova de execução contínua após cada mudança.</w:t>
      </w:r>
    </w:p>
    <w:p>
      <w:pPr>
        <w:pStyle w:val="Caption"/>
        <w:keepNext w:val="true"/>
        <w:rPr/>
      </w:pPr>
      <w:r>
        <w:rPr/>
        <w:t xml:space="preserve">Tabela </w:t>
      </w:r>
      <w:bookmarkStart w:id="131" w:name="tbl70"/>
      <w:r>
        <w:rPr/>
        <w:fldChar w:fldCharType="begin"/>
      </w:r>
      <w:r>
        <w:rPr/>
        <w:instrText xml:space="preserve"> SEQ Tabela \* ARABIC </w:instrText>
      </w:r>
      <w:r>
        <w:rPr/>
        <w:fldChar w:fldCharType="separate"/>
      </w:r>
      <w:r>
        <w:rPr/>
        <w:t>70</w:t>
      </w:r>
      <w:r>
        <w:rPr/>
        <w:fldChar w:fldCharType="end"/>
      </w:r>
      <w:bookmarkEnd w:id="131"/>
      <w:r>
        <w:rPr/>
        <w:t xml:space="preserve"> — Resultados locais relatados na edição de origem e alcance informado.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Rodada e revisão</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 observado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Escopo e limitações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Qualidade, 16/10/2026; 52c5224</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Build, TypeScript, lint, lint complementar e npm audit com código de saída 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Arquivos da cópia de trabalho conferem byte a byte com os 140 arquivos congelados. Dependências foram reaproveitadas após comparação dos manifests.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Integridade, 16/10/2026; 52c5224</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Três referências do HTML com hashes coincidentes e crossorigin.</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Dois JavaScripts e um CSS do build local; não comprova integridade de todo recurso remoto transitivo.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Smoke HTTP, 16/10/2026; 52c5224</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Nove verificações do servidor compilado.</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Serviços Firebase simulados, chaves sintéticas e loopback; HTML, asset, manifestos, rotas públicas, parsers e fallback.</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e identidade de vagas, 16/10/2026; 52c5224</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21 cenários aprovados; zero falhas.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Módulos reais e dados sintéticos, com Firebase simulado; TTL, concorrência, retry, carregamento sob demanda e identidade canônica.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Instituições e FAQ, 16/10/2026; 52c5224</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529 asserções aprovadas; nenhum pageerror.</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Chromium 154; larguras 390/1280 px, temas normal/alto contraste; componentes e CSS real do build. Não é teste de todo o site.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4d5665c, rodada preservada de 16/10/2026</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99 provas dirigidas aprovadas.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 Admin SDK real com tokens/contas sintéticos e dependências controladas; cinco arquivos de rotas permanecem idênticos no 52c5224.</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Middlewares; 4d5665c, rodada preservada de 16/10/2026</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16 provas aprovadas.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Trechos de borda e erros exercitados localmente; não validam topologia de proxy nem Secrets remotos.</w:t>
            </w:r>
          </w:p>
        </w:tc>
      </w:tr>
    </w:tbl>
    <w:p>
      <w:pPr>
        <w:pStyle w:val="Normal"/>
        <w:spacing w:lineRule="auto" w:line="240" w:before="0" w:after="20"/>
        <w:rPr/>
      </w:pPr>
      <w:r>
        <w:rPr/>
      </w:r>
    </w:p>
    <w:p>
      <w:pPr>
        <w:pStyle w:val="Normal"/>
        <w:rPr/>
      </w:pPr>
      <w:r>
        <w:rPr/>
        <w:t>Fonte histórica citada no Word de origem: results.json, sri-results.json, smoke-production-stub-results.json, cache-ids/results.json, frontend/focused-results.json e relatorio-auth.md; execuções informadas como locais em 16/10/2026, com revisões identificadas. Arquivos brutos não fornecidos nesta edição.</w:t>
      </w:r>
    </w:p>
    <w:p>
      <w:pPr>
        <w:pStyle w:val="Normal"/>
        <w:rPr/>
      </w:pPr>
      <w:r>
        <w:rPr/>
        <w:t>Segundo o relatório resumido no Word de origem, o smoke recebeu 200 para HTML, asset, manifesto existente e duas rotas públicas com dados simulados; 404 para manifesto ausente; 400 para JSON inválido; e 413 para JSON acima do limite. Também teria confirmado o retorno de HTML com status 200 para GET desconhecido de API pelo fallback. Preservam-se esses resultados como histórico, sem nova execução nesta edição; o fallback não comprova existência do endpoint solicitado.</w:t>
      </w:r>
    </w:p>
    <w:p>
      <w:pPr>
        <w:pStyle w:val="Normal"/>
        <w:rPr/>
      </w:pPr>
      <w:r>
        <w:rPr/>
        <w:t>O Word de origem relata que a matriz de cache verificou inicialização mais primeiro GET com uma leitura pública, doze consumidores concorrentes compartilhando a promessa, reutilização no limite de trinta minutos e atualização após ultrapassá-lo. Os casos informados incluem falha de carregamento e nova tentativa; nas vagas, preservação de id, uso alternativo de codigoDaVaga, descarte de registros sem identidade e colisão entre alias e identificador de outro registro, mantendo a seleção canônica. O relatório bruto dessa matriz não foi fornecido nesta edição.</w:t>
      </w:r>
    </w:p>
    <w:p>
      <w:pPr>
        <w:pStyle w:val="Normal"/>
        <w:rPr/>
      </w:pPr>
      <w:r>
        <w:rPr/>
        <w:t>As 529 asserções de frontend relatadas no Word de origem referem-se a Institutions e FaqAccordion: foco visível em links, navegação de ida e volta, expansão e presença da resposta na árvore de acessibilidade. A fonte informa uso dos componentes originais e do CSS do build daquela rodada, com dados e logos sintéticos. O relatório bruto não foi fornecido nesta edição. Esses resultados não equivalem a avaliação humana com leitor de tela, teste de forced-colors do sistema operacional ou certificação WCAG de todas as páginas.</w:t>
      </w:r>
    </w:p>
    <w:p>
      <w:pPr>
        <w:pStyle w:val="Normal"/>
        <w:rPr/>
      </w:pPr>
      <w:r>
        <w:rPr/>
        <w:t>A edição de origem relata provas anteriores de autenticação com SDK real para expiração, revogação e conta desativada, cenário sintético de assinatura e consultas controladas. Também informa comparação dos cinco arquivos que contêm onze pontos verifyIdToken, sem diferença entre 4d5665c e 52c5224. Esses registros são preservados com suas revisões e métodos; os relatórios não foram recebidos nesta edição, e sua menção não representa nova execução integral da revisão final.</w:t>
      </w:r>
    </w:p>
    <w:p>
      <w:pPr>
        <w:pStyle w:val="Normal"/>
        <w:rPr/>
      </w:pPr>
      <w:r>
        <w:rPr/>
        <w:t>Fonte histórica citada no Word de origem: relatórios locais de cache, frontend e autenticação; revisão 52c5224 comparada a 4d5665c. Relatórios brutos não fornecidos para a edição 1.1.</w:t>
      </w:r>
    </w:p>
    <w:p>
      <w:pPr>
        <w:pStyle w:val="Heading3"/>
        <w:rPr/>
      </w:pPr>
      <w:r>
        <w:rPr/>
        <w:t>Verificação executada nesta edição</w:t>
      </w:r>
    </w:p>
    <w:p>
      <w:pPr>
        <w:pStyle w:val="Normal"/>
        <w:rPr/>
      </w:pPr>
      <w:r>
        <w:rPr/>
        <w:t>Em 16/10/2026, às 23h16 (America/Sao_Paulo; equivalente a 17/10/2026, às 02h16 UTC), foram executadas novas verificações no ambiente de documentação, com Node.js 24.19.0 e npm 11.9.0. As dependências existentes foram reutilizadas. A revisão executada difere do código de referência somente pelo documento Word de teste; código, manifesto e lockfile permaneceram inalterados.</w:t>
      </w:r>
    </w:p>
    <w:p>
      <w:pPr>
        <w:pStyle w:val="Normal"/>
        <w:keepNext w:val="true"/>
        <w:rPr/>
      </w:pPr>
      <w:r>
        <w:rPr>
          <w:b/>
        </w:rPr>
        <w:t>npm run build — Aprovado · saída 0</w:t>
      </w:r>
    </w:p>
    <w:p>
      <w:pPr>
        <w:pStyle w:val="Normal"/>
        <w:rPr/>
      </w:pPr>
      <w:r>
        <w:rPr/>
        <w:t>Gerou o cliente Vite, injetou SRI e empacotou o servidor com esbuild. Não comprova funcionamento das integrações.</w:t>
      </w:r>
    </w:p>
    <w:p>
      <w:pPr>
        <w:pStyle w:val="Normal"/>
        <w:keepNext w:val="true"/>
        <w:rPr/>
      </w:pPr>
      <w:r>
        <w:rPr>
          <w:b/>
        </w:rPr>
        <w:t>npx --no-install tsc --noEmit — Aprovado · saída 0</w:t>
      </w:r>
    </w:p>
    <w:p>
      <w:pPr>
        <w:pStyle w:val="Normal"/>
        <w:rPr/>
      </w:pPr>
      <w:r>
        <w:rPr/>
        <w:t>Checagem estática com o tsconfig versionado.</w:t>
      </w:r>
    </w:p>
    <w:p>
      <w:pPr>
        <w:pStyle w:val="Normal"/>
        <w:keepNext w:val="true"/>
        <w:rPr/>
      </w:pPr>
      <w:r>
        <w:rPr>
          <w:b/>
        </w:rPr>
        <w:t>npm run lint — Aprovado · saída 0</w:t>
      </w:r>
    </w:p>
    <w:p>
      <w:pPr>
        <w:pStyle w:val="Normal"/>
        <w:rPr/>
      </w:pPr>
      <w:r>
        <w:rPr/>
        <w:t>Script ESLint versionado para src e server.</w:t>
      </w:r>
    </w:p>
    <w:p>
      <w:pPr>
        <w:pStyle w:val="Normal"/>
        <w:keepNext w:val="true"/>
        <w:rPr/>
      </w:pPr>
      <w:r>
        <w:rPr>
          <w:b/>
        </w:rPr>
        <w:t>Conferência SRI dos artefatos — Aprovada · 3 recursos</w:t>
      </w:r>
    </w:p>
    <w:p>
      <w:pPr>
        <w:pStyle w:val="Normal"/>
        <w:rPr/>
      </w:pPr>
      <w:r>
        <w:rPr/>
        <w:t>SHA-384 de dois JavaScripts e um CSS conferido contra o HTML recém-gerado; crossorigin presente.</w:t>
      </w:r>
    </w:p>
    <w:p>
      <w:pPr>
        <w:pStyle w:val="Normal"/>
        <w:keepNext w:val="true"/>
        <w:rPr/>
      </w:pPr>
      <w:r>
        <w:rPr>
          <w:b/>
        </w:rPr>
        <w:t>npm start — Bloqueado · saída 1</w:t>
      </w:r>
    </w:p>
    <w:p>
      <w:pPr>
        <w:pStyle w:val="Normal"/>
        <w:rPr/>
      </w:pPr>
      <w:r>
        <w:rPr/>
        <w:t>Inicialização interrompida por HMAC_PEPPER_KEY ausente. Credenciais Firebase e demais configurações obrigatórias também não estão injetadas; API, autenticação e acesso aos dados não foram validados em funcionamento.</w:t>
      </w:r>
    </w:p>
    <w:p>
      <w:pPr>
        <w:pStyle w:val="Source"/>
        <w:rPr/>
      </w:pPr>
      <w:r>
        <w:rPr/>
        <w:t>Fonte: registros desta rodada em 16/10/2026, 23h16 America/Sao_Paulo; conferência dos códigos de saída, dos hashes dos manifests e dos recursos locais. Não foram reexecutados npm audit, scanners externos ou as suítes históricas descritas acima.</w:t>
      </w:r>
    </w:p>
    <w:p>
      <w:pPr>
        <w:pStyle w:val="Heading2"/>
        <w:rPr/>
      </w:pPr>
      <w:bookmarkStart w:id="132" w:name="__RefHeading___Toc8818_608013930"/>
      <w:bookmarkEnd w:id="132"/>
      <w:r>
        <w:rPr/>
        <w:t>Métricas estáticas e interpretação dos avisos</w:t>
      </w:r>
    </w:p>
    <w:p>
      <w:pPr>
        <w:pStyle w:val="Caption"/>
        <w:keepNext w:val="true"/>
        <w:rPr/>
      </w:pPr>
      <w:r>
        <w:rPr/>
        <w:t xml:space="preserve">Tabela </w:t>
      </w:r>
      <w:bookmarkStart w:id="133" w:name="tbl71"/>
      <w:r>
        <w:rPr/>
        <w:fldChar w:fldCharType="begin"/>
      </w:r>
      <w:r>
        <w:rPr/>
        <w:instrText xml:space="preserve"> SEQ Tabela \* ARABIC </w:instrText>
      </w:r>
      <w:r>
        <w:rPr/>
        <w:fldChar w:fldCharType="separate"/>
      </w:r>
      <w:r>
        <w:rPr/>
        <w:t>71</w:t>
      </w:r>
      <w:r>
        <w:rPr/>
        <w:fldChar w:fldCharType="end"/>
      </w:r>
      <w:bookmarkEnd w:id="133"/>
      <w:r>
        <w:rPr/>
        <w:t xml:space="preserve"> — Indicadores de manutenção e análise estática.</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Indicador</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Resultado</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Interpretação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Arquivos TS/TSX medidos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115; nenhum acima de 300 linhas.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maior é server.ts, com 286 linhas. Não extrapola o teto superior da faixa interna de 250 a 300.</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Funções ou callbacks acima de 30 linhas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114 ocorrências em 78 arquivos.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Amplitude física do nó AST, incluindo JSX, comentários e linhas em branco; funções aninhadas contam separadamente.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Linhas acima de 120 caracteres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537 em 75 arquivos.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Comprimento em unidades UTF-16; inclui JSX, SVG, configurações e comentários.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Lint do script principal</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Zero erros e zero avisos no escopo do comando.</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aplica regras específicas de max-lines, max-lines-per-function, max-len ou complexidade.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Lint complementar</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Zero erros e seis avisos em inject-sri.ts.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security/detect-non-literal-fs-filename sinaliza caminhos calculados de leitura/escrita no build.</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Advisories de dependências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Zero vulnerabilidades reportadas em 16/10/2026.</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Retrato da base consultada e do lock naquele momento; não garante ausência de falhas desconhecidas.</w:t>
            </w:r>
          </w:p>
        </w:tc>
      </w:tr>
    </w:tbl>
    <w:p>
      <w:pPr>
        <w:pStyle w:val="Normal"/>
        <w:spacing w:lineRule="auto" w:line="240" w:before="0" w:after="20"/>
        <w:rPr/>
      </w:pPr>
      <w:r>
        <w:rPr/>
      </w:r>
    </w:p>
    <w:p>
      <w:pPr>
        <w:pStyle w:val="Source"/>
        <w:rPr/>
      </w:pPr>
      <w:r>
        <w:rPr/>
        <w:t>Fonte histórica citada no Word de origem: metrics.json e saídas de qualidade de 16/10/2026; AGENTS.md, seção 9; eslint.config.mjs, revisão 52c5224.</w:t>
      </w:r>
    </w:p>
    <w:p>
      <w:pPr>
        <w:pStyle w:val="Normal"/>
        <w:rPr/>
      </w:pPr>
      <w:r>
        <w:rPr/>
        <w:t>As métricas físicas apontam oportunidades de manutenção e divergências das metas internas de tamanho de função e comprimento de linha. Elas não representam 114 vulnerabilidades ou 537 defeitos funcionais. A seção 15 do AGENTS.md exige que a prioridade e a forma de refatorar considerem responsabilidades, cache e efeitos sobre a experiência. Essa regra não apaga a medição nem cria dispensa geral: o indicador deve permanecer visível e ser tratado de forma contextual em um ciclo autorizado.</w:t>
      </w:r>
    </w:p>
    <w:p>
      <w:pPr>
        <w:pStyle w:val="Normal"/>
        <w:rPr/>
      </w:pPr>
      <w:r>
        <w:rPr/>
        <w:t>O conjunto ESLint inclui recomendações JavaScript, TypeScript e segurança, mas desativa no-explicit-any e detect-object-injection. Assim, aprovação do lint não significa ausência de tipos any, inexistência de acesso dinâmico a propriedades ou atendimento de todas as metas do AGENTS.md. Os seis avisos do script SRI referem-se ao uso de caminhos calculados no sistema de arquivos de build. A interpretação depende dessa origem local e controlada; eles não foram convertidos em prova de entrada remota explorável.</w:t>
      </w:r>
    </w:p>
    <w:p>
      <w:pPr>
        <w:pStyle w:val="Normal"/>
        <w:rPr/>
      </w:pPr>
      <w:r>
        <w:rPr/>
        <w:t>Não foi apurada nesta documentação uma métrica global reproduzível de complexidade ciclomática nem de variação nula de heap entre todas as áreas. A existência de unsubscribe e cancelamentos constitui evidência de mecanismos de limpeza específicos. Para demonstrar ausência de crescimento de memória seria necessário protocolo próprio de navegação repetida, estabilização e medição do heap. O requisito permanece distinto dos resultados de build, lint e scanner.</w:t>
      </w:r>
    </w:p>
    <w:p>
      <w:pPr>
        <w:pStyle w:val="Source"/>
        <w:rPr/>
      </w:pPr>
      <w:r>
        <w:rPr/>
        <w:t>Fonte: AGENTS.md, seções 9, 10 e 15; eslint.config.mjs; métodos descritos no registro local de métricas, revisão 52c5224.</w:t>
      </w:r>
    </w:p>
    <w:p>
      <w:pPr>
        <w:pStyle w:val="Heading2"/>
        <w:rPr/>
      </w:pPr>
      <w:bookmarkStart w:id="134" w:name="__RefHeading___Toc8820_608013930"/>
      <w:bookmarkEnd w:id="134"/>
      <w:r>
        <w:rPr/>
        <w:t>Catálogo operacional dos arquivos e artefatos históricos</w:t>
      </w:r>
    </w:p>
    <w:p>
      <w:pPr>
        <w:pStyle w:val="Normal"/>
        <w:rPr/>
      </w:pPr>
      <w:r>
        <w:rPr/>
        <w:t>O pacote congelado contém 140 arquivos. O inventário inclui os diretórios ocultos, os documentos de governança e os recursos de public. Não há CODIGOFONTE.txt nesta revisão; a documentação utiliza os arquivos originais. Também não foi identificado um gerador versionado que defina filtros para um consolidado de código. Não se presume que um arquivo textual exportado em outra rodada represente automaticamente esta árvore.</w:t>
      </w:r>
    </w:p>
    <w:p>
      <w:pPr>
        <w:pStyle w:val="Caption"/>
        <w:keepNext w:val="true"/>
        <w:rPr/>
      </w:pPr>
      <w:r>
        <w:rPr/>
        <w:t xml:space="preserve">Tabela </w:t>
      </w:r>
      <w:bookmarkStart w:id="135" w:name="tbl72"/>
      <w:r>
        <w:rPr/>
        <w:fldChar w:fldCharType="begin"/>
      </w:r>
      <w:r>
        <w:rPr/>
        <w:instrText xml:space="preserve"> SEQ Tabela \* ARABIC </w:instrText>
      </w:r>
      <w:r>
        <w:rPr/>
        <w:fldChar w:fldCharType="separate"/>
      </w:r>
      <w:r>
        <w:rPr/>
        <w:t>72</w:t>
      </w:r>
      <w:r>
        <w:rPr/>
        <w:fldChar w:fldCharType="end"/>
      </w:r>
      <w:bookmarkEnd w:id="135"/>
      <w:r>
        <w:rPr/>
        <w:t xml:space="preserve"> — Catálogo de áreas e pontos de entrada para manutenção.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Área e volume</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Caminhos de referência</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Função e fonte de verdade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Raiz: 12 arquivos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server.ts, index.html, package.json, package-lock.json, vite.config.ts, tsconfig.json, eslint.config.mjs e metadata.json.</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Entrada, geração, dependências, compilação e configuração. A raiz inclui também .env.example, .gitignore e os dois manuais.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Frontend: 96 arquivos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src/main.tsx; src/App.tsx; pages/, components/, store/, api/, hooks/, lib/ e types/.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Composição, navegação, estado, contratos de cliente, utilitários e estilos.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Backend: 17 arquivos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server/routes/, server/controllers/, server/services/ e server/utils/.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Borda HTTP, regras de negócio, integração administrativa, cache e proteção de dados.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Recursos públicos: 10 arquivos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public/, incluindo robots.txt, llms.txt, favicon.svg, imagens e .well-known/.</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Arquivos distribuídos pelo cliente e informações de descoberta.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Regras de dados: 2 arquivos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data-plane-iac/firestore.rules e storage.rules.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Política versionada de negação a clientes; implantação efetiva não inspecionada.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Script de geração: 1 arquivo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scripts/inject-sri.ts.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Passo complementar de integridade do HTML gerado.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Memória do AI Studio: 2 arquivos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.aistudio/artifacts/brain/.../implementation_plan.md e respectivo metadata.json.</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Plano histórico de roteamento contextual de CTAs e metadados; não é pipeline de publicação nem relatório de execução.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Testes versionados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identificados no pacote.</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Scripts locais de auditoria são evidência externa à árvore da aplicação e têm escopo próprio.</w:t>
            </w:r>
          </w:p>
        </w:tc>
      </w:tr>
    </w:tbl>
    <w:p>
      <w:pPr>
        <w:pStyle w:val="Normal"/>
        <w:spacing w:lineRule="auto" w:line="240" w:before="0" w:after="20"/>
        <w:rPr/>
      </w:pPr>
      <w:r>
        <w:rPr/>
      </w:r>
    </w:p>
    <w:p>
      <w:pPr>
        <w:pStyle w:val="Source"/>
        <w:rPr/>
      </w:pPr>
      <w:r>
        <w:rPr/>
        <w:t>Fonte: Inventário dos 140 arquivos da fonte congelada 52c5224; contagem por diretório, incluindo arquivos ocultos.</w:t>
      </w:r>
    </w:p>
    <w:p>
      <w:pPr>
        <w:pStyle w:val="Normal"/>
        <w:rPr/>
      </w:pPr>
      <w:r>
        <w:rPr/>
        <w:t>A memória do AI Studio registra uma proposta de ajuste dos botões da vitrine conforme o estado de autenticação, com atualização de metadados em 15/10/2026. O texto contém decisões de encaminhamento para inicio, cursos e vagas e solicita revisão humana daquele plano. Como artefato histórico, ajuda a compreender a intenção; suas alegações de desempenho, memória e acessibilidade não são tratadas como medições atuais. O comportamento documentado vem dos componentes e stores correspondentes na revisão congelada.</w:t>
      </w:r>
    </w:p>
    <w:p>
      <w:pPr>
        <w:pStyle w:val="Normal"/>
        <w:rPr/>
      </w:pPr>
      <w:r>
        <w:rPr/>
        <w:t>Para manutenção futura, a unidade de referência deve reunir commit, manifests, configuração de build, artefatos gerados e evidências da rodada. Após uma alteração autorizada, a seleção dos testes deve acompanhar as responsabilidades afetadas: contrato e autorização para endpoints, persistência e transações para dados, foco e teclado para interação, integridade e cabeçalhos para distribuição. A documentação desta edição preserva a distinção entre controles implementados, verificações locais já realizadas e configurações remotas declaradas pelo responsável.</w:t>
      </w:r>
    </w:p>
    <w:p>
      <w:pPr>
        <w:pStyle w:val="Source"/>
        <w:rPr/>
      </w:pPr>
      <w:r>
        <w:rPr/>
        <w:t>Fonte: AGENTS.md; AGENTE-DOCUMENTACAO.md; .aistudio/artifacts/brain/.../implementation_plan.md e .metadata.json; código e registros de qualidade relacionados, revisão 52c5224.</w:t>
      </w:r>
    </w:p>
    <w:p>
      <w:pPr>
        <w:pStyle w:val="Heading1"/>
        <w:rPr/>
      </w:pPr>
      <w:bookmarkStart w:id="136" w:name="__RefHeading___Toc8822_608013930"/>
      <w:bookmarkEnd w:id="136"/>
      <w:r>
        <w:rPr/>
        <w:t>Glossário e referências</w:t>
      </w:r>
    </w:p>
    <w:p>
      <w:pPr>
        <w:pStyle w:val="Heading2"/>
        <w:rPr/>
      </w:pPr>
      <w:bookmarkStart w:id="137" w:name="__RefHeading___Toc8824_608013930"/>
      <w:bookmarkEnd w:id="137"/>
      <w:r>
        <w:rPr/>
        <w:t>Glossário de termos do sistema</w:t>
      </w:r>
    </w:p>
    <w:p>
      <w:pPr>
        <w:pStyle w:val="Normal"/>
        <w:rPr/>
      </w:pPr>
      <w:r>
        <w:rPr/>
        <w:t>Este glossário estabelece o sentido dos termos empregados na documentação. As definições se referem ao CRA-SP Educa na revisão documentada; não ampliam o escopo das tecnologias nem substituem os contratos apresentados nos capítulos anteriores. Os nomes de estados, campos e símbolos são preservados para permitir sua localização no código.</w:t>
      </w:r>
    </w:p>
    <w:p>
      <w:pPr>
        <w:pStyle w:val="Caption"/>
        <w:keepNext w:val="true"/>
        <w:rPr/>
      </w:pPr>
      <w:r>
        <w:rPr/>
        <w:t xml:space="preserve">Tabela </w:t>
      </w:r>
      <w:bookmarkStart w:id="138" w:name="tbl73"/>
      <w:r>
        <w:rPr/>
        <w:fldChar w:fldCharType="begin"/>
      </w:r>
      <w:r>
        <w:rPr/>
        <w:instrText xml:space="preserve"> SEQ Tabela \* ARABIC </w:instrText>
      </w:r>
      <w:r>
        <w:rPr/>
        <w:fldChar w:fldCharType="separate"/>
      </w:r>
      <w:r>
        <w:rPr/>
        <w:t>73</w:t>
      </w:r>
      <w:r>
        <w:rPr/>
        <w:fldChar w:fldCharType="end"/>
      </w:r>
      <w:bookmarkEnd w:id="138"/>
      <w:r>
        <w:rPr/>
        <w:t xml:space="preserve"> — Glossário técnico e funcional do CRA-SP Educa.</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7143"/>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Termo</w:t>
            </w:r>
          </w:p>
        </w:tc>
        <w:tc>
          <w:tcPr>
            <w:tcW w:w="714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Significado no projeto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AES-256-GCM</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Algoritmo de cifragem autenticada usado para proteger campos selecionados no Cofre e o e-mail do ticket. A chave tem 256 bits; IV e tag acompanham o texto cifrado.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API REST</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Interface HTTP do servidor Express. O navegador chama rotas /api para consultar catálogos e solicitar operações; a autorização e as escritas no Firestore são realizadas no backend.</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ARIA</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Atributos e papéis que comunicam nomes, estados e relações de componentes às tecnologias assistivas. No Educa incluem aria-expanded, aria-current, aria-pressed e mensagens de status.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AVA</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Ambiente Virtual de Aprendizagem de instituição parceira. As aulas e a matrícula efetiva ocorrem fora do Educa; o usuário retorna para atualizar sua jornada declaratória.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Backend</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Camada Node.js/Express executada no servidor, responsável por autenticação de requisições, validações, regras de negócio, cache, criptografia e acesso administrativo aos serviços de dados.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Base64</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Codificação textual usada no envio JSON do certificado. Não é cifragem nem diminui o arquivo; o backend decodifica o conteúdo e aplica o limite ao buffer resultante.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Build</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Processo que gera o cliente em dist/client, injeta integridade nos recursos do HTML e empacota o servidor em dist/server.cjs para execução de produção.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em memória</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Dados mantidos na RAM de cada instância do servidor. Reduzem leituras do Firestore; não constituem armazenamento durável nem sincronização automática entre todas as instâncias.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Catálogo particionado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Coleção de documentos parte* cujas listas são concatenadas pelo backend. O particionamento reduz a concentração de volume em um único documento do Firestore.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Certificado vinculado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Objeto armazenado cujo caminho foi associado a uma jornada de curso. O upload isolado não representa conclusão do curso ou aprovação administrativa do certificado.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CLS</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Cumulative Layout Shift: indicador de deslocamento visual inesperado durante o carregamento. O valor zero registrado nos ensaios se limita às condições de cada medição.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Cloud Run</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Serviço de hospedagem previsto pelo projeto para executar o monólito. Permissões, revisão implantada, escalonamento e demais parâmetros reais dependem de configuração externa ao repositório.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COEP</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Cross-Origin-Embedder-Policy: política de carregamento entre origens. Está desativada na configuração Helmet documentada para preservar compatibilidade com integrações; a ausência não equivale a reprovação automática do Observatory.</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Cofre / Vault</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Instância Firebase secundária, identificada no Admin SDK como vaultProject, destinada aos registros de leads de cadastro e contato. Não recebe o histórico de cursos ou vagas.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Commit</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Identificador de uma revisão Git. Esta edição descreve 52c5224d3fb3372e97859468cf1d44439effdc18; capturas de um domínio não demonstram, sozinhas, que essa revisão estava publicada.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CORS</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Cross-Origin Resource Sharing: mecanismo que controla acesso de scripts de outras origens às respostas. O servidor libera determinadas consultas e recursos públicos; isso não concede autorização de escrita.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CSP</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Content Security Policy: cabeçalho que limita origens e tipos de conteúdo. No Educa define, entre outros controles, scripts, conexões, frames e objetos, com exceções explícitas para integrações.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cursoTag</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Prefixo calculado dos primeiros 16 caracteres hexadecimais de SHA-256 do cursoId. Auxilia a verificar o vínculo de um objeto ao curso; não é assinatura do conteúdo do certificado.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Dual-write</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Gravação no banco principal acompanhada de tentativa de envio ao Cofre. Não há uma única transação distribuída entre os dois projetos; o envio secundário é não bloqueante.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e-MAG</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Modelo de Acessibilidade em Governo Eletrônico, adotado como norteador interno. O AGENTS.md não identifica uma edição; a referência não é tratada como certificado de acessibilidade.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e-MEC</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Origem institucional do catálogo de instituições, locais e cursos utilizado no cadastro. O Educa consulta a cópia carregada no Firestore por sua API, não uma pesquisa direta ao site e-MEC.</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Factory Pattern</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Padrão de construção dos clientes src/api. As funções create*Api recebem a instância Auth, e src/api/index.ts reúne os clientes com a dependência injetada.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Firebase Admin SDK</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Biblioteca de acesso privilegiado utilizada pelo backend. Suas operações seguem a identidade administrativa e não são limitadas pelas regras de cliente; a autorização do servidor continua necessária.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Firebase Auth</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Serviço de identidade e sessão. O cliente obtém ID tokens; as rotas protegidas verificam os tokens no Admin SDK, incluindo revogação e usuário desabilitado.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Firestore</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Banco documental que armazena perfis, jornadas, índices, dados públicos e catálogos. A aplicação principal concentra as jornadas nos arrays do documento usuarios/{uid}.</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Foco de teclado</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Elemento que recebe a próxima ação do teclado. O auxiliar de modais controla circulação de Tab, fechamento por Escape e retorno ao acionador, considerando elementos visíveis.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Frontend</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Aplicação React executada no navegador. Apresenta conteúdo, recolhe entradas, mantém estados em Zustand e usa a API; não detém credenciais administrativas do Firebase.</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Hash</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Resultado derivado de uma função de resumo ou derivação. No Educa protege identificadores selecionados; não permite recuperação direta do original e não torna automaticamente o dado anônimo.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HMAC / pepper</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HMAC é um resumo autenticado por chave. HMAC_PEPPER_KEY participa da derivação por usuário e do índice global de CPF; o segredo não deve acompanhar os dados armazenados.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HSTS</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HTTP Strict Transport Security: política enviada por HTTPS que orienta o navegador a exigir transporte seguro durante o prazo definido. O parâmetro preload não comprova inclusão na lista dos navegadores.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Idempotência</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Propriedade de repetir uma operação sem duplicar seu efeito pretendido. Nas jornadas, a repetição do status e os marcadores de primeira matrícula ou contratação evitam incrementos indevidos.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 token / Bearer</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Comprovante de identidade enviado em Authorization: Bearer. O UID usado nas operações protegidas é obtido do token verificado, não escolhido livremente no corpo enviado pelo usuário.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IV e tag de autenticação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 IV aleatório de 12 bytes diferencia as operações AES-GCM; a tag permite detectar alterações no material cifrado. Ambos são necessários à decifragem autenticada.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Jornada declaratória</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Acompanhamento informado pelo próprio usuário de sua participação em curso ou vaga. A declaração no Educa não comprova a matrícula, seleção ou contratação efetivada pelo parceiro.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LCP</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Largest Contentful Paint: tempo até a apresentação do maior elemento relevante visível. Os valores PageSpeed e WebPageTest pertencem a configurações distintas e não devem ser fundidos.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LGPD</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 Geral de Proteção de Dados Pessoais, Lei nº 13.709/2018. Orienta a proteção de dados; atendimento legal depende de medidas técnicas, procedimentos e decisões organizacionais.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Lockfile</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Arquivo package-lock.json que fixa a árvore resolvida de dependências. Permite instalação reproduzível e inventário inicial de componentes; não substitui análise completa das licenças.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PBKDF2</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Função de derivação aplicada com SHA-256, 100.000 iterações e saída de 32 bytes aos dados selecionados. A derivação usa salt individual calculado a partir do UID e do pepper.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Pseudonimização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Tratamento que reduz a associação direta do dado ao titular, mantendo meios de correlação. Hashes e índices do Educa não são descritos como anonimização irreversível de todo o banco.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Rate limit</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Limite de requisições em janela temporal. A aplicação combina limite geral da API com controles específicos de cadastro, contato, suporte, consultas e transações.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SBOM / OpenChain</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SBOM é o inventário de componentes de software. OpenChain se relaciona à conformidade de licenças; um lockfile e ausência de alertas npm não demonstram certificação ISO/IEC 5230.</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Snapshot</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Cópia de campos de curso ou vaga preservada na jornada. O backend reconstrói a cópia a partir do catálogo oficial, evitando tratar atributos enviados pelo cliente como fonte autorizada.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SPA</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Single-Page Application: cliente que troca suas visões sem exigir um documento HTML distinto para cada área. O servidor de produção entrega index.html no fallback configurado.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SRI</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Subresource Integrity: hash que o navegador compara ao recurso recebido. A divergência impede a execução ou uso do recurso; o loader do VLibras preserva a verificação também na nova tentativa.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Storage</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Serviço de armazenamento dos arquivos de certificado. O backend cria o objeto e devolve um caminho interno; esse retorno não é uma URL pública de download.</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TBT / TTFB</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Total Blocking Time mede bloqueios relevantes da thread principal no ensaio; Time to First Byte mede o tempo até o primeiro byte da resposta. Ambos dependem do ambiente de medição.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Transação</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Operação do Firestore que agrupa leituras e escritas com controle de concorrência. A callback pode ser repetida; respostas HTTP e atualização do cache ficam após a confirmação.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UID</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Identificador do usuário no Firebase Auth. Define o documento de perfil e o prefixo dos objetos de certificado, associando autorização e dados à identidade verificada.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VLibras</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Integração de acessibilidade em Libras carregada do serviço governamental. O componente está na raiz da aplicação; seu funcionamento também depende da disponibilidade e dos recursos do fornecedor.</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WCAG 2.2 AA</w:t>
            </w:r>
          </w:p>
        </w:tc>
        <w:tc>
          <w:tcPr>
            <w:tcW w:w="714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Diretrizes de Acessibilidade para Conteúdo Web, versão 2.2, nível AA. O atendimento exige avaliação dos critérios aplicáveis; uma nota automática não cobre todas as interações.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Zod / Zustand</w:t>
            </w:r>
          </w:p>
        </w:tc>
        <w:tc>
          <w:tcPr>
            <w:tcW w:w="714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Zod valida contratos e entradas em tempo de execução; Zustand administra os estados globais do cliente. Tipos TypeScript, isoladamente, não substituem a validação do dado recebido.</w:t>
            </w:r>
          </w:p>
        </w:tc>
      </w:tr>
    </w:tbl>
    <w:p>
      <w:pPr>
        <w:pStyle w:val="Normal"/>
        <w:spacing w:lineRule="auto" w:line="240" w:before="0" w:after="20"/>
        <w:rPr/>
      </w:pPr>
      <w:r>
        <w:rPr/>
      </w:r>
    </w:p>
    <w:p>
      <w:pPr>
        <w:pStyle w:val="Source"/>
        <w:rPr/>
      </w:pPr>
      <w:r>
        <w:rPr/>
        <w:t>Fonte: AGENTS.md; src/api; src/store; server/routes; server/services; server/utils; revisão 52c5224. As siglas de ensaio são utilizadas conforme os relatórios fornecidos.</w:t>
      </w:r>
    </w:p>
    <w:p>
      <w:pPr>
        <w:pStyle w:val="Heading2"/>
        <w:rPr/>
      </w:pPr>
      <w:bookmarkStart w:id="139" w:name="__RefHeading___Toc8826_608013930"/>
      <w:bookmarkEnd w:id="139"/>
      <w:r>
        <w:rPr/>
        <w:t>Fontes de implementação</w:t>
      </w:r>
    </w:p>
    <w:p>
      <w:pPr>
        <w:pStyle w:val="Normal"/>
        <w:rPr/>
      </w:pPr>
      <w:r>
        <w:rPr/>
        <w:t>A fonte primária é o repositório desenvolvimentoprofissional-oss/educa, branch main, congelado no commit completo indicado na identificação documental. A revisão deve acompanhar qualquer uso deste texto para implantação ou manutenção. Atualizações posteriores do repositório não estão implicitamente cobertas por esta edição.</w:t>
      </w:r>
    </w:p>
    <w:p>
      <w:pPr>
        <w:pStyle w:val="Normal"/>
        <w:rPr/>
      </w:pPr>
      <w:r>
        <w:rPr/>
        <w:t xml:space="preserve">O endereço permanente de referência é </w:t>
      </w:r>
      <w:hyperlink r:id="rId13">
        <w:r>
          <w:rPr>
            <w:rStyle w:val="Style"/>
            <w:color w:val="233B82"/>
            <w:u w:val="single"/>
          </w:rPr>
          <w:t>https://github.com/desenvolvimentoprofissional-oss/educa/tree/52c5224d3fb3372e97859468cf1d44439effdc18</w:t>
        </w:r>
      </w:hyperlink>
      <w:r>
        <w:rPr/>
        <w:t>. A consulta e o download dependem das permissões do leitor no GitHub; os dados técnicos necessários à compreensão do sistema estão desenvolvidos neste documento.</w:t>
      </w:r>
    </w:p>
    <w:p>
      <w:pPr>
        <w:pStyle w:val="Caption"/>
        <w:keepNext w:val="true"/>
        <w:rPr/>
      </w:pPr>
      <w:r>
        <w:rPr/>
        <w:t xml:space="preserve">Tabela </w:t>
      </w:r>
      <w:bookmarkStart w:id="140" w:name="tbl74"/>
      <w:r>
        <w:rPr/>
        <w:fldChar w:fldCharType="begin"/>
      </w:r>
      <w:r>
        <w:rPr/>
        <w:instrText xml:space="preserve"> SEQ Tabela \* ARABIC </w:instrText>
      </w:r>
      <w:r>
        <w:rPr/>
        <w:fldChar w:fldCharType="separate"/>
      </w:r>
      <w:r>
        <w:rPr/>
        <w:t>74</w:t>
      </w:r>
      <w:r>
        <w:rPr/>
        <w:fldChar w:fldCharType="end"/>
      </w:r>
      <w:bookmarkEnd w:id="140"/>
      <w:r>
        <w:rPr/>
        <w:t xml:space="preserve"> — Índice das fontes de implementação e suas responsabilidades.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Área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Caminhos</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Uso documental</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Governança</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AGENTS.md; AGENTE-DOCUMENTACAO.md</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Decisões internas, restrições de alteração, arquitetura, critérios documentais e tratamento das evidências.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Entrada e composição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index.html; src/main.tsx; src/App.tsx; src/index.css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Montagem React, seleção de visão, controles globais, identidade, recursos e estilos.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Visões e interação</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src/pages; src/components; src/hooks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Páginas, formulários, cartões, modais, buscas, jornada, mensagens e comportamento de foco.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Estado e integração cliente</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src/store; src/api; src/lib/firebase.ts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Sessão, preferências, catálogos, requisições e clientes de API construídos com Auth injetado.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Contratos e utilitários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src/types; src/lib/constants.ts; src/lib/validators.ts; src/lib/formatters.ts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Tipos, opções oficiais de formulário, CPF, URLs externas, apresentação monetária e normalização.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Borda HTTP</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server.ts; server/routes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Inicialização, Helmet, parsers, limites, autenticação, schemas, prefixos, estáticos e fallback.</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Regras transacionais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server/controllers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Cadastro, duplicidade de CPF, perfil, contato, suporte, seleção oficial de catálogo e transições de jornadas.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Dados e proteção</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server/services; server/utils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particionamento do Cofre, AES-GCM, HMAC/PBKDF2, classificação de falhas e sanitização dos logs.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Controle de acesso aos dados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data-plane-iac/firestore.rules; data-plane-iac/storage.rules</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Regras versionadas de negação de acesso pelo cliente; implantação efetiva depende de verificação externa.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Build e dependências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package.json; package-lock.json; scripts/inject-sri.ts; vite.config.ts; tsconfig.json; eslint.config.mjs</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Comandos, árvore resolvida, geração de SRI, empacotamento e alcance das verificações estáticas.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Recursos públicos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public; metadata.json; .env.example</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Imagens, identificação pública, manifestos disponíveis e exemplo de nomes de configuração; não é fonte de valores secretos.</w:t>
            </w:r>
          </w:p>
        </w:tc>
      </w:tr>
    </w:tbl>
    <w:p>
      <w:pPr>
        <w:pStyle w:val="Normal"/>
        <w:spacing w:lineRule="auto" w:line="240" w:before="0" w:after="20"/>
        <w:rPr/>
      </w:pPr>
      <w:r>
        <w:rPr/>
      </w:r>
    </w:p>
    <w:p>
      <w:pPr>
        <w:pStyle w:val="Source"/>
        <w:rPr/>
      </w:pPr>
      <w:r>
        <w:rPr/>
        <w:t>Fonte: Árvore versionada no commit 52c5224d3fb3372e97859468cf1d44439effdc18. Os nomes de diretórios agrupam módulos analisados nos capítulos técnicos.</w:t>
      </w:r>
    </w:p>
    <w:p>
      <w:pPr>
        <w:pStyle w:val="Heading2"/>
        <w:rPr/>
      </w:pPr>
      <w:bookmarkStart w:id="141" w:name="__RefHeading___Toc8828_608013930"/>
      <w:bookmarkEnd w:id="141"/>
      <w:r>
        <w:rPr/>
        <w:t>Fontes das evidências externas</w:t>
      </w:r>
    </w:p>
    <w:p>
      <w:pPr>
        <w:pStyle w:val="Normal"/>
        <w:rPr/>
      </w:pPr>
      <w:r>
        <w:rPr/>
        <w:t>O Word de origem identifica Análises Site Crasp Educa.pdf, com 35 páginas, como fonte dos resultados então apresentados pelo responsável. Os recortes contínuos de cada relatório são tratados como evidência agrupada. A edição 1.1 preserva a transcrição e a interpretação do capítulo 1 e os índices deste capítulo, sem alegar consulta direta ao PDF de análises, que não foi fornecido nesta etapa.</w:t>
      </w:r>
    </w:p>
    <w:p>
      <w:pPr>
        <w:pStyle w:val="Normal"/>
        <w:rPr/>
      </w:pPr>
      <w:r>
        <w:rPr/>
        <w:t>As páginas do PDF de análises e as capturas reais não integram esta edição: o responsável autorizou sua anexação posterior. Sua inclusão deverá preservar a correspondência entre páginas de origem, identificadores E01–E08, relatórios e telas. A disponibilidade do texto editável não substitui os anexos e as evidências visuais exigidos pelo padrão documental.</w:t>
      </w:r>
    </w:p>
    <w:p>
      <w:pPr>
        <w:pStyle w:val="Caption"/>
        <w:keepNext w:val="true"/>
        <w:rPr/>
      </w:pPr>
      <w:r>
        <w:rPr/>
        <w:t xml:space="preserve">Tabela </w:t>
      </w:r>
      <w:bookmarkStart w:id="142" w:name="tbl75"/>
      <w:r>
        <w:rPr/>
        <w:fldChar w:fldCharType="begin"/>
      </w:r>
      <w:r>
        <w:rPr/>
        <w:instrText xml:space="preserve"> SEQ Tabela \* ARABIC </w:instrText>
      </w:r>
      <w:r>
        <w:rPr/>
        <w:fldChar w:fldCharType="separate"/>
      </w:r>
      <w:r>
        <w:rPr/>
        <w:t>75</w:t>
      </w:r>
      <w:r>
        <w:rPr/>
        <w:fldChar w:fldCharType="end"/>
      </w:r>
      <w:bookmarkEnd w:id="142"/>
      <w:r>
        <w:rPr/>
        <w:t xml:space="preserve"> — Localização declarada das evidências do PDF de scanners.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680"/>
        <w:gridCol w:w="2381"/>
        <w:gridCol w:w="3231"/>
        <w:gridCol w:w="3232"/>
      </w:tblGrid>
      <w:tr>
        <w:trPr>
          <w:tblHeader w:val="true"/>
          <w:cantSplit/>
        </w:trPr>
        <w:tc>
          <w:tcPr>
            <w:tcW w:w="68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Ferramenta</w:t>
            </w:r>
          </w:p>
        </w:tc>
        <w:tc>
          <w:tcPr>
            <w:tcW w:w="323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Registro no PDF</w:t>
            </w:r>
          </w:p>
        </w:tc>
        <w:tc>
          <w:tcPr>
            <w:tcW w:w="323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Data e alcance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Mozilla HTTP Observatory</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1; A+, 140/100; 11/12 verificações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crasp-educa.ai.studio; horário apenas relativo na captura, sem data absoluta legível.</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PageSpeed Insights — desktop</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2–11; 100/100/96/100</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captura do ensaio 12:28 UTC; valores na ordem desempenho/acessibilidade/práticas recomendadas/SEO.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PageSpeed Insights — mobile</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12–21; 99/100/96/100</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16/10/2026; captura do ensaio 12:28 UTC; Moto G Power emulado, conexão Slow 4G.</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E04</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SecurityHeaders</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22–23; A+</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12:28:41 UTC; cabeçalhos da resposta à URL raiz.</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E05</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Qualys SSL Labs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24; 16 endpoints A+</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Resumo em 16/10/2026, 12:52:13 UTC; endereços IPv4 e IPv6 do mesmo domínio.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E06</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WebPageTest</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25; LCP 1,148 s; TBT 0; CLS 0</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16/10/2026, 12:28:48 UTC; desktop Chrome 152, Columbus, Ohio, rede Wi-Fi simulada.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E07</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WAVE / WebAIM</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 26–28; AIM 10/10; zero erros e alertas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Mesma página pública em posições de rolagem diferentes; sem data absoluta identificada na captura.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E08</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Webbkoll</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 29–35; HTTPS e SRI favoráveis; observações de cookie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15/10/2026, 23:44:20 Etc/UTC; visita à URL raiz, sem submissão de formulários.</w:t>
            </w:r>
          </w:p>
        </w:tc>
      </w:tr>
    </w:tbl>
    <w:p>
      <w:pPr>
        <w:pStyle w:val="Normal"/>
        <w:spacing w:lineRule="auto" w:line="240" w:before="0" w:after="20"/>
        <w:rPr/>
      </w:pPr>
      <w:r>
        <w:rPr/>
      </w:r>
    </w:p>
    <w:p>
      <w:pPr>
        <w:pStyle w:val="Normal"/>
        <w:rPr/>
      </w:pPr>
      <w:r>
        <w:rPr/>
        <w:t>Fonte secundária: Word de origem, que cita Análises Site Crasp Educa.pdf, páginas 1–35. Datas, resultados e páginas são preservados como transcritos; o PDF de análises não foi recebido para conferência nesta edição.</w:t>
      </w:r>
    </w:p>
    <w:p>
      <w:pPr>
        <w:pStyle w:val="Normal"/>
        <w:rPr/>
      </w:pPr>
      <w:r>
        <w:rPr/>
        <w:t xml:space="preserve">Os endereços informados para consulta dos relatórios incluem </w:t>
      </w:r>
      <w:hyperlink r:id="rId14">
        <w:r>
          <w:rPr>
            <w:rStyle w:val="Style"/>
            <w:color w:val="233B82"/>
            <w:u w:val="single"/>
          </w:rPr>
          <w:t>https://developer.mozilla.org/en-US/observatory/analyze?host=crasp-educa.ai.studio</w:t>
        </w:r>
      </w:hyperlink>
      <w:r>
        <w:rPr/>
        <w:t xml:space="preserve"> e </w:t>
      </w:r>
      <w:hyperlink r:id="rId15">
        <w:r>
          <w:rPr>
            <w:rStyle w:val="Style"/>
            <w:color w:val="233B82"/>
            <w:u w:val="single"/>
          </w:rPr>
          <w:t>https://webbkoll.5july.net/en/results?url=http%3A%2F%2Fcrasp-educa.ai.studio%2F</w:t>
        </w:r>
      </w:hyperlink>
      <w:r>
        <w:rPr/>
        <w:t>. Esses endereços podem apresentar rodadas posteriores; o PDF recebido conserva a referência temporal desta edição. Nenhuma captura permite vincular automaticamente o resultado ao commit documentado.</w:t>
      </w:r>
    </w:p>
    <w:p>
      <w:pPr>
        <w:pStyle w:val="Heading2"/>
        <w:rPr/>
      </w:pPr>
      <w:bookmarkStart w:id="143" w:name="__RefHeading___Toc8830_608013930"/>
      <w:bookmarkEnd w:id="143"/>
      <w:r>
        <w:rPr/>
        <w:t>Fontes institucionais e informações complementares</w:t>
      </w:r>
    </w:p>
    <w:p>
      <w:pPr>
        <w:pStyle w:val="Normal"/>
        <w:rPr/>
      </w:pPr>
      <w:r>
        <w:rPr/>
        <w:t>O Word de origem atribui ao responsável a informação de que segredos e chaves estão configurados na hospedagem e que os fluxos de usabilidade estão operacionais. Também lhe atribui a informação de que outro sistema ou processo administrativo aprova certificados e realiza a transição EM_ANALISE para CONCLUIDO. A edição 1.1 mantém essas declarações como contexto histórico, sem inspeção de valores secretos, IAM, consoles, implantação ou processo administrativo externo.</w:t>
      </w:r>
    </w:p>
    <w:p>
      <w:pPr>
        <w:pStyle w:val="Normal"/>
        <w:rPr/>
      </w:pPr>
      <w:r>
        <w:rPr/>
        <w:t>O Word de origem identifica tecnica (1).pdf, com 60 páginas, como referência visual e editorial do Componente Curricular. O PDF de referência visual fornecido nesta etapa orienta a apresentação da edição 1.1. O conteúdo funcional, os domínios e as conclusões do sistema de referência não constituem evidência do Educa.</w:t>
      </w:r>
    </w:p>
    <w:p>
      <w:pPr>
        <w:pStyle w:val="Normal"/>
        <w:rPr/>
      </w:pPr>
      <w:r>
        <w:rPr/>
        <w:t>A orientação atual do responsável autoriza a geração do Word completo a partir do conteúdo recebido, com apresentação guiada pelo PDF de referência visual e disponibilização no GitHub. Os anexos e as capturas externas serão juntados posteriormente pelo responsável. A indicação dessa responsabilidade não dispensa a identificação das pendências nem comprova as fontes de análise citadas na edição anterior.</w:t>
      </w:r>
    </w:p>
    <w:p>
      <w:pPr>
        <w:pStyle w:val="Source"/>
        <w:rPr/>
      </w:pPr>
      <w:r>
        <w:rPr/>
        <w:t>Fonte: orientação atual do responsável; Word de origem; PDF de referência visual fornecido nesta etapa; AGENTE-DOCUMENTACAO.md, versão 1.0.</w:t>
      </w:r>
    </w:p>
    <w:p>
      <w:pPr>
        <w:pStyle w:val="Heading1"/>
        <w:rPr/>
      </w:pPr>
      <w:bookmarkStart w:id="144" w:name="__RefHeading___Toc8832_608013930"/>
      <w:bookmarkEnd w:id="144"/>
      <w:r>
        <w:rPr/>
        <w:t>Requisitos, conformidade e pendências</w:t>
      </w:r>
    </w:p>
    <w:p>
      <w:pPr>
        <w:pStyle w:val="Heading2"/>
        <w:rPr/>
      </w:pPr>
      <w:bookmarkStart w:id="145" w:name="__RefHeading___Toc8834_608013930"/>
      <w:bookmarkEnd w:id="145"/>
      <w:r>
        <w:rPr/>
        <w:t>Norteadores e natureza dos requisitos</w:t>
      </w:r>
    </w:p>
    <w:p>
      <w:pPr>
        <w:pStyle w:val="Normal"/>
        <w:rPr/>
      </w:pPr>
      <w:r>
        <w:rPr/>
        <w:t>O AGENTS.md estabelece a política interna do CRA-SP Educa e relaciona leis, normas, guias, decisões de arquitetura e metas de ferramentas. Essas categorias são distintas: uma lei não determina automaticamente um algoritmo específico; uma recomendação técnica não equivale a certificação; e um limite interno de linhas de código não decorre, por si, de uma norma internacional de qualidade.</w:t>
      </w:r>
    </w:p>
    <w:p>
      <w:pPr>
        <w:pStyle w:val="Normal"/>
        <w:rPr/>
      </w:pPr>
      <w:r>
        <w:rPr/>
        <w:t>Esta matriz preserva a classificação técnica da edição de origem e a distingue da confirmação normativa. Caminhos e símbolos de código permitem localizar mecanismos; as notas de scanners e os testes locais permanecem históricos quando seus originais não foram recebidos. A matriz suplementar explicita fonte, dispositivo ou critério, versão/data, requisito, aplicabilidade, implementação, evidência, método, situação e pendência. Não se deduz desses registros conformidade jurídica integral, implantação de toda configuração versionada ou ausência de riscos futuros.</w:t>
      </w:r>
    </w:p>
    <w:p>
      <w:pPr>
        <w:pStyle w:val="Normal"/>
        <w:rPr/>
      </w:pPr>
      <w:r>
        <w:rPr/>
        <w:t>As referências legais e técnicas foram identificadas a partir do AGENTS.md. Em 16/10/2026, a consulta HTTP aos portais oficiais Planalto, W3C, e-MAG, ISO, OpenChain e OWASP foi impedida pelo proxy do ambiente, com resposta de conexão 403. Portanto, não se apresenta leitura integral atualizada de seus textos, nem se reproduzem cláusulas de normas de acesso restrito. Os endereços oficiais são relacionados para consulta controlada pela instituição.</w:t>
      </w:r>
    </w:p>
    <w:p>
      <w:pPr>
        <w:pStyle w:val="Caption"/>
        <w:keepNext w:val="true"/>
        <w:rPr/>
      </w:pPr>
      <w:r>
        <w:rPr/>
        <w:t xml:space="preserve">Tabela </w:t>
      </w:r>
      <w:bookmarkStart w:id="146" w:name="tbl76"/>
      <w:r>
        <w:rPr/>
        <w:fldChar w:fldCharType="begin"/>
      </w:r>
      <w:r>
        <w:rPr/>
        <w:instrText xml:space="preserve"> SEQ Tabela \* ARABIC </w:instrText>
      </w:r>
      <w:r>
        <w:rPr/>
        <w:fldChar w:fldCharType="separate"/>
      </w:r>
      <w:r>
        <w:rPr/>
        <w:t>76</w:t>
      </w:r>
      <w:r>
        <w:rPr/>
        <w:fldChar w:fldCharType="end"/>
      </w:r>
      <w:bookmarkEnd w:id="146"/>
      <w:r>
        <w:rPr/>
        <w:t xml:space="preserve"> — Norteadores aplicáveis e limites da sua utilização.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2381"/>
        <w:gridCol w:w="3571"/>
        <w:gridCol w:w="3572"/>
      </w:tblGrid>
      <w:tr>
        <w:trPr>
          <w:tblHeader w:val="true"/>
          <w:cantSplit/>
        </w:trPr>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Referência</w:t>
            </w:r>
          </w:p>
        </w:tc>
        <w:tc>
          <w:tcPr>
            <w:tcW w:w="357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Natureza e origem</w:t>
            </w:r>
          </w:p>
        </w:tc>
        <w:tc>
          <w:tcPr>
            <w:tcW w:w="357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Aplicação ao Educa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LGPD — Lei nº 13.709/2018</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 federal; AGENTS §§ 10 e 16</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Proteção dos dados pessoais de cadastro, contato, certificados e suporte; medidas técnicas e governança do tratamento.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LBI — Lei nº 13.146/2015</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 federal; AGENTS § 10</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Acessibilidade e inclusão no acesso ao serviço digital; avaliação técnica não substitui análise das obrigações institucionais.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 nº 14.129/2021</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 de Governo Digital; AGENTS § 10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Norteador institucional adotado pelo projeto; o enquadramento jurídico de suas disposições não foi decidido pela leitura do código.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WCAG 2.2, nível AA</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Diretrizes W3C; AGENTS § 10</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Critérios de acessibilidade aplicáveis às páginas, estados, formulários, foco e tecnologias assistivas.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e-MAG</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Modelo de acessibilidade; AGENTS § 10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Orientação para acessibilidade de serviços governamentais. O AGENTS.md não informa edição; não foi presumida uma versão específica.</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ISO/IEC 25010</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Modelo de qualidade; AGENTS §§ 9 e 10</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Referência para atributos de qualidade. A edição não é especificada no AGENTS; não se afirma certificação ou avaliação integral do modelo.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ISO/IEC 5230 / OpenChain</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Conformidade de licenças; AGENTS § 10</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Denominação técnica para a referência chamada “ISO 5230” no arquivo. A política de vedar GPL v3 e AGPL é uma decisão interna do projeto.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OWASP Top 10</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Referência de riscos AppSec; AGENTS § 9</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Orienta revisão de controles de entrada, identidade e dados. O AGENTS não fixa edição e não define o Top 10 como certificação do produto.</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Métricas e arquitetura internas</w:t>
            </w:r>
          </w:p>
        </w:tc>
        <w:tc>
          <w:tcPr>
            <w:tcW w:w="357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Requisitos próprios; AGENTS §§ 4–9 e 12–16</w:t>
            </w:r>
          </w:p>
        </w:tc>
        <w:tc>
          <w:tcPr>
            <w:tcW w:w="357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Stack, limite de módulos e funções, cache, fluxo declaratório, proteção do Core AppSec e triagem contextual de achados.</w:t>
            </w:r>
          </w:p>
        </w:tc>
      </w:tr>
      <w:tr>
        <w:trPr>
          <w:cantSplit/>
        </w:trPr>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Metas de scanners</w:t>
            </w:r>
          </w:p>
        </w:tc>
        <w:tc>
          <w:tcPr>
            <w:tcW w:w="357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Critérios internos; AGENTS § 14</w:t>
            </w:r>
          </w:p>
        </w:tc>
        <w:tc>
          <w:tcPr>
            <w:tcW w:w="357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Resultados esperados de desempenho, transporte, cabeçalhos e acessibilidade automatizada. Dependem da modalidade e da data do ensaio.</w:t>
            </w:r>
          </w:p>
        </w:tc>
      </w:tr>
    </w:tbl>
    <w:p>
      <w:pPr>
        <w:pStyle w:val="Normal"/>
        <w:spacing w:lineRule="auto" w:line="240" w:before="0" w:after="20"/>
        <w:rPr/>
      </w:pPr>
      <w:r>
        <w:rPr/>
      </w:r>
    </w:p>
    <w:p>
      <w:pPr>
        <w:pStyle w:val="Source"/>
        <w:rPr/>
      </w:pPr>
      <w:r>
        <w:rPr/>
        <w:t>Fonte: AGENTS.md, §§ 4–16; AGENTE-DOCUMENTACAO.md, política de fontes e capítulo de requisitos.</w:t>
      </w:r>
    </w:p>
    <w:p>
      <w:pPr>
        <w:pStyle w:val="Heading2"/>
        <w:rPr/>
      </w:pPr>
      <w:bookmarkStart w:id="147" w:name="__RefHeading___Toc8836_608013930"/>
      <w:bookmarkEnd w:id="147"/>
      <w:r>
        <w:rPr/>
        <w:t>Critérios de classificação e de aplicabilidade</w:t>
      </w:r>
    </w:p>
    <w:p>
      <w:pPr>
        <w:pStyle w:val="Normal"/>
        <w:rPr/>
      </w:pPr>
      <w:r>
        <w:rPr/>
        <w:t>ATENDIDO significa evidência suficiente para o requisito delimitado na linha da matriz; não representa uma aprovação indistinta do sistema. PARCIALMENTE ATENDIDO indica demonstração incompleta ou diferenças materiais de escopo. NÃO ATENDIDO é usado quando existe evidência de desvio. NÃO VERIFICADO identifica ausência de exame ou prova. NÃO APLICÁVEL só deve ser utilizado com justificativa explícita.</w:t>
      </w:r>
    </w:p>
    <w:p>
      <w:pPr>
        <w:pStyle w:val="Normal"/>
        <w:rPr/>
      </w:pPr>
      <w:r>
        <w:rPr/>
        <w:t>Os itens de proteção de dados e acessibilidade são aplicáveis porque o Educa trata dados de pessoas identificadas e oferece funcionalidades públicas e autenticadas. Já a execução de aulas e os processos de seleção das empresas ocorrem nos ambientes dos parceiros. A aplicação não é documentada como um LMS, um emissor de certificado acadêmico, um sistema de recrutamento integral ou um mecanismo de aprovação automática de documentos.</w:t>
      </w:r>
    </w:p>
    <w:p>
      <w:pPr>
        <w:pStyle w:val="Normal"/>
        <w:rPr/>
      </w:pPr>
      <w:r>
        <w:rPr/>
        <w:t>Nos requisitos organizacionais, o limite do material disponível é mantido explícito. Um aceite em formulário não demonstra sozinho adequação da base legal, cumprimento de retenção, resposta aos titulares ou gestão de incidentes. Esses assuntos permanecem com os responsáveis institucionais, embora o sistema disponha de recursos técnicos que apoiem sua execução.</w:t>
      </w:r>
    </w:p>
    <w:p>
      <w:pPr>
        <w:pStyle w:val="Heading2"/>
        <w:rPr/>
      </w:pPr>
      <w:bookmarkStart w:id="148" w:name="__RefHeading___Toc8838_608013930"/>
      <w:bookmarkEnd w:id="148"/>
      <w:r>
        <w:rPr/>
        <w:t>Matriz de arquitetura, identidade e integridade</w:t>
      </w:r>
    </w:p>
    <w:p>
      <w:pPr>
        <w:pStyle w:val="Caption"/>
        <w:keepNext w:val="true"/>
        <w:rPr/>
      </w:pPr>
      <w:r>
        <w:rPr/>
        <w:t xml:space="preserve">Tabela </w:t>
      </w:r>
      <w:bookmarkStart w:id="149" w:name="tbl77"/>
      <w:r>
        <w:rPr/>
        <w:fldChar w:fldCharType="begin"/>
      </w:r>
      <w:r>
        <w:rPr/>
        <w:instrText xml:space="preserve"> SEQ Tabela \* ARABIC </w:instrText>
      </w:r>
      <w:r>
        <w:rPr/>
        <w:fldChar w:fldCharType="separate"/>
      </w:r>
      <w:r>
        <w:rPr/>
        <w:t>77</w:t>
      </w:r>
      <w:r>
        <w:rPr/>
        <w:fldChar w:fldCharType="end"/>
      </w:r>
      <w:bookmarkEnd w:id="149"/>
      <w:r>
        <w:rPr/>
        <w:t xml:space="preserve"> — Rastreabilidade dos controles de arquitetura e processamento.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680"/>
        <w:gridCol w:w="2381"/>
        <w:gridCol w:w="3231"/>
        <w:gridCol w:w="3232"/>
      </w:tblGrid>
      <w:tr>
        <w:trPr>
          <w:tblHeader w:val="true"/>
          <w:cantSplit/>
        </w:trPr>
        <w:tc>
          <w:tcPr>
            <w:tcW w:w="68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Requisito</w:t>
            </w:r>
          </w:p>
        </w:tc>
        <w:tc>
          <w:tcPr>
            <w:tcW w:w="323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Evidência e método</w:t>
            </w:r>
          </w:p>
        </w:tc>
        <w:tc>
          <w:tcPr>
            <w:tcW w:w="323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 e limite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Conector educacional e jornada declaratória — AGENTS § 1.</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Links externos, snapshots e estados em src/pages, src/hooks e controladores de jornadas. Inspeção integrada do fluxo cliente–API.</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 código. Matrícula e seleção efetivas pertencem ao parceiro.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Monólito React/Express; sem Cloud Functions — §§ 4 e 7.</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server.ts compõe rotas e entrega o cliente; build gera dist/client e dist/server.cjs. Ausência de implementação Cloud Functions na fonte recebida.</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na arquitetura versionada. Configuração real do Cloud Run não foi inspecionada.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Zustand para estado global e factories da API — § 5.</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src/store utiliza Zustand; create*Api recebe Auth; src/api/index.ts injeta a instância. Leitura dos módulos e chamadas.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 escopo de gerenciamento de estado e clientes HTTP.</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REQ-04</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Escritas de aplicação concentradas no backend — §§ 9 e 11.</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Cliente envia fetch; rotas verificam identidade e usam Admin SDK. Não foram identificadas chamadas mutáveis setDoc/updateDoc/addDoc no cliente.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no código analisado. Operações próprias do Firebase Auth não são escrita direta de jornadas.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REQ-05</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Bloqueio de acesso direto aos dados — § 12.</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firestore.rules e storage.rules contêm negação geral de leitura e escrita pelos clientes. Verificação dos arquivos de IaC.</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na configuração versionada. Publicação das regras e IAM não foram verificadas nesta edição.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REQ-06</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Autenticação e identidade obtida do token — §§ 9 e 11.</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As 11 verificações de ID token usam verifyIdToken(token, true); uid orienta operações privadas. Diferenciação 401/503 em isClientAuthError.</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no código. Evidências locais complementares estão delimitadas no capítulo de testes.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REQ-07</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Validação de entradas e identificação oficial — §§ 9 e 10.</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Schemas Zod nas rotas; validação matemática de CPF; snapshots reconstruídos do catálogo; transições controladas no servidor.</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para contratos examinados. Validação sintática não comprova, sozinha, cumprimento de toda a Lei de Governo Digital.</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REQ-08</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Validação e limite de certificado — § 9.</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Cliente e servidor aplicam 1 MiB; MIME permitido, assinatura inicial, geração de nome próprio e prefixo por UID. Inspeção da rota e cliente.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ao teto de 5 MB com limite mais restritivo. Assinatura inicial não equivale a antivírus ou validação acadêmica.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REQ-09</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Vínculo de certificado ao usuário e ao curso.</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Schema valida prefixo certificados/{uid}; cursoTag e verificações de existência, vínculo e avaliação antecedem EM_ANALISE.</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 fluxo documentado, com tratamento próprio para arquivos legados já vinculados.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REQ-10</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URLs externas seguras e prevenção de HTML bruto — § 9.</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sanitizeUrlForOpenRedirect exige HTTPS; links institucionais validam protocolo; React apresenta textos; não identificado dangerouslySetInnerHTML.</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nos pontos examinados. Não equivale à garantia de segurança de todo destino de parceiro.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REQ-11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Core AppSec e controles de borda — § 12.</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Helmet, CSP, HSTS, trust proxy e rate limits permanecem em server.ts; schemas e proteção de identificadores presentes.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na fonte congelada. Alterações futuras exigem preservação dos controles e avaliação de contexto.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REQ-12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Transações sem efeitos HTTP duplicáveis.</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Controladores retornam sinais após db.runTransaction; respostas e incrementos de cache ocorrem depois da confirmação; marcadores protegem contadores.</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nos fluxos de matrícula, contratação e criação de perfil revisados.</w:t>
            </w:r>
          </w:p>
        </w:tc>
      </w:tr>
    </w:tbl>
    <w:p>
      <w:pPr>
        <w:pStyle w:val="Normal"/>
        <w:spacing w:lineRule="auto" w:line="240" w:before="0" w:after="20"/>
        <w:rPr/>
      </w:pPr>
      <w:r>
        <w:rPr/>
      </w:r>
    </w:p>
    <w:p>
      <w:pPr>
        <w:pStyle w:val="Source"/>
        <w:rPr/>
      </w:pPr>
      <w:r>
        <w:rPr/>
        <w:t>Fonte: AGENTS.md; server.ts; server/routes; server/controllers; src/api; src/store; src/lib/validators.ts; data-plane-iac; revisão 52c5224.</w:t>
      </w:r>
    </w:p>
    <w:p>
      <w:pPr>
        <w:pStyle w:val="Heading2"/>
        <w:rPr/>
      </w:pPr>
      <w:bookmarkStart w:id="150" w:name="__RefHeading___Toc8840_608013930"/>
      <w:bookmarkEnd w:id="150"/>
      <w:r>
        <w:rPr/>
        <w:t>Matriz de dados pessoais e governança</w:t>
      </w:r>
    </w:p>
    <w:p>
      <w:pPr>
        <w:pStyle w:val="Caption"/>
        <w:keepNext w:val="true"/>
        <w:rPr/>
      </w:pPr>
      <w:r>
        <w:rPr/>
        <w:t xml:space="preserve">Tabela </w:t>
      </w:r>
      <w:bookmarkStart w:id="151" w:name="tbl78"/>
      <w:r>
        <w:rPr/>
        <w:fldChar w:fldCharType="begin"/>
      </w:r>
      <w:r>
        <w:rPr/>
        <w:instrText xml:space="preserve"> SEQ Tabela \* ARABIC </w:instrText>
      </w:r>
      <w:r>
        <w:rPr/>
        <w:fldChar w:fldCharType="separate"/>
      </w:r>
      <w:r>
        <w:rPr/>
        <w:t>78</w:t>
      </w:r>
      <w:r>
        <w:rPr/>
        <w:fldChar w:fldCharType="end"/>
      </w:r>
      <w:bookmarkEnd w:id="151"/>
      <w:r>
        <w:rPr/>
        <w:t xml:space="preserve"> — Rastreabilidade da proteção de dados e dos limites organizacionais.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680"/>
        <w:gridCol w:w="2381"/>
        <w:gridCol w:w="3231"/>
        <w:gridCol w:w="3232"/>
      </w:tblGrid>
      <w:tr>
        <w:trPr>
          <w:tblHeader w:val="true"/>
          <w:cantSplit/>
        </w:trPr>
        <w:tc>
          <w:tcPr>
            <w:tcW w:w="68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Requisito ou assunto</w:t>
            </w:r>
          </w:p>
        </w:tc>
        <w:tc>
          <w:tcPr>
            <w:tcW w:w="323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Evidência e método</w:t>
            </w:r>
          </w:p>
        </w:tc>
        <w:tc>
          <w:tcPr>
            <w:tcW w:w="323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 e limite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Reduzir exposição de CPF, celular e e-mail selecionado.</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processProfileSecurityData produz HMAC/PBKDF2; principal armazena campos derivados; AES-GCM protege CPF/celular/e-mail enviados ao Cofre.</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 mecanismo descrito. Nome e demais campos não são todos cifrados; não se afirma anonimização do banco.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Cofre restrito a leads e envio não bloqueante — § 16.</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atualizarPerfil e atualizarContato usam saveToVault com campos cadastrais; chamadas tratam rejeição em background.</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no escopo. Não existe atomicidade distribuída, fila durável ou comprovação de entrega em todo desligamento da instância.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Logs sem dados sensíveis desnecessários — § 10.</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sanitizeLogText mascara tokens, e-mails, CPF e formatos de telefone; getSafeRouteId reduz rotas a famílias estáveis.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nos emissores revisados. Máscaras por padrão não equivalem a exame de todos os logs da infraestrutura.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DAD-04</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Aceite e transparência do cadastro.</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Zod exige lgpd=true em novo perfil; documentos de privacidade, termos e preferências estão na interface.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há recursos implementados; validade, base legal e efetividade institucional não foram comprovadas por eles.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DAD-05</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Compatibilidade dos perfis legados.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isUserProfileComplete exige nome, cpfHash e uf, aceitando lgpdAceite ausente quando não é false.</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como comportamento do código. A condição não comprova aceite positivo de todos os cadastros históricos.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DAD-06</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Segredos e permissões no ambiente.</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Leitura de variáveis/volume seguro no servidor; valores corretos declarados pelo responsável. Sem consulta a consoles ou conteúdo secreto.</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VERIFICADO quanto à configuração efetiva, IAM e rotação. A declaração não foi apresentada como inspeção independente.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DAD-07</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Retenção, direitos dos titulares e resposta a incidentes.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Avisos institucionais e canais visíveis apoiam comunicação; não foram fornecidos registros completos dos procedimentos de execução.</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VERIFICADO no plano organizacional. A documentação não cria prazos ou garantias operacionais sem fonte.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DAD-08</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Atributos de cookies da hospedagem.</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Webbkoll p. 32 mostra GAESA sem Secure/HttpOnly/SameSite; Observatory p. 1 registra observação de cookie com HSTS presente.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no registro externo: origem/finalidade não demonstradas. Não se atribui automaticamente o cookie à autenticação do Educa.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DAD-09</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Certificados enviados sem vínculo confirmado.</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Upload grava objeto antes da transição de jornada; reaproveitamento em memória reduz reenvio após falha de PATCH.</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VERIFICADO o processo externo de limpeza. Não há evidência de exposição pública ou retenção indefinida; a pendência é operacional.</w:t>
            </w:r>
          </w:p>
        </w:tc>
      </w:tr>
    </w:tbl>
    <w:p>
      <w:pPr>
        <w:pStyle w:val="Normal"/>
        <w:spacing w:lineRule="auto" w:line="240" w:before="0" w:after="20"/>
        <w:rPr/>
      </w:pPr>
      <w:r>
        <w:rPr/>
      </w:r>
    </w:p>
    <w:p>
      <w:pPr>
        <w:pStyle w:val="Source"/>
        <w:rPr/>
      </w:pPr>
      <w:r>
        <w:rPr/>
        <w:t>Fonte histórica citada no Word de origem: AGENTS.md, §§ 6, 10, 11 e 16; server/utils/sanitizers.ts; server/utils/logSanitizer.ts; server/services/crypto.ts e vault.ts; controladores de usuários; src/components/ui/documents; Análises Site Crasp Educa.pdf, p. 1 e p. 29–35; informações do responsável.</w:t>
      </w:r>
    </w:p>
    <w:p>
      <w:pPr>
        <w:pStyle w:val="Heading2"/>
        <w:rPr/>
      </w:pPr>
      <w:bookmarkStart w:id="152" w:name="__RefHeading___Toc8842_608013930"/>
      <w:bookmarkEnd w:id="152"/>
      <w:r>
        <w:rPr/>
        <w:t>Matriz de acessibilidade, desempenho e evidências externas</w:t>
      </w:r>
    </w:p>
    <w:p>
      <w:pPr>
        <w:pStyle w:val="Caption"/>
        <w:keepNext w:val="true"/>
        <w:rPr/>
      </w:pPr>
      <w:r>
        <w:rPr/>
        <w:t xml:space="preserve">Tabela </w:t>
      </w:r>
      <w:bookmarkStart w:id="153" w:name="tbl79"/>
      <w:r>
        <w:rPr/>
        <w:fldChar w:fldCharType="begin"/>
      </w:r>
      <w:r>
        <w:rPr/>
        <w:instrText xml:space="preserve"> SEQ Tabela \* ARABIC </w:instrText>
      </w:r>
      <w:r>
        <w:rPr/>
        <w:fldChar w:fldCharType="separate"/>
      </w:r>
      <w:r>
        <w:rPr/>
        <w:t>79</w:t>
      </w:r>
      <w:r>
        <w:rPr/>
        <w:fldChar w:fldCharType="end"/>
      </w:r>
      <w:bookmarkEnd w:id="153"/>
      <w:r>
        <w:rPr/>
        <w:t xml:space="preserve"> — Rastreabilidade da interface e das metas de avaliações externas.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680"/>
        <w:gridCol w:w="2381"/>
        <w:gridCol w:w="3231"/>
        <w:gridCol w:w="3232"/>
      </w:tblGrid>
      <w:tr>
        <w:trPr>
          <w:tblHeader w:val="true"/>
          <w:cantSplit/>
        </w:trPr>
        <w:tc>
          <w:tcPr>
            <w:tcW w:w="68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Requisito</w:t>
            </w:r>
          </w:p>
        </w:tc>
        <w:tc>
          <w:tcPr>
            <w:tcW w:w="323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Evidência e método</w:t>
            </w:r>
          </w:p>
        </w:tc>
        <w:tc>
          <w:tcPr>
            <w:tcW w:w="323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 e limite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ACE-01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Interface semântica, nomes e estados acessíveis.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Controles nativos, labels, aria-current, aria-pressed, status e alertas; FAQ usa aria-hidden quando fechado. Inspeção do cliente.</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nos mecanismos identificados. Não é declaração de conformidade completa de todas as telas.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Teclado, modais e visibilidade do foco.</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modalScroll.ts filtra controles ocultos, limita Tab e restaura foco; SearchableSelect trata setas, Enter e Escape; foco visível em Institutions.</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quanto à meta universal. Há testes focados; não há cobertura integral de dispositivos e tecnologias assistivas.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ACE-03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Acessibilidade automatizada — meta WAVE.</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PDF p. 26–28: zero erros, contraste e alertas; AIM 10/10. A página pública está carregada nas capturas.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para a visita documentada. Não cobre automaticamente login, cadastro, painel e todos os critérios WCAG AA.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ACE-04</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WCAG 2.2 AA/e-MAG e inclusão.</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Mecanismos do código, testes focados e resultados automáticos oferecem evidência parcial de suporte à acessibilidade.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no escopo demonstrado. Avaliação de todos os critérios e leitores de tela não foi fornecida.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PageSpeed desempenho e SEO 100 — AGENTS § 14.</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Desktop com desempenho 100 e SEO 100; mobile com desempenho 99 e SEO 100. Resultados laboratoriais de 16/10/2026 no PDF.</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PARCIALMENTE ATENDIDO à meta literal de 100: mobile registra 99. Não há dados de campo para avaliação real de todos os usuários.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Práticas recomendadas 96 com exceção específica.</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Desktop e mobile 96; alerta de proporção de imagem em painel recolhido. AGENTS tolera 96 quando a causa é exclusivamente VLibras.</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VERIFICADO o enquadramento integral da exceção: a captura não identifica o arquivo. Não editar o widget para suprimir a métrica.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DES-03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WebPageTest LCP &lt; 1,5 s; TBT 0; CLS 0.</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PDF p. 25: LCP 1,148 s, TBT 0 e CLS 0 na execução desktop de rede rápida, em 16/10/2026.</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no ensaio apresentado. Não extrapolado ao teste mobile PageSpeed, que usa condições diferentes.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SEG-01</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Observatory e SecurityHeaders A+ — § 14.</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PDF p. 1: A+, 140/100, 11/12; p. 22–23: A+. Leitura de notas e observações dos relatórios.</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às notas exigidas. Não ocultar observações de cookie ou apresentar 12/12 quando a captura mostra 11/12.</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SEG-02</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Classificação TLS A+ — § 14.</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PDF p. 24: os 16 endpoints IPv4/IPv6 aparecem A+. O resumo não detalha todas as cifras/protocolos.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à classificação apresentada. Não se afirma que 16 endpoints representam 16 aplicações ou ambientes.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SEG-03</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SRI e compatibilidade VLibras.</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Loader mantém integrity/anonymous na tentativa e repetição; build injeta SRI; PDF Webbkoll apresenta SRI favorável.</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na implementação e registro disponível. Não comprovados todos os recursos transitivos do fornecedor ou sua imutabilidade futura.</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SEG-04</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Tratamento contextual de COEP e CSP.</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COEP desativado; código e capturas preservam política de origens com exceções. style-src-attr permite unsafe-inline.</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à decisão arquitetural documentada. Não afirmar isolamento completo entre origens ou bloqueio universal de estilo inline.</w:t>
            </w:r>
          </w:p>
        </w:tc>
      </w:tr>
    </w:tbl>
    <w:p>
      <w:pPr>
        <w:pStyle w:val="Normal"/>
        <w:spacing w:lineRule="auto" w:line="240" w:before="0" w:after="20"/>
        <w:rPr/>
      </w:pPr>
      <w:r>
        <w:rPr/>
      </w:r>
    </w:p>
    <w:p>
      <w:pPr>
        <w:pStyle w:val="Source"/>
        <w:rPr/>
      </w:pPr>
      <w:r>
        <w:rPr/>
        <w:t>Fonte histórica citada no Word de origem: AGENTS.md, §§ 3, 9, 10, 14 e 15; src/lib/modalScroll.ts; componentes de navegação, FAQ, instituições e VLibras; scripts/inject-sri.ts; Análises Site Crasp Educa.pdf, p. 1–35.</w:t>
      </w:r>
    </w:p>
    <w:p>
      <w:pPr>
        <w:pStyle w:val="Heading2"/>
        <w:rPr/>
      </w:pPr>
      <w:bookmarkStart w:id="154" w:name="__RefHeading___Toc8844_608013930"/>
      <w:bookmarkEnd w:id="154"/>
      <w:r>
        <w:rPr/>
        <w:t>Matriz de manutenção, capacidade e processo</w:t>
      </w:r>
    </w:p>
    <w:p>
      <w:pPr>
        <w:pStyle w:val="Caption"/>
        <w:keepNext w:val="true"/>
        <w:rPr/>
      </w:pPr>
      <w:r>
        <w:rPr/>
        <w:t xml:space="preserve">Tabela </w:t>
      </w:r>
      <w:bookmarkStart w:id="155" w:name="tbl80"/>
      <w:r>
        <w:rPr/>
        <w:fldChar w:fldCharType="begin"/>
      </w:r>
      <w:r>
        <w:rPr/>
        <w:instrText xml:space="preserve"> SEQ Tabela \* ARABIC </w:instrText>
      </w:r>
      <w:r>
        <w:rPr/>
        <w:fldChar w:fldCharType="separate"/>
      </w:r>
      <w:r>
        <w:rPr/>
        <w:t>80</w:t>
      </w:r>
      <w:r>
        <w:rPr/>
        <w:fldChar w:fldCharType="end"/>
      </w:r>
      <w:bookmarkEnd w:id="155"/>
      <w:r>
        <w:rPr/>
        <w:t xml:space="preserve"> — Rastreabilidade das metas internas e dos limites de manutenção.</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680"/>
        <w:gridCol w:w="2381"/>
        <w:gridCol w:w="3231"/>
        <w:gridCol w:w="3232"/>
      </w:tblGrid>
      <w:tr>
        <w:trPr>
          <w:tblHeader w:val="true"/>
          <w:cantSplit/>
        </w:trPr>
        <w:tc>
          <w:tcPr>
            <w:tcW w:w="680"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238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Requisito ou assunto</w:t>
            </w:r>
          </w:p>
        </w:tc>
        <w:tc>
          <w:tcPr>
            <w:tcW w:w="3231"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Evidência e método</w:t>
            </w:r>
          </w:p>
        </w:tc>
        <w:tc>
          <w:tcPr>
            <w:tcW w:w="3232"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Situação e limite</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MAN-01</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Módulos com teto entre 250 e 300 linhas — § 9.</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Medição de 115 arquivos TS/TSX da revisão: nenhum acima de 300; server.ts é o maior, com 286 linhas.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ao limite superior da faixa. 250 não foi tratado como teto universal contrário à redação do AGENTS.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MAN-02</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Funções com até 30 linhas — § 9.</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Medição AST por extensão física: 114 funções/callbacks acima de 30, distribuídas por 78 arquivos. Inclui JSX, comentários, linhas vazias e funções aninhadas.</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ATENDIDO integralmente. A contagem não significa 114 defeitos funcionais ou vulnerabilidades.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MAN-03</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Evitar linhas com mais de 120 caracteres — § 9.</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537 linhas em 75 arquivos; contagem por unidades UTF-16. Parte do volume decorre de SVG, JSX e classes de apresentação.</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ATENDIDO integralmente à orientação. Priorizar leitura da lógica antes de intervenções cosméticas.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MAN-04</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Complexidade V(G) ≤ 3 em API/serviços e ≤ 7 em React.</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Limiares declarados no AGENTS; eslint.config.mjs não impõe essa regra; não houve medição global de complexidade neste levantamento.</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NÃO VERIFICADO. Lint aprovado não foi convertido em comprovação desses limites.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MAN-05</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ΔMheap = 0 e 60 FPS — metas internas.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Há remoção de listeners e timers em vários módulos, mas não foi apresentado ensaio global de heap ou taxa sustentada de quadros.</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NÃO VERIFICADO como igualdade numérica e meta universal. Não atribuir esses limites diretamente à ISO/IEC 25010.</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MAN-06</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Leitura de catálogos apenas no contexto necessário.</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Cache lazy/backend é implementado; criação de jornadas também carrega catálogo para confirmar o item oficial.</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à redação literal de § 6, que cita apenas Explorar. A carga adicional serve à validação autoritativa da operação.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MAN-07</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Histórico consolidado e catálogos particionados.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usuarios/{uid} contém jornadas; MAX_ARRAY_LIMIT = 150 por tipo; catálogos parte* e cache obedecem ao padrão de § 13.</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na arquitetura. 150 itens não elimina o limite de tamanho do documento Firestore nem representa garantia de custo fixo vitalício.</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MAN-08</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Conformidade de licenças e política GPL/AGPL.</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Lockfile contém 596 entradas de dependências, nenhuma licença declarada GPL/AGPL; uma entrada, limiter 1.1.5, sem campo license.</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PARCIALMENTE ATENDIDO no inventário de metadados. Não substitui exame das licenças, programa OpenChain ou SBOM formal.</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MAN-09</w:t>
            </w:r>
          </w:p>
        </w:tc>
        <w:tc>
          <w:tcPr>
            <w:tcW w:w="238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Encerramento administrativo de certificados.</w:t>
            </w:r>
          </w:p>
        </w:tc>
        <w:tc>
          <w:tcPr>
            <w:tcW w:w="3231"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CONCLUIDO é apresentado no modelo; a API do aluno não autoriza aprovar livremente EM_ANALISE. Responsável confirmou outro sistema/processo.</w:t>
            </w:r>
          </w:p>
        </w:tc>
        <w:tc>
          <w:tcPr>
            <w:tcW w:w="3232"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ATENDIDO à separação declarada de responsabilidades. Implementação e trilha do processo administrativo externo não foram auditadas.</w:t>
            </w:r>
          </w:p>
        </w:tc>
      </w:tr>
      <w:tr>
        <w:trPr>
          <w:cantSplit/>
        </w:trPr>
        <w:tc>
          <w:tcPr>
            <w:tcW w:w="680"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MAN-10</w:t>
            </w:r>
          </w:p>
        </w:tc>
        <w:tc>
          <w:tcPr>
            <w:tcW w:w="238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Fallback e previsibilidade de respostas.</w:t>
            </w:r>
          </w:p>
        </w:tc>
        <w:tc>
          <w:tcPr>
            <w:tcW w:w="3231"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Produção envia index.html para GET desconhecido, incluindo caminhos API não registrados; manifestos well-known possuem tratamento específico.</w:t>
            </w:r>
          </w:p>
        </w:tc>
        <w:tc>
          <w:tcPr>
            <w:tcW w:w="3232"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ATENDIDO como descrição do comportamento atual. Resposta SPA 200 para API inexistente permanece ressalva de semântica HTTP.</w:t>
            </w:r>
          </w:p>
        </w:tc>
      </w:tr>
    </w:tbl>
    <w:p>
      <w:pPr>
        <w:pStyle w:val="Normal"/>
        <w:spacing w:lineRule="auto" w:line="240" w:before="0" w:after="20"/>
        <w:rPr/>
      </w:pPr>
      <w:r>
        <w:rPr/>
      </w:r>
    </w:p>
    <w:p>
      <w:pPr>
        <w:pStyle w:val="Source"/>
        <w:rPr/>
      </w:pPr>
      <w:r>
        <w:rPr/>
        <w:t>Fonte: AGENTS.md, §§ 6, 9, 10, 13 e 15; medição estática da revisão 52c5224; eslint.config.mjs; package-lock.json; server.ts; controladores e serviços; informação do responsável.</w:t>
      </w:r>
    </w:p>
    <w:p>
      <w:pPr>
        <w:pStyle w:val="Heading2"/>
        <w:rPr/>
      </w:pPr>
      <w:bookmarkStart w:id="156" w:name="__RefHeading___Toc8846_608013930"/>
      <w:bookmarkEnd w:id="156"/>
      <w:r>
        <w:rPr/>
        <w:t>Pendências, divergências e acompanhamento</w:t>
      </w:r>
    </w:p>
    <w:p>
      <w:pPr>
        <w:pStyle w:val="Normal"/>
        <w:rPr/>
      </w:pPr>
      <w:r>
        <w:rPr/>
        <w:t>As situações acima preservam a rastreabilidade do que está implementado e do que depende de acompanhamento. A avaliação histórica de aptidão para produção é informação do documento de entrada; esta edição não a revalida, não emite certificação jurídica e não declara funcionamento de serviços sem as credenciais necessárias.</w:t>
      </w:r>
    </w:p>
    <w:p>
      <w:pPr>
        <w:pStyle w:val="Normal"/>
        <w:rPr/>
      </w:pPr>
      <w:r>
        <w:rPr/>
        <w:t>A prioridade de manutenção deve considerar risco, clareza e estabilidade. A regra 15 exige avaliação contextual; ela não transforma todo excesso de linhas em falso positivo nem determina uma refatoração imediata sem benefício. Componentes com JSX extenso e funções com várias responsabilidades devem ser avaliados separadamente. Extrações futuras precisam preservar o cache e os contratos transacionais.</w:t>
      </w:r>
    </w:p>
    <w:p>
      <w:pPr>
        <w:pStyle w:val="Normal"/>
        <w:rPr/>
      </w:pPr>
      <w:r>
        <w:rPr/>
        <w:t>A limpeza de objetos sem vínculo deve distinguir certificados válidos de uploads abandonados. O repositório não comprova o processo externo de limpeza; essa ausência de evidência não autoriza afirmar vazamento ou retenção permanente. Uma eventual regra de ciclo de vida por idade só pode ser adotada após verificar o vínculo e as necessidades de guarda, para evitar remoção de certificados legítimos.</w:t>
      </w:r>
    </w:p>
    <w:p>
      <w:pPr>
        <w:pStyle w:val="Normal"/>
        <w:rPr/>
      </w:pPr>
      <w:r>
        <w:rPr/>
        <w:t>A diferença entre o requisito de carregar catálogos apenas ao explorar e o carregamento adicional durante a criação de jornadas deve ser mantida explícita. O backend precisa verificar o item oficial antes de criar a jornada; portanto, a documentação não descreve como implementada uma restrição absoluta de leitura que o código não segue literalmente. Trata-se de alinhamento entre regra escrita e mecanismo efetivo, sem autorização de mudança do produto.</w:t>
      </w:r>
    </w:p>
    <w:p>
      <w:pPr>
        <w:pStyle w:val="Normal"/>
        <w:rPr/>
      </w:pPr>
      <w:r>
        <w:rPr/>
        <w:t>Os apontamentos do cookie e da proporção de imagens devem conservar seu alcance original. O PDF não identifica a finalidade do GAESA nem o arquivo da imagem. A atribuição desses resultados ao código de autenticação ou exclusivamente ao VLibras exigiria evidência adicional. Não há justificativa documental para remover controles de integridade ou modificar o widget governamental apenas em busca de nota.</w:t>
      </w:r>
    </w:p>
    <w:p>
      <w:pPr>
        <w:pStyle w:val="Normal"/>
        <w:rPr/>
      </w:pPr>
      <w:r>
        <w:rPr/>
        <w:t>Para acompanhamento, os itens não verificados devem receber evidências próprias quando houver atividade correspondente: configuração de IAM, implantação das regras, rotina de limpeza, procedimentos de retenção, atendimento aos titulares, licenças e avaliações manuais de acessibilidade. Isso é um roteiro de rastreabilidade, não um novo pedido de intervenção em produção nem uma lista de bloqueios criados por esta documentação.</w:t>
      </w:r>
    </w:p>
    <w:p>
      <w:pPr>
        <w:pStyle w:val="Heading2"/>
        <w:rPr/>
      </w:pPr>
      <w:bookmarkStart w:id="157" w:name="__RefHeading___Toc8848_608013930"/>
      <w:bookmarkEnd w:id="157"/>
      <w:r>
        <w:rPr/>
        <w:t>Referências normativas para consulta institucional</w:t>
      </w:r>
    </w:p>
    <w:p>
      <w:pPr>
        <w:pStyle w:val="Caption"/>
        <w:keepNext w:val="true"/>
        <w:rPr/>
      </w:pPr>
      <w:r>
        <w:rPr/>
        <w:t xml:space="preserve">Tabela </w:t>
      </w:r>
      <w:bookmarkStart w:id="158" w:name="tbl81"/>
      <w:r>
        <w:rPr/>
        <w:fldChar w:fldCharType="begin"/>
      </w:r>
      <w:r>
        <w:rPr/>
        <w:instrText xml:space="preserve"> SEQ Tabela \* ARABIC </w:instrText>
      </w:r>
      <w:r>
        <w:rPr/>
        <w:fldChar w:fldCharType="separate"/>
      </w:r>
      <w:r>
        <w:rPr/>
        <w:t>81</w:t>
      </w:r>
      <w:r>
        <w:rPr/>
        <w:fldChar w:fldCharType="end"/>
      </w:r>
      <w:bookmarkEnd w:id="158"/>
      <w:r>
        <w:rPr/>
        <w:t xml:space="preserve"> — Endereços normativos e técnicos relacionados ao AGENTS.md.</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1757"/>
        <w:gridCol w:w="4194"/>
        <w:gridCol w:w="3573"/>
      </w:tblGrid>
      <w:tr>
        <w:trPr>
          <w:tblHeader w:val="true"/>
          <w:cantSplit/>
        </w:trPr>
        <w:tc>
          <w:tcPr>
            <w:tcW w:w="1757"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Referência</w:t>
            </w:r>
          </w:p>
        </w:tc>
        <w:tc>
          <w:tcPr>
            <w:tcW w:w="4194"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Endereço de consulta</w:t>
            </w:r>
          </w:p>
        </w:tc>
        <w:tc>
          <w:tcPr>
            <w:tcW w:w="3573"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Alcance documental</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LGPD</w:t>
            </w:r>
          </w:p>
        </w:tc>
        <w:tc>
          <w:tcPr>
            <w:tcW w:w="419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hyperlink r:id="rId16">
              <w:r>
                <w:rPr>
                  <w:rStyle w:val="Style"/>
                  <w:color w:val="233B82"/>
                  <w:u w:val="single"/>
                </w:rPr>
                <w:t>https://www.planalto.gov.br/ccivil_03/_ato2015-2018/2018/lei/l13709.htm</w:t>
              </w:r>
            </w:hyperlink>
          </w:p>
        </w:tc>
        <w:tc>
          <w:tcPr>
            <w:tcW w:w="357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 nº 13.709/2018; norteador identificado no AGENTS. Consulta direta indisponível nesta preparação.</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 Brasileira de Inclusão</w:t>
            </w:r>
          </w:p>
        </w:tc>
        <w:tc>
          <w:tcPr>
            <w:tcW w:w="419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hyperlink r:id="rId17">
              <w:r>
                <w:rPr>
                  <w:rStyle w:val="Style"/>
                  <w:color w:val="233B82"/>
                  <w:u w:val="single"/>
                </w:rPr>
                <w:t>https://www.planalto.gov.br/ccivil_03/_ato2015-2018/2015/lei/l13146.htm</w:t>
              </w:r>
            </w:hyperlink>
          </w:p>
        </w:tc>
        <w:tc>
          <w:tcPr>
            <w:tcW w:w="357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 nº 13.146/2015; utilizar texto oficial e análise institucional para decisões jurídicas.</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Governo Digital</w:t>
            </w:r>
          </w:p>
        </w:tc>
        <w:tc>
          <w:tcPr>
            <w:tcW w:w="419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hyperlink r:id="rId18">
              <w:r>
                <w:rPr>
                  <w:rStyle w:val="Style"/>
                  <w:color w:val="233B82"/>
                  <w:u w:val="single"/>
                </w:rPr>
                <w:t>https://www.planalto.gov.br/ccivil_03/_ato2019-2022/2021/lei/l14129.htm</w:t>
              </w:r>
            </w:hyperlink>
          </w:p>
        </w:tc>
        <w:tc>
          <w:tcPr>
            <w:tcW w:w="357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 nº 14.129/2021; enquadramento institucional não foi inferido dos schemas Zod.</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WCAG 2.2</w:t>
            </w:r>
          </w:p>
        </w:tc>
        <w:tc>
          <w:tcPr>
            <w:tcW w:w="419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hyperlink r:id="rId19">
              <w:r>
                <w:rPr>
                  <w:rStyle w:val="Style"/>
                  <w:color w:val="233B82"/>
                  <w:u w:val="single"/>
                </w:rPr>
                <w:t>https://www.w3.org/TR/WCAG22/</w:t>
              </w:r>
            </w:hyperlink>
          </w:p>
        </w:tc>
        <w:tc>
          <w:tcPr>
            <w:tcW w:w="357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Referência W3C para critérios de acessibilidade. Não foi afirmada cobertura integral de critérios AA.</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e-MAG</w:t>
            </w:r>
          </w:p>
        </w:tc>
        <w:tc>
          <w:tcPr>
            <w:tcW w:w="419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hyperlink r:id="rId20">
              <w:r>
                <w:rPr>
                  <w:rStyle w:val="Style"/>
                  <w:color w:val="233B82"/>
                  <w:u w:val="single"/>
                </w:rPr>
                <w:t>https://emag.governoeletronico.gov.br/</w:t>
              </w:r>
            </w:hyperlink>
          </w:p>
        </w:tc>
        <w:tc>
          <w:tcPr>
            <w:tcW w:w="357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Portal oficial indicado para o modelo; edição não definida pelo AGENTS e não presumida nesta matriz.</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ISO/IEC 25010</w:t>
            </w:r>
          </w:p>
        </w:tc>
        <w:tc>
          <w:tcPr>
            <w:tcW w:w="419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hyperlink r:id="rId21">
              <w:r>
                <w:rPr>
                  <w:rStyle w:val="Style"/>
                  <w:color w:val="233B82"/>
                  <w:u w:val="single"/>
                </w:rPr>
                <w:t>https://www.iso.org/standard/78176.html</w:t>
              </w:r>
            </w:hyperlink>
          </w:p>
        </w:tc>
        <w:tc>
          <w:tcPr>
            <w:tcW w:w="357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Referência de catálogo para o modelo de qualidade; sem alegação de acesso ao texto integral ou de certificação.</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ISO/IEC 5230</w:t>
            </w:r>
          </w:p>
        </w:tc>
        <w:tc>
          <w:tcPr>
            <w:tcW w:w="419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hyperlink r:id="rId22">
              <w:r>
                <w:rPr>
                  <w:rStyle w:val="Style"/>
                  <w:color w:val="233B82"/>
                  <w:u w:val="single"/>
                </w:rPr>
                <w:t>https://www.iso.org/standard/81039.html</w:t>
              </w:r>
            </w:hyperlink>
          </w:p>
        </w:tc>
        <w:tc>
          <w:tcPr>
            <w:tcW w:w="357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Referência de catálogo de conformidade de licenças; nomenclatura normalizada nesta documentação.</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OpenChain</w:t>
            </w:r>
          </w:p>
        </w:tc>
        <w:tc>
          <w:tcPr>
            <w:tcW w:w="4194"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hyperlink r:id="rId23">
              <w:r>
                <w:rPr>
                  <w:rStyle w:val="Style"/>
                  <w:color w:val="233B82"/>
                  <w:u w:val="single"/>
                </w:rPr>
                <w:t>https://www.openchainproject.org/license-compliance</w:t>
              </w:r>
            </w:hyperlink>
          </w:p>
        </w:tc>
        <w:tc>
          <w:tcPr>
            <w:tcW w:w="3573"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Referência do projeto de conformidade de licenças. Não confundir o programa com inspeção de vulnerabilidades npm.</w:t>
            </w:r>
          </w:p>
        </w:tc>
      </w:tr>
      <w:tr>
        <w:trPr>
          <w:cantSplit/>
        </w:trPr>
        <w:tc>
          <w:tcPr>
            <w:tcW w:w="1757"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OWASP Top 10</w:t>
            </w:r>
          </w:p>
        </w:tc>
        <w:tc>
          <w:tcPr>
            <w:tcW w:w="4194"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hyperlink r:id="rId24">
              <w:r>
                <w:rPr>
                  <w:rStyle w:val="Style"/>
                  <w:color w:val="233B82"/>
                  <w:u w:val="single"/>
                </w:rPr>
                <w:t>https://owasp.org/www-project-top-ten/</w:t>
              </w:r>
            </w:hyperlink>
          </w:p>
        </w:tc>
        <w:tc>
          <w:tcPr>
            <w:tcW w:w="3573"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Referência oficial do projeto; AGENTS não fixa edição. Não é relatório de testes do CRA-SP Educa.</w:t>
            </w:r>
          </w:p>
        </w:tc>
      </w:tr>
    </w:tbl>
    <w:p>
      <w:pPr>
        <w:pStyle w:val="Normal"/>
        <w:spacing w:lineRule="auto" w:line="240" w:before="0" w:after="20"/>
        <w:rPr/>
      </w:pPr>
      <w:r>
        <w:rPr/>
      </w:r>
    </w:p>
    <w:p>
      <w:pPr>
        <w:pStyle w:val="Source"/>
        <w:rPr/>
      </w:pPr>
      <w:r>
        <w:rPr/>
        <w:t>Fonte: Levantamento do AGENTS.md e tentativa de consulta HTTP em 16/10/2026, bloqueada por proxy 403. URLs são referências de consulta; não foram apresentadas como comprovação de leitura integral atualizada.</w:t>
      </w:r>
    </w:p>
    <w:p>
      <w:pPr>
        <w:pStyle w:val="Heading3"/>
        <w:rPr/>
      </w:pPr>
      <w:r>
        <w:rPr/>
        <w:t>Rastreabilidade complementar das referências normativas</w:t>
      </w:r>
    </w:p>
    <w:p>
      <w:pPr>
        <w:pStyle w:val="Normal"/>
        <w:rPr/>
      </w:pPr>
      <w:r>
        <w:rPr/>
        <w:t>Esta matriz complementa as tabelas de controles técnicos. Cada registro mantém os campos de rastreabilidade previstos no item 9.4 do AGENTE-DOCUMENTACAO.md. As referências a dispositivos e edições são limitadas às fontes efetivamente acessíveis. Um artigo citado pelo AGENTS.md é identificado como atribuição do projeto quando seu texto oficial não foi conferido.</w:t>
      </w:r>
    </w:p>
    <w:p>
      <w:pPr>
        <w:pStyle w:val="Normal"/>
        <w:rPr/>
      </w:pPr>
      <w:r>
        <w:rPr/>
        <w:t>A situação NÃO VERIFICADO nas linhas abaixo refere-se à conclusão normativa completa, e não à inexistência dos mecanismos técnicos descritos. Os controles e seus alcances continuam nas tabelas anteriores. Consultas aos portais Planalto, W3C, e-MAG, ISO, OpenChain e OWASP permaneceram bloqueadas pelo proxy com resposta 403; não se acrescentam cláusulas, números de critérios ou edições não confirmadas.</w:t>
      </w:r>
    </w:p>
    <w:p>
      <w:pPr>
        <w:pStyle w:val="Caption"/>
        <w:keepNext w:val="true"/>
        <w:rPr/>
      </w:pPr>
      <w:r>
        <w:rPr/>
        <w:t xml:space="preserve">Tabela </w:t>
      </w:r>
      <w:bookmarkStart w:id="159" w:name="tbl82"/>
      <w:r>
        <w:rPr/>
        <w:fldChar w:fldCharType="begin"/>
      </w:r>
      <w:r>
        <w:rPr/>
        <w:instrText xml:space="preserve"> SEQ Tabela \* ARABIC </w:instrText>
      </w:r>
      <w:r>
        <w:rPr/>
        <w:fldChar w:fldCharType="separate"/>
      </w:r>
      <w:r>
        <w:rPr/>
        <w:t>82</w:t>
      </w:r>
      <w:r>
        <w:rPr/>
        <w:fldChar w:fldCharType="end"/>
      </w:r>
      <w:bookmarkEnd w:id="159"/>
      <w:r>
        <w:rPr/>
        <w:t xml:space="preserve"> — Referências, requisitos e aplicabilidade normativa por identificador.</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906"/>
        <w:gridCol w:w="4309"/>
        <w:gridCol w:w="4309"/>
      </w:tblGrid>
      <w:tr>
        <w:trPr>
          <w:tblHeader w:val="true"/>
          <w:cantSplit/>
        </w:trPr>
        <w:tc>
          <w:tcPr>
            <w:tcW w:w="906"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4309"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Fonte, referência e versão</w:t>
            </w:r>
          </w:p>
        </w:tc>
        <w:tc>
          <w:tcPr>
            <w:tcW w:w="4309"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Requisito e aplicabilidade</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NOR-01</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AGENTS.md, §§ 6, 10 e 16; Lei nº 13.709/2018 citada pelo projeto.</w:t>
            </w:r>
          </w:p>
          <w:p>
            <w:pPr>
              <w:pStyle w:val="TableText"/>
              <w:rPr/>
            </w:pPr>
            <w:r>
              <w:rPr/>
              <w:t>LGPD; art. 46 é citado no AGENTS § 16. A atribuição a esse dispositivo é registrada como declaração do projeto, sem conferência do texto oficial nesta etapa.</w:t>
            </w:r>
          </w:p>
          <w:p>
            <w:pPr>
              <w:pStyle w:val="TableText"/>
              <w:widowControl/>
              <w:bidi w:val="0"/>
              <w:spacing w:lineRule="auto" w:line="247" w:before="40" w:after="60"/>
              <w:jc w:val="start"/>
              <w:rPr/>
            </w:pPr>
            <w:r>
              <w:rPr/>
              <w:t>Lei nº 13.709/2018, conforme AGENTS; texto oficial atualizado não consultado.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Proteger dados pessoais de cadastro, contato, certificados e suporte; no requisito interno, cifrar CPF e celular enviados ao Cofre e reduzir exposição em logs.</w:t>
            </w:r>
          </w:p>
          <w:p>
            <w:pPr>
              <w:pStyle w:val="TableText"/>
              <w:widowControl/>
              <w:bidi w:val="0"/>
              <w:spacing w:lineRule="auto" w:line="247" w:before="40" w:after="60"/>
              <w:jc w:val="start"/>
              <w:rPr/>
            </w:pPr>
            <w:r>
              <w:rPr/>
              <w:t>Aplicabilidade: Aplicável porque os fluxos documentados recebem e persistem dados de pessoas identificadas.</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NOR-02</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AGENTS.md, § 10; Lei nº 13.146/2015 citada pelo projeto.</w:t>
            </w:r>
          </w:p>
          <w:p>
            <w:pPr>
              <w:pStyle w:val="TableText"/>
              <w:rPr/>
            </w:pPr>
            <w:r>
              <w:rPr/>
              <w:t>Lei Brasileira de Inclusão; obrigação de acessibilidade indicada internamente. Dispositivo específico não confirmado nesta edição.</w:t>
            </w:r>
          </w:p>
          <w:p>
            <w:pPr>
              <w:pStyle w:val="TableText"/>
              <w:widowControl/>
              <w:bidi w:val="0"/>
              <w:spacing w:lineRule="auto" w:line="247" w:before="40" w:after="60"/>
              <w:jc w:val="start"/>
              <w:rPr/>
            </w:pPr>
            <w:r>
              <w:rPr/>
              <w:t>Lei nº 13.146/2015 conforme AGENTS; texto oficial atualizado não consultado.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Oferecer acesso às funcionalidades digitais com recursos de acessibilidade e navegação por teclado.</w:t>
            </w:r>
          </w:p>
          <w:p>
            <w:pPr>
              <w:pStyle w:val="TableText"/>
              <w:widowControl/>
              <w:bidi w:val="0"/>
              <w:spacing w:lineRule="auto" w:line="247" w:before="40" w:after="60"/>
              <w:jc w:val="start"/>
              <w:rPr/>
            </w:pPr>
            <w:r>
              <w:rPr/>
              <w:t>Aplicabilidade: Aplicável ao contexto de páginas públicas, formulários e jornadas de usuários; enquadramento jurídico definitivo depende da análise institucional.</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NOR-03</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AGENTS.md, § 10; Lei nº 14.129/2021 citada pelo projeto.</w:t>
            </w:r>
          </w:p>
          <w:p>
            <w:pPr>
              <w:pStyle w:val="TableText"/>
              <w:rPr/>
            </w:pPr>
            <w:r>
              <w:rPr/>
              <w:t>Lei de Governo Digital; uso de Zod na borda é requisito interno associado pelo AGENTS, sem artigo específico confirmado.</w:t>
            </w:r>
          </w:p>
          <w:p>
            <w:pPr>
              <w:pStyle w:val="TableText"/>
              <w:widowControl/>
              <w:bidi w:val="0"/>
              <w:spacing w:lineRule="auto" w:line="247" w:before="40" w:after="60"/>
              <w:jc w:val="start"/>
              <w:rPr/>
            </w:pPr>
            <w:r>
              <w:rPr/>
              <w:t>Lei nº 14.129/2021 conforme AGENTS; texto oficial atualizado não consultado.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 âmbito interno, validar entradas nas rotas; avaliar separadamente o alcance institucional da Lei de Governo Digital.</w:t>
            </w:r>
          </w:p>
          <w:p>
            <w:pPr>
              <w:pStyle w:val="TableText"/>
              <w:widowControl/>
              <w:bidi w:val="0"/>
              <w:spacing w:lineRule="auto" w:line="247" w:before="40" w:after="60"/>
              <w:jc w:val="start"/>
              <w:rPr/>
            </w:pPr>
            <w:r>
              <w:rPr/>
              <w:t>Aplicabilidade: Validação de entradas aplica-se à API. A incidência de cada obrigação legal sobre a instituição não foi estabelecida pela leitura do código.</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NOR-04</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AGENTS.md, § 10; WCAG 2.2, nível AA, citada pelo projeto.</w:t>
            </w:r>
          </w:p>
          <w:p>
            <w:pPr>
              <w:pStyle w:val="TableText"/>
              <w:rPr/>
            </w:pPr>
            <w:r>
              <w:rPr/>
              <w:t>WCAG 2.2 AA; navegação por teclado, foco e semântica são temas associados. Números e textos de critérios de sucesso não são atribuídos sem consulta oficial nesta edição.</w:t>
            </w:r>
          </w:p>
          <w:p>
            <w:pPr>
              <w:pStyle w:val="TableText"/>
              <w:widowControl/>
              <w:bidi w:val="0"/>
              <w:spacing w:lineRule="auto" w:line="247" w:before="40" w:after="60"/>
              <w:jc w:val="start"/>
              <w:rPr/>
            </w:pPr>
            <w:r>
              <w:rPr/>
              <w:t>Versão 2.2 e nível AA expressos no AGENTS; confirmação do texto W3C não concluída.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Avaliar os critérios de acessibilidade aplicáveis a páginas, estados, controles e interações, com verificações automáticas e manuais.</w:t>
            </w:r>
          </w:p>
          <w:p>
            <w:pPr>
              <w:pStyle w:val="TableText"/>
              <w:widowControl/>
              <w:bidi w:val="0"/>
              <w:spacing w:lineRule="auto" w:line="247" w:before="40" w:after="60"/>
              <w:jc w:val="start"/>
              <w:rPr/>
            </w:pPr>
            <w:r>
              <w:rPr/>
              <w:t>Aplicabilidade: Aplicável à interface pública, autenticação, cadastro, exploração, painéis, modais e upload.</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NOR-05</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AGENTS.md, § 10; referência e-MAG.</w:t>
            </w:r>
          </w:p>
          <w:p>
            <w:pPr>
              <w:pStyle w:val="TableText"/>
              <w:rPr/>
            </w:pPr>
            <w:r>
              <w:rPr/>
              <w:t>Modelo de Acessibilidade em Governo Eletrônico; recomendações específicas não confirmadas nesta edição.</w:t>
            </w:r>
          </w:p>
          <w:p>
            <w:pPr>
              <w:pStyle w:val="TableText"/>
              <w:widowControl/>
              <w:bidi w:val="0"/>
              <w:spacing w:lineRule="auto" w:line="247" w:before="40" w:after="60"/>
              <w:jc w:val="start"/>
              <w:rPr/>
            </w:pPr>
            <w:r>
              <w:rPr/>
              <w:t>Edição não identificada no AGENTS.md; portal oficial indisponível via proxy 403.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Utilizar o modelo adotado pelo projeto como norteador, após identificar sua versão e recomendações aplicáveis.</w:t>
            </w:r>
          </w:p>
          <w:p>
            <w:pPr>
              <w:pStyle w:val="TableText"/>
              <w:widowControl/>
              <w:bidi w:val="0"/>
              <w:spacing w:lineRule="auto" w:line="247" w:before="40" w:after="60"/>
              <w:jc w:val="start"/>
              <w:rPr/>
            </w:pPr>
            <w:r>
              <w:rPr/>
              <w:t>Aplicabilidade: Aplicabilidade técnica à interface adotada internamente; obrigações institucionais precisam de avaliação própria.</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AGENTS.md, §§ 3, 9 e 10; referência ISO/IEC 25010 e metas internas de qualidade.</w:t>
            </w:r>
          </w:p>
          <w:p>
            <w:pPr>
              <w:pStyle w:val="TableText"/>
              <w:rPr/>
            </w:pPr>
            <w:r>
              <w:rPr/>
              <w:t>ISO/IEC 25010 como norteador. V(G), 60 FPS e ΔMheap = 0 são metas internas declaradas, sem atribuição de números à norma.</w:t>
            </w:r>
          </w:p>
          <w:p>
            <w:pPr>
              <w:pStyle w:val="TableText"/>
              <w:widowControl/>
              <w:bidi w:val="0"/>
              <w:spacing w:lineRule="auto" w:line="247" w:before="40" w:after="60"/>
              <w:jc w:val="start"/>
              <w:rPr/>
            </w:pPr>
            <w:r>
              <w:rPr/>
              <w:t>Edição da ISO/IEC 25010 não especificada no AGENTS; acesso ao catálogo oficial bloqueado por proxy 403.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Acompanhar qualidade e manutenção preservando as metas internas e distinguindo-as do conteúdo normativo que não foi consultado.</w:t>
            </w:r>
          </w:p>
          <w:p>
            <w:pPr>
              <w:pStyle w:val="TableText"/>
              <w:widowControl/>
              <w:bidi w:val="0"/>
              <w:spacing w:lineRule="auto" w:line="247" w:before="40" w:after="60"/>
              <w:jc w:val="start"/>
              <w:rPr/>
            </w:pPr>
            <w:r>
              <w:rPr/>
              <w:t>Aplicabilidade: Aplicável aos atributos e medições das camadas frontend/backend; critérios e alcance dependem da edição escolhida e do plano de avaliação.</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NOR-07</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AGENTS.md, § 10; referência interna chamada ISO 5230 e política de licenças.</w:t>
            </w:r>
          </w:p>
          <w:p>
            <w:pPr>
              <w:pStyle w:val="TableText"/>
              <w:rPr/>
            </w:pPr>
            <w:r>
              <w:rPr/>
              <w:t>ISO/IEC 5230 / OpenChain: relação com conformidade de licenças registrada no manual; vedação de GPL v3/AGPL é política interna. Requisitos da norma não foram confirmados nesta etapa.</w:t>
            </w:r>
          </w:p>
          <w:p>
            <w:pPr>
              <w:pStyle w:val="TableText"/>
              <w:widowControl/>
              <w:bidi w:val="0"/>
              <w:spacing w:lineRule="auto" w:line="247" w:before="40" w:after="60"/>
              <w:jc w:val="start"/>
              <w:rPr/>
            </w:pPr>
            <w:r>
              <w:rPr/>
              <w:t>Edição não identificada no AGENTS. Acesso ISO/OpenChain bloqueado por proxy 403.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Distinguir inventário de dependências, análise das licenças, política interna e programa de conformidade; não apresentar npm audit como auditoria de licenças.</w:t>
            </w:r>
          </w:p>
          <w:p>
            <w:pPr>
              <w:pStyle w:val="TableText"/>
              <w:widowControl/>
              <w:bidi w:val="0"/>
              <w:spacing w:lineRule="auto" w:line="247" w:before="40" w:after="60"/>
              <w:jc w:val="start"/>
              <w:rPr/>
            </w:pPr>
            <w:r>
              <w:rPr/>
              <w:t>Aplicabilidade: Aplicável às dependências de código aberto e ao processo institucional de distribuição/manutenção do sistema.</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NOR-08</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AGENTS.md, §§ 9, 12 e 15; OWASP Top 10 como referência AppSec.</w:t>
            </w:r>
          </w:p>
          <w:p>
            <w:pPr>
              <w:pStyle w:val="TableText"/>
              <w:rPr/>
            </w:pPr>
            <w:r>
              <w:rPr/>
              <w:t>OWASP Top 10; categorias e edição não fixadas pelo AGENTS. Os controles de autenticação, validação e proteção de dados são requisitos internos identificados.</w:t>
            </w:r>
          </w:p>
          <w:p>
            <w:pPr>
              <w:pStyle w:val="TableText"/>
              <w:widowControl/>
              <w:bidi w:val="0"/>
              <w:spacing w:lineRule="auto" w:line="247" w:before="40" w:after="60"/>
              <w:jc w:val="start"/>
              <w:rPr/>
            </w:pPr>
            <w:r>
              <w:rPr/>
              <w:t>Edição não identificada no AGENTS; acesso ao portal OWASP bloqueado por proxy 403. Referência técnica: commit 52c5224d3fb3372e97859468cf1d44439effdc18. Edição editorial 1.1: 16/10/2026.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Rastrear riscos e controles de aplicação na revisão analisada, sem tratar referência de boas práticas ou nota de scanner como certificação.</w:t>
            </w:r>
          </w:p>
          <w:p>
            <w:pPr>
              <w:pStyle w:val="TableText"/>
              <w:widowControl/>
              <w:bidi w:val="0"/>
              <w:spacing w:lineRule="auto" w:line="247" w:before="40" w:after="60"/>
              <w:jc w:val="start"/>
              <w:rPr/>
            </w:pPr>
            <w:r>
              <w:rPr/>
              <w:t>Aplicabilidade: Aplicável às fronteiras navegador/API, autenticação, entradas, dados e serviços externos.</w:t>
            </w:r>
          </w:p>
        </w:tc>
      </w:tr>
    </w:tbl>
    <w:p>
      <w:pPr>
        <w:pStyle w:val="Normal"/>
        <w:spacing w:lineRule="auto" w:line="240" w:before="0" w:after="20"/>
        <w:rPr/>
      </w:pPr>
      <w:r>
        <w:rPr/>
      </w:r>
    </w:p>
    <w:p>
      <w:pPr>
        <w:pStyle w:val="Caption"/>
        <w:keepNext w:val="true"/>
        <w:rPr/>
      </w:pPr>
      <w:r>
        <w:rPr/>
        <w:t xml:space="preserve">Tabela </w:t>
      </w:r>
      <w:bookmarkStart w:id="160" w:name="tbl83"/>
      <w:r>
        <w:rPr/>
        <w:fldChar w:fldCharType="begin"/>
      </w:r>
      <w:r>
        <w:rPr/>
        <w:instrText xml:space="preserve"> SEQ Tabela \* ARABIC </w:instrText>
      </w:r>
      <w:r>
        <w:rPr/>
        <w:fldChar w:fldCharType="separate"/>
      </w:r>
      <w:r>
        <w:rPr/>
        <w:t>83</w:t>
      </w:r>
      <w:r>
        <w:rPr/>
        <w:fldChar w:fldCharType="end"/>
      </w:r>
      <w:bookmarkEnd w:id="160"/>
      <w:r>
        <w:rPr/>
        <w:t xml:space="preserve"> — Implementação, método, situação e pendência das referências normativas.</w:t>
      </w:r>
    </w:p>
    <w:tbl>
      <w:tblPr>
        <w:tblW w:w="9524" w:type="dxa"/>
        <w:jc w:val="start"/>
        <w:tblInd w:w="103" w:type="dxa"/>
        <w:tblLayout w:type="fixed"/>
        <w:tblCellMar>
          <w:top w:w="57" w:type="dxa"/>
          <w:start w:w="108" w:type="dxa"/>
          <w:bottom w:w="57" w:type="dxa"/>
          <w:end w:w="108" w:type="dxa"/>
        </w:tblCellMar>
        <w:tblLook w:noHBand="0" w:noVBand="1" w:firstColumn="1" w:lastRow="0" w:lastColumn="0" w:firstRow="1" w:val="04a0"/>
      </w:tblPr>
      <w:tblGrid>
        <w:gridCol w:w="906"/>
        <w:gridCol w:w="4309"/>
        <w:gridCol w:w="4309"/>
      </w:tblGrid>
      <w:tr>
        <w:trPr>
          <w:tblHeader w:val="true"/>
          <w:cantSplit/>
        </w:trPr>
        <w:tc>
          <w:tcPr>
            <w:tcW w:w="906"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ID</w:t>
            </w:r>
          </w:p>
        </w:tc>
        <w:tc>
          <w:tcPr>
            <w:tcW w:w="4309"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Implementação e evidência</w:t>
            </w:r>
          </w:p>
        </w:tc>
        <w:tc>
          <w:tcPr>
            <w:tcW w:w="4309" w:type="dxa"/>
            <w:tcBorders>
              <w:top w:val="single" w:sz="4" w:space="0" w:color="DCE3ED"/>
              <w:start w:val="single" w:sz="4" w:space="0" w:color="DCE3ED"/>
              <w:bottom w:val="single" w:sz="4" w:space="0" w:color="DCE3ED"/>
              <w:end w:val="single" w:sz="4" w:space="0" w:color="DCE3ED"/>
            </w:tcBorders>
            <w:shd w:fill="233B82" w:val="clear"/>
          </w:tcPr>
          <w:p>
            <w:pPr>
              <w:pStyle w:val="TableText"/>
              <w:keepNext w:val="true"/>
              <w:spacing w:before="40" w:after="60"/>
              <w:rPr/>
            </w:pPr>
            <w:r>
              <w:rPr>
                <w:b/>
                <w:color w:val="FFFFFF"/>
              </w:rPr>
              <w:t>Verificação, situação e limitação</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NOR-01</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processProfileSecurityData; encryptSensitiveData; atualizarPerfil; atualizarContato; sanitizeLogText.</w:t>
            </w:r>
          </w:p>
          <w:p>
            <w:pPr>
              <w:pStyle w:val="TableText"/>
              <w:widowControl/>
              <w:bidi w:val="0"/>
              <w:spacing w:lineRule="auto" w:line="247" w:before="40" w:after="60"/>
              <w:jc w:val="start"/>
              <w:rPr/>
            </w:pPr>
            <w:r>
              <w:rPr/>
              <w:t>server/utils/sanitizers.ts; server/services/crypto.ts; server/controllers/usuariosController.ts; server/controllers/usuariosSuporteController.ts; server/utils/logSanitizer.ts. Há HMAC/PBKDF2, AES-256-GCM e máscaras de logs nos pontos documentados.</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Leitura estática dos símbolos e chamadas de proteção; distinção entre mecanismo implementado e práticas organizacionais. Consulta ao Planalto não concluída: proxy 403.</w:t>
            </w:r>
          </w:p>
          <w:p>
            <w:pPr>
              <w:pStyle w:val="TableText"/>
              <w:rPr/>
            </w:pPr>
            <w:r>
              <w:rPr/>
              <w:t>Situação: NÃO VERIFICADO</w:t>
            </w:r>
          </w:p>
          <w:p>
            <w:pPr>
              <w:pStyle w:val="TableText"/>
              <w:widowControl/>
              <w:bidi w:val="0"/>
              <w:spacing w:lineRule="auto" w:line="247" w:before="40" w:after="60"/>
              <w:jc w:val="start"/>
              <w:rPr/>
            </w:pPr>
            <w:r>
              <w:rPr/>
              <w:t>Limitação: Situação refere-se à conformidade normativa completa. Os mecanismos estão documentados; faltam confirmação do dispositivo oficial, decisões de base legal e evidências de retenção, titulares, incidentes, IAM e operação real.</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NOR-02</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Gestão de foco e teclado em modais; controles semânticos e rótulos; preferências de contraste e fonte; VLibras.</w:t>
            </w:r>
          </w:p>
          <w:p>
            <w:pPr>
              <w:pStyle w:val="TableText"/>
              <w:widowControl/>
              <w:bidi w:val="0"/>
              <w:spacing w:lineRule="auto" w:line="247" w:before="40" w:after="60"/>
              <w:jc w:val="start"/>
              <w:rPr/>
            </w:pPr>
            <w:r>
              <w:rPr/>
              <w:t>src/lib/modalScroll.ts; src/components/ui/SearchableSelect.tsx; src/components/ui/UploadCertificadoModal.tsx; componentes de layout; resultados automáticos herdados E02, E03 e E07.</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Inspeção dos mecanismos de interface. Notas de ferramentas são registros históricos do Word, sem relatório original nesta etapa. Consulta ao Planalto bloqueada por proxy 403.</w:t>
            </w:r>
          </w:p>
          <w:p>
            <w:pPr>
              <w:pStyle w:val="TableText"/>
              <w:rPr/>
            </w:pPr>
            <w:r>
              <w:rPr/>
              <w:t>Situação: NÃO VERIFICADO</w:t>
            </w:r>
          </w:p>
          <w:p>
            <w:pPr>
              <w:pStyle w:val="TableText"/>
              <w:widowControl/>
              <w:bidi w:val="0"/>
              <w:spacing w:lineRule="auto" w:line="247" w:before="40" w:after="60"/>
              <w:jc w:val="start"/>
              <w:rPr/>
            </w:pPr>
            <w:r>
              <w:rPr/>
              <w:t>Limitação: Não foi realizada avaliação de todos os fluxos com usuários, dispositivos e tecnologias assistivas nem confirmação de todos os dispositivos legais aplicáveis.</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NOR-03</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Schemas Zod das rotas de usuários, jornadas, certificados e consultas e-MEC.</w:t>
            </w:r>
          </w:p>
          <w:p>
            <w:pPr>
              <w:pStyle w:val="TableText"/>
              <w:widowControl/>
              <w:bidi w:val="0"/>
              <w:spacing w:lineRule="auto" w:line="247" w:before="40" w:after="60"/>
              <w:jc w:val="start"/>
              <w:rPr/>
            </w:pPr>
            <w:r>
              <w:rPr/>
              <w:t>server/routes/usuarios.ts; server/routes/jornadaCursos.ts; server/routes/jornadaVagas.ts; server/routes/certificados.ts; server/routes/mec.ts. Contratos são descritos no capítulo 4.</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Rastreamento estático de parâmetros e corpos até a validação, conforme contratos documentados. Consulta ao Planalto bloqueada por proxy 403.</w:t>
            </w:r>
          </w:p>
          <w:p>
            <w:pPr>
              <w:pStyle w:val="TableText"/>
              <w:rPr/>
            </w:pPr>
            <w:r>
              <w:rPr/>
              <w:t>Situação: NÃO VERIFICADO</w:t>
            </w:r>
          </w:p>
          <w:p>
            <w:pPr>
              <w:pStyle w:val="TableText"/>
              <w:widowControl/>
              <w:bidi w:val="0"/>
              <w:spacing w:lineRule="auto" w:line="247" w:before="40" w:after="60"/>
              <w:jc w:val="start"/>
              <w:rPr/>
            </w:pPr>
            <w:r>
              <w:rPr/>
              <w:t>Limitação: A existência de schemas não demonstra atendimento global à lei. Faltam confirmação dos dispositivos oficiais e análise de aplicabilidade institucional.</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NOR-04</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Trap de Tab e restauração de foco; tratamento de Escape; rótulos e estados ARIA; controles HTML nativos.</w:t>
            </w:r>
          </w:p>
          <w:p>
            <w:pPr>
              <w:pStyle w:val="TableText"/>
              <w:widowControl/>
              <w:bidi w:val="0"/>
              <w:spacing w:lineRule="auto" w:line="247" w:before="40" w:after="60"/>
              <w:jc w:val="start"/>
              <w:rPr/>
            </w:pPr>
            <w:r>
              <w:rPr/>
              <w:t>src/lib/modalScroll.ts; src/components/ui/SearchableSelect.tsx; src/components/ui/UploadCertificadoModal.tsx; códigos de interface citados no capítulo 3; E02/E03/E07 e testes focados históricos.</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Leitura estática de mecanismos. Resultados automáticos e 529 asserções de frontend são preservados do Word de origem, sem reconfirmação dos relatórios; acesso W3C bloqueado por proxy 403.</w:t>
            </w:r>
          </w:p>
          <w:p>
            <w:pPr>
              <w:pStyle w:val="TableText"/>
              <w:rPr/>
            </w:pPr>
            <w:r>
              <w:rPr/>
              <w:t>Situação: NÃO VERIFICADO</w:t>
            </w:r>
          </w:p>
          <w:p>
            <w:pPr>
              <w:pStyle w:val="TableText"/>
              <w:widowControl/>
              <w:bidi w:val="0"/>
              <w:spacing w:lineRule="auto" w:line="247" w:before="40" w:after="60"/>
              <w:jc w:val="start"/>
              <w:rPr/>
            </w:pPr>
            <w:r>
              <w:rPr/>
              <w:t>Limitação: A verificação normativa critério a critério não foi concluída. Permanecem pendentes testes manuais abrangentes de teclado, foco, leitores de tela e demais critérios aplicáveis.</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NOR-05</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Controles de teclado, semântica HTML, rótulos e foco descritos no capítulo 3.</w:t>
            </w:r>
          </w:p>
          <w:p>
            <w:pPr>
              <w:pStyle w:val="TableText"/>
              <w:widowControl/>
              <w:bidi w:val="0"/>
              <w:spacing w:lineRule="auto" w:line="247" w:before="40" w:after="60"/>
              <w:jc w:val="start"/>
              <w:rPr/>
            </w:pPr>
            <w:r>
              <w:rPr/>
              <w:t>AGENTS.md, § 10; src/lib/modalScroll.ts; componentes de navegação, formulário e diálogo. Não há matriz e-MAG por recomendação no material recebido.</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Identificação da referência interna e mecanismos de apoio; tentativa de consulta ao portal oficial bloqueada por proxy 403.</w:t>
            </w:r>
          </w:p>
          <w:p>
            <w:pPr>
              <w:pStyle w:val="TableText"/>
              <w:rPr/>
            </w:pPr>
            <w:r>
              <w:rPr/>
              <w:t>Situação: NÃO VERIFICADO</w:t>
            </w:r>
          </w:p>
          <w:p>
            <w:pPr>
              <w:pStyle w:val="TableText"/>
              <w:widowControl/>
              <w:bidi w:val="0"/>
              <w:spacing w:lineRule="auto" w:line="247" w:before="40" w:after="60"/>
              <w:jc w:val="start"/>
              <w:rPr/>
            </w:pPr>
            <w:r>
              <w:rPr/>
              <w:t>Limitação: Identificar a edição e mapear as recomendações oficiais para evidências próprias; mecanismos semelhantes não comprovam adoção integral.</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NOR-06</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Organização modular, limpeza de listeners, animações, cache e comandos estáticos; limites de funções e linhas descritos em MAN-01 a MAN-06.</w:t>
            </w:r>
          </w:p>
          <w:p>
            <w:pPr>
              <w:pStyle w:val="TableText"/>
              <w:widowControl/>
              <w:bidi w:val="0"/>
              <w:spacing w:lineRule="auto" w:line="247" w:before="40" w:after="60"/>
              <w:jc w:val="start"/>
              <w:rPr/>
            </w:pPr>
            <w:r>
              <w:rPr/>
              <w:t>AGENTS.md; eslint.config.mjs; src/lib/modalScroll.ts; mecanismos de cache; medições estáticas e resultados históricos informados no capítulo 7.</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Leitura de requisitos e mecanismos; preservação de contagens históricas sem tratá-las como execução desta edição. Nenhum ensaio global novo de heap, FPS ou complexidade.</w:t>
            </w:r>
          </w:p>
          <w:p>
            <w:pPr>
              <w:pStyle w:val="TableText"/>
              <w:rPr/>
            </w:pPr>
            <w:r>
              <w:rPr/>
              <w:t>Situação: NÃO VERIFICADO</w:t>
            </w:r>
          </w:p>
          <w:p>
            <w:pPr>
              <w:pStyle w:val="TableText"/>
              <w:widowControl/>
              <w:bidi w:val="0"/>
              <w:spacing w:lineRule="auto" w:line="247" w:before="40" w:after="60"/>
              <w:jc w:val="start"/>
              <w:rPr/>
            </w:pPr>
            <w:r>
              <w:rPr/>
              <w:t>Limitação: Faltam edição da norma, critérios de avaliação e ensaios pertinentes. Os desvios internos permanecem descritos nas matrizes de manutenção; não há certificação ISO.</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NOR-07</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package.json e package-lock.json; não foi identificado programa OpenChain completo no material de origem.</w:t>
            </w:r>
          </w:p>
          <w:p>
            <w:pPr>
              <w:pStyle w:val="TableText"/>
              <w:widowControl/>
              <w:bidi w:val="0"/>
              <w:spacing w:lineRule="auto" w:line="247" w:before="40" w:after="60"/>
              <w:jc w:val="start"/>
              <w:rPr/>
            </w:pPr>
            <w:r>
              <w:rPr/>
              <w:t>Inventário histórico informa 596 dependências, nenhuma entrada declarada GPL/AGPL e limiter 1.1.5 sem campo license. Essas contagens são preservadas do Word de origem.</w:t>
            </w:r>
          </w:p>
        </w:tc>
        <w:tc>
          <w:tcPr>
            <w:tcW w:w="4309" w:type="dxa"/>
            <w:tcBorders>
              <w:top w:val="single" w:sz="4" w:space="0" w:color="DCE3ED"/>
              <w:start w:val="single" w:sz="4" w:space="0" w:color="DCE3ED"/>
              <w:bottom w:val="single" w:sz="4" w:space="0" w:color="DCE3ED"/>
              <w:end w:val="single" w:sz="4" w:space="0" w:color="DCE3ED"/>
            </w:tcBorders>
            <w:shd w:fill="FFFFFF" w:val="clear"/>
          </w:tcPr>
          <w:p>
            <w:pPr>
              <w:pStyle w:val="TableText"/>
              <w:widowControl/>
              <w:bidi w:val="0"/>
              <w:spacing w:lineRule="auto" w:line="247" w:before="40" w:after="60"/>
              <w:jc w:val="start"/>
              <w:rPr/>
            </w:pPr>
            <w:r>
              <w:rPr/>
              <w:t>Leitura da política e da classificação documental do lockfile; ausência de nova auditoria integral de licenças e de consulta bem-sucedida ao texto oficial.</w:t>
            </w:r>
          </w:p>
          <w:p>
            <w:pPr>
              <w:pStyle w:val="TableText"/>
              <w:rPr/>
            </w:pPr>
            <w:r>
              <w:rPr/>
              <w:t>Situação: NÃO VERIFICADO</w:t>
            </w:r>
          </w:p>
          <w:p>
            <w:pPr>
              <w:pStyle w:val="TableText"/>
              <w:widowControl/>
              <w:bidi w:val="0"/>
              <w:spacing w:lineRule="auto" w:line="247" w:before="40" w:after="60"/>
              <w:jc w:val="start"/>
              <w:rPr/>
            </w:pPr>
            <w:r>
              <w:rPr/>
              <w:t>Limitação: Metadados de licença não substituem os textos aplicáveis, evidências de processo, SBOM formal ou avaliação dos requisitos da edição normativa adotada.</w:t>
            </w:r>
          </w:p>
        </w:tc>
      </w:tr>
      <w:tr>
        <w:trPr>
          <w:cantSplit/>
        </w:trPr>
        <w:tc>
          <w:tcPr>
            <w:tcW w:w="906"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NOR-08</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verifyIdToken(token, true); schemas Zod; Helmet e rate limit; controle de UID; regras de dados; cifragem e sanitização.</w:t>
            </w:r>
          </w:p>
          <w:p>
            <w:pPr>
              <w:pStyle w:val="TableText"/>
              <w:widowControl/>
              <w:bidi w:val="0"/>
              <w:spacing w:lineRule="auto" w:line="247" w:before="40" w:after="60"/>
              <w:jc w:val="start"/>
              <w:rPr/>
            </w:pPr>
            <w:r>
              <w:rPr/>
              <w:t>server.ts; server/routes/*.ts; server/utils/sanitizers.ts; server/services/crypto.ts; data-plane-iac/firestore.rules; data-plane-iac/storage.rules. Controles específicos constam de REQ-04 a REQ-12.</w:t>
            </w:r>
          </w:p>
        </w:tc>
        <w:tc>
          <w:tcPr>
            <w:tcW w:w="4309" w:type="dxa"/>
            <w:tcBorders>
              <w:top w:val="single" w:sz="4" w:space="0" w:color="DCE3ED"/>
              <w:start w:val="single" w:sz="4" w:space="0" w:color="DCE3ED"/>
              <w:bottom w:val="single" w:sz="4" w:space="0" w:color="DCE3ED"/>
              <w:end w:val="single" w:sz="4" w:space="0" w:color="DCE3ED"/>
            </w:tcBorders>
            <w:shd w:fill="F5F8FC" w:val="clear"/>
          </w:tcPr>
          <w:p>
            <w:pPr>
              <w:pStyle w:val="TableText"/>
              <w:widowControl/>
              <w:bidi w:val="0"/>
              <w:spacing w:lineRule="auto" w:line="247" w:before="40" w:after="60"/>
              <w:jc w:val="start"/>
              <w:rPr/>
            </w:pPr>
            <w:r>
              <w:rPr/>
              <w:t>Leitura estática dos mecanismos e separação de revisão de código, implantação e testes históricos. Nenhuma varredura ou teste intrusivo externo novo.</w:t>
            </w:r>
          </w:p>
          <w:p>
            <w:pPr>
              <w:pStyle w:val="TableText"/>
              <w:rPr/>
            </w:pPr>
            <w:r>
              <w:rPr/>
              <w:t>Situação: NÃO VERIFICADO</w:t>
            </w:r>
          </w:p>
          <w:p>
            <w:pPr>
              <w:pStyle w:val="TableText"/>
              <w:widowControl/>
              <w:bidi w:val="0"/>
              <w:spacing w:lineRule="auto" w:line="247" w:before="40" w:after="60"/>
              <w:jc w:val="start"/>
              <w:rPr/>
            </w:pPr>
            <w:r>
              <w:rPr/>
              <w:t>Limitação: Faltam edição de referência, mapeamento por categoria e plano completo de avaliação. A presença dos controles descritos não demonstra ausência de todas as vulnerabilidades.</w:t>
            </w:r>
          </w:p>
        </w:tc>
      </w:tr>
    </w:tbl>
    <w:p>
      <w:pPr>
        <w:pStyle w:val="Normal"/>
        <w:spacing w:lineRule="auto" w:line="240" w:before="0" w:after="20"/>
        <w:rPr/>
      </w:pPr>
      <w:r>
        <w:rPr/>
      </w:r>
      <w:r>
        <w:br w:type="page"/>
      </w:r>
    </w:p>
    <w:p>
      <w:pPr>
        <w:pStyle w:val="Heading2"/>
        <w:rPr/>
      </w:pPr>
      <w:bookmarkStart w:id="161" w:name="__RefHeading___Toc8850_608013930"/>
      <w:bookmarkEnd w:id="161"/>
      <w:r>
        <w:rPr/>
        <w:t>Síntese do atendimento documentado</w:t>
      </w:r>
    </w:p>
    <w:p>
      <w:pPr>
        <w:pStyle w:val="Normal"/>
        <w:rPr/>
      </w:pPr>
      <w:r>
        <w:rPr/>
        <w:t>A revisão analisada dispõe de controles coerentes com o modelo de conector educacional: escritas mediadas pelo backend, autenticação com verificação de revogação, contratos de entrada, dados de catálogo autorizados, transações, proteção de identificadores, armazenamento controlado e isolamento lógico do Cofre. As capturas externas apresentam notas A+ de cabeçalhos e TLS, bons tempos laboratoriais e ausência de erros automáticos WAVE na página pública.</w:t>
      </w:r>
    </w:p>
    <w:p>
      <w:pPr>
        <w:pStyle w:val="Normal"/>
        <w:rPr/>
      </w:pPr>
      <w:r>
        <w:rPr/>
        <w:t>O atendimento permanece delimitado: há metas de manutenção não integralmente cumpridas, desempenho mobile 99 em vez de 100, limites da exceção de práticas recomendadas não demonstrados pela captura e assuntos organizacionais sem prova específica. As condições de implantação, os procedimentos externos e a cobertura de acessibilidade não são substituídos por notas de ferramentas.</w:t>
      </w:r>
    </w:p>
    <w:p>
      <w:pPr>
        <w:pStyle w:val="Normal"/>
        <w:rPr/>
      </w:pPr>
      <w:r>
        <w:rPr/>
        <w:t>Esta edição consolida conhecimento técnico verificável e registra as ressalvas de forma utilizável pela manutenção. A expressão pleno atendimento só se aplica aos requisitos expressamente comprovados em seu escopo; não é empregada como conclusão global sobre todas as leis, normas, configurações ou situações futuras do CRA-SP Educa.</w:t>
      </w:r>
    </w:p>
    <w:p>
      <w:pPr>
        <w:pStyle w:val="Metadata"/>
        <w:keepLines/>
        <w:spacing w:before="0" w:after="100"/>
        <w:rPr/>
      </w:pPr>
      <w:r>
        <w:rPr>
          <w:b/>
        </w:rPr>
        <w:t>Conselho Regional de Administração de São Paulo</w:t>
      </w:r>
      <w:r>
        <w:rPr/>
        <w:br/>
        <w:t>Área: Inovação e Desenvolvimento Profissional</w:t>
        <w:br/>
        <w:t>Responsável: Adm. Marcelo Torres</w:t>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191" w:right="1191" w:gutter="0" w:header="454" w:top="1191" w:footer="454"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Open San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411" w:leader="none"/>
      </w:tabs>
      <w:rPr/>
    </w:pPr>
    <w:r>
      <w:rPr>
        <w:color w:val="64748B"/>
        <w:sz w:val="16"/>
      </w:rPr>
      <w:t>Edição 1.1 · 16/10/2026</w:t>
      <w:tab/>
      <w:t xml:space="preserve">Página </w:t>
    </w:r>
    <w:r>
      <w:rPr/>
      <w:fldChar w:fldCharType="begin"/>
    </w:r>
    <w:r>
      <w:rPr/>
      <w:instrText xml:space="preserve"> PAGE </w:instrText>
    </w:r>
    <w:r>
      <w:rPr/>
      <w:fldChar w:fldCharType="separate"/>
    </w:r>
    <w:r>
      <w:rPr/>
      <w:t>108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right" w:pos="9411" w:leader="none"/>
      </w:tabs>
      <w:rPr/>
    </w:pPr>
    <w:r>
      <w:rPr>
        <w:color w:val="64748B"/>
        <w:sz w:val="16"/>
      </w:rPr>
      <w:t>Edição 1.1 · 16/10/2026</w:t>
      <w:tab/>
      <w:t xml:space="preserve">Página </w:t>
    </w:r>
    <w:r>
      <w:rPr/>
      <w:fldChar w:fldCharType="begin"/>
    </w:r>
    <w:r>
      <w:rPr/>
      <w:instrText xml:space="preserve"> PAGE </w:instrText>
    </w:r>
    <w:r>
      <w:rPr/>
      <w:fldChar w:fldCharType="separate"/>
    </w:r>
    <w:r>
      <w:rPr/>
      <w:t>108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left"/>
      <w:spacing w:before="0" w:after="0" w:line="200" w:lineRule="exact"/>
      <w:tabs>
        <w:tab w:val="clear" w:pos="4320"/>
        <w:tab w:val="clear" w:pos="8640"/>
        <w:tab w:val="right" w:pos="9524"/>
      </w:tabs>
    </w:pPr>
    <w:r>
      <w:rPr>
        <w:rFonts w:ascii="Open Sans" w:hAnsi="Open Sans" w:cs="Open Sans"/>
        <w:sz w:val="16"/>
        <w:szCs w:val="16"/>
        <w:color w:val="64748B"/>
      </w:rPr>
      <w:t>CRA-SP • DOCUMENTAÇÃO TÉCNICA</w:t>
    </w:r>
    <w:r>
      <w:rPr>
        <w:rFonts w:ascii="Open Sans" w:hAnsi="Open Sans" w:cs="Open Sans"/>
        <w:sz w:val="16"/>
        <w:szCs w:val="16"/>
        <w:color w:val="64748B"/>
      </w:rPr>
      <w:tab/>
      <w:t>CRA-SP Educa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left"/>
      <w:spacing w:before="0" w:after="0" w:line="200" w:lineRule="exact"/>
      <w:tabs>
        <w:tab w:val="clear" w:pos="4320"/>
        <w:tab w:val="clear" w:pos="8640"/>
        <w:tab w:val="right" w:pos="9524"/>
      </w:tabs>
    </w:pPr>
    <w:r>
      <w:rPr>
        <w:rFonts w:ascii="Open Sans" w:hAnsi="Open Sans" w:cs="Open Sans"/>
        <w:sz w:val="16"/>
        <w:szCs w:val="16"/>
        <w:color w:val="64748B"/>
      </w:rPr>
      <w:t>CRA-SP • DOCUMENTAÇÃO TÉCNICA</w:t>
    </w:r>
    <w:r>
      <w:rPr>
        <w:rFonts w:ascii="Open Sans" w:hAnsi="Open Sans" w:cs="Open Sans"/>
        <w:sz w:val="16"/>
        <w:szCs w:val="16"/>
        <w:color w:val="64748B"/>
      </w:rPr>
      <w:tab/>
      <w:t>CRA-SP Educa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both"/>
    </w:pPr>
    <w:rPr>
      <w:rFonts w:ascii="Open Sans" w:hAnsi="Open Sans" w:eastAsia="Open Sans" w:cs="Open Sans"/>
      <w:b w:val="false"/>
      <w:i w:val="false"/>
      <w:color w:val="253044"/>
      <w:kern w:val="0"/>
      <w:sz w:val="21"/>
      <w:szCs w:val="22"/>
      <w:lang w:val="pt-BR" w:eastAsia="en-US" w:bidi="ar-SA"/>
    </w:rPr>
  </w:style>
  <w:style w:type="paragraph" w:styleId="Heading1">
    <w:name w:val="heading 1"/>
    <w:basedOn w:val="Normal"/>
    <w:next w:val="Normal"/>
    <w:link w:val="Heading1Char"/>
    <w:uiPriority w:val="9"/>
    <w:qFormat/>
    <w:rsid w:val="00fc693f"/>
    <w:pPr>
      <w:keepNext w:val="true"/>
      <w:keepLines/>
      <w:pageBreakBefore/>
      <w:widowControl/>
      <w:numPr>
        <w:ilvl w:val="0"/>
        <w:numId w:val="1"/>
      </w:numPr>
      <w:spacing w:lineRule="auto" w:line="259" w:before="240" w:after="140"/>
      <w:jc w:val="start"/>
      <w:outlineLvl w:val="0"/>
    </w:pPr>
    <w:rPr>
      <w:rFonts w:ascii="Open Sans" w:hAnsi="Open Sans" w:eastAsia="Open Sans" w:cs="Open Sans"/>
      <w:b/>
      <w:bCs/>
      <w:i w:val="false"/>
      <w:color w:val="233B82"/>
      <w:sz w:val="34"/>
      <w:szCs w:val="34"/>
    </w:rPr>
  </w:style>
  <w:style w:type="paragraph" w:styleId="Heading2">
    <w:name w:val="heading 2"/>
    <w:basedOn w:val="Normal"/>
    <w:next w:val="Normal"/>
    <w:link w:val="Heading2Char"/>
    <w:uiPriority w:val="9"/>
    <w:unhideWhenUsed/>
    <w:qFormat/>
    <w:rsid w:val="00fc693f"/>
    <w:pPr>
      <w:keepNext w:val="true"/>
      <w:keepLines/>
      <w:pageBreakBefore w:val="false"/>
      <w:widowControl/>
      <w:numPr>
        <w:ilvl w:val="1"/>
        <w:numId w:val="1"/>
      </w:numPr>
      <w:spacing w:lineRule="auto" w:line="259" w:before="240" w:after="140"/>
      <w:jc w:val="start"/>
      <w:outlineLvl w:val="1"/>
    </w:pPr>
    <w:rPr>
      <w:rFonts w:ascii="Open Sans" w:hAnsi="Open Sans" w:eastAsia="Open Sans" w:cs="Open Sans"/>
      <w:b/>
      <w:bCs/>
      <w:i w:val="false"/>
      <w:color w:val="233B82"/>
      <w:sz w:val="24"/>
      <w:szCs w:val="24"/>
    </w:rPr>
  </w:style>
  <w:style w:type="paragraph" w:styleId="Heading3">
    <w:name w:val="heading 3"/>
    <w:basedOn w:val="Normal"/>
    <w:next w:val="Normal"/>
    <w:link w:val="Heading3Char"/>
    <w:uiPriority w:val="9"/>
    <w:unhideWhenUsed/>
    <w:qFormat/>
    <w:rsid w:val="00fc693f"/>
    <w:pPr>
      <w:keepNext w:val="true"/>
      <w:keepLines/>
      <w:pageBreakBefore w:val="false"/>
      <w:widowControl/>
      <w:numPr>
        <w:ilvl w:val="2"/>
        <w:numId w:val="1"/>
      </w:numPr>
      <w:spacing w:lineRule="auto" w:line="259" w:before="160" w:after="80"/>
      <w:jc w:val="start"/>
      <w:outlineLvl w:val="2"/>
    </w:pPr>
    <w:rPr>
      <w:rFonts w:ascii="Open Sans" w:hAnsi="Open Sans" w:eastAsia="Open Sans" w:cs="Open Sans"/>
      <w:b/>
      <w:bCs/>
      <w:i w:val="false"/>
      <w:color w:val="233B82"/>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widowControl/>
      <w:spacing w:lineRule="auto" w:line="240" w:before="0" w:after="120"/>
      <w:jc w:val="center"/>
    </w:pPr>
    <w:rPr>
      <w:rFonts w:ascii="Open Sans" w:hAnsi="Open Sans" w:eastAsia="Open Sans" w:cs="Open Sans"/>
      <w:b w:val="false"/>
      <w:bCs/>
      <w:i/>
      <w:color w:val="64748B"/>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widowControl/>
      <w:spacing w:lineRule="auto" w:line="240" w:before="0" w:after="0"/>
      <w:jc w:val="start"/>
    </w:pPr>
    <w:rPr>
      <w:rFonts w:ascii="Open Sans" w:hAnsi="Open Sans" w:eastAsia="Open Sans" w:cs="Open Sans"/>
      <w:b w:val="false"/>
      <w:i w:val="false"/>
      <w:color w:val="64748B"/>
      <w:sz w:val="16"/>
    </w:rPr>
  </w:style>
  <w:style w:type="paragraph" w:styleId="Footer">
    <w:name w:val="footer"/>
    <w:basedOn w:val="Normal"/>
    <w:link w:val="FooterChar"/>
    <w:uiPriority w:val="99"/>
    <w:unhideWhenUsed/>
    <w:rsid w:val="00e618bf"/>
    <w:pPr>
      <w:widowControl/>
      <w:spacing w:lineRule="auto" w:line="240" w:before="0" w:after="0"/>
      <w:jc w:val="start"/>
    </w:pPr>
    <w:rPr>
      <w:rFonts w:ascii="Open Sans" w:hAnsi="Open Sans" w:eastAsia="Open Sans" w:cs="Open Sans"/>
      <w:b w:val="false"/>
      <w:i w:val="false"/>
      <w:color w:val="64748B"/>
      <w:sz w:val="16"/>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00"/>
      <w:ind w:hanging="360" w:start="720"/>
      <w:contextualSpacing/>
    </w:pPr>
    <w:rPr/>
  </w:style>
  <w:style w:type="paragraph" w:styleId="List3">
    <w:name w:val="List 3"/>
    <w:basedOn w:val="Normal"/>
    <w:uiPriority w:val="99"/>
    <w:unhideWhenUsed/>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2"/>
      </w:numPr>
      <w:spacing w:before="0" w:after="100"/>
      <w:contextualSpacing/>
    </w:pPr>
    <w:rPr/>
  </w:style>
  <w:style w:type="paragraph" w:styleId="ListBullet2">
    <w:name w:val="List Bullet 2"/>
    <w:basedOn w:val="Normal"/>
    <w:uiPriority w:val="99"/>
    <w:unhideWhenUsed/>
    <w:rsid w:val="00326f90"/>
    <w:pPr>
      <w:numPr>
        <w:ilvl w:val="0"/>
        <w:numId w:val="3"/>
      </w:numPr>
      <w:spacing w:before="0" w:after="100"/>
      <w:contextualSpacing/>
    </w:pPr>
    <w:rPr/>
  </w:style>
  <w:style w:type="paragraph" w:styleId="ListBullet3">
    <w:name w:val="List Bullet 3"/>
    <w:basedOn w:val="Normal"/>
    <w:uiPriority w:val="99"/>
    <w:unhideWhenUsed/>
    <w:rsid w:val="00326f90"/>
    <w:pPr>
      <w:numPr>
        <w:ilvl w:val="0"/>
        <w:numId w:val="4"/>
      </w:numPr>
      <w:spacing w:before="0" w:after="100"/>
      <w:contextualSpacing/>
    </w:pPr>
    <w:rPr/>
  </w:style>
  <w:style w:type="paragraph" w:styleId="ListNumber">
    <w:name w:val="List Number"/>
    <w:basedOn w:val="Normal"/>
    <w:uiPriority w:val="99"/>
    <w:unhideWhenUsed/>
    <w:rsid w:val="00326f90"/>
    <w:pPr>
      <w:numPr>
        <w:ilvl w:val="0"/>
        <w:numId w:val="5"/>
      </w:numPr>
      <w:spacing w:before="0" w:after="100"/>
      <w:contextualSpacing/>
    </w:pPr>
    <w:rPr/>
  </w:style>
  <w:style w:type="paragraph" w:styleId="ListNumber2">
    <w:name w:val="List Number 2"/>
    <w:basedOn w:val="Normal"/>
    <w:uiPriority w:val="99"/>
    <w:unhideWhenUsed/>
    <w:rsid w:val="0029639d"/>
    <w:pPr>
      <w:numPr>
        <w:ilvl w:val="0"/>
        <w:numId w:val="6"/>
      </w:numPr>
      <w:spacing w:before="0" w:after="100"/>
      <w:contextualSpacing/>
    </w:pPr>
    <w:rPr/>
  </w:style>
  <w:style w:type="paragraph" w:styleId="ListNumber3">
    <w:name w:val="List Number 3"/>
    <w:basedOn w:val="Normal"/>
    <w:uiPriority w:val="99"/>
    <w:unhideWhenUsed/>
    <w:rsid w:val="0029639d"/>
    <w:pPr>
      <w:numPr>
        <w:ilvl w:val="0"/>
        <w:numId w:val="7"/>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numPr>
        <w:ilvl w:val="0"/>
        <w:numId w:val="1"/>
      </w:numPr>
      <w:outlineLvl w:val="9"/>
    </w:pPr>
    <w:rPr/>
  </w:style>
  <w:style w:type="paragraph" w:styleId="FrontHeading" w:customStyle="1">
    <w:name w:val="Front Heading"/>
    <w:pPr>
      <w:widowControl/>
      <w:bidi w:val="0"/>
      <w:spacing w:lineRule="auto" w:line="259" w:before="0" w:after="100"/>
      <w:jc w:val="start"/>
    </w:pPr>
    <w:rPr>
      <w:rFonts w:ascii="Open Sans" w:hAnsi="Open Sans" w:eastAsia="Open Sans" w:cs="Open Sans"/>
      <w:b/>
      <w:i w:val="false"/>
      <w:color w:val="233B82"/>
      <w:kern w:val="0"/>
      <w:sz w:val="34"/>
      <w:szCs w:val="22"/>
      <w:lang w:val="en-US" w:eastAsia="en-US" w:bidi="ar-SA"/>
    </w:rPr>
  </w:style>
  <w:style w:type="paragraph" w:styleId="CoverTitle" w:customStyle="1">
    <w:name w:val="Cover Title"/>
    <w:pPr>
      <w:widowControl/>
      <w:bidi w:val="0"/>
      <w:spacing w:lineRule="auto" w:line="259" w:before="0" w:after="100"/>
      <w:jc w:val="start"/>
    </w:pPr>
    <w:rPr>
      <w:rFonts w:ascii="Open Sans" w:hAnsi="Open Sans" w:eastAsia="Open Sans" w:cs="Open Sans"/>
      <w:b/>
      <w:i w:val="false"/>
      <w:color w:val="233B82"/>
      <w:kern w:val="0"/>
      <w:sz w:val="58"/>
      <w:szCs w:val="22"/>
      <w:lang w:val="en-US" w:eastAsia="en-US" w:bidi="ar-SA"/>
    </w:rPr>
  </w:style>
  <w:style w:type="paragraph" w:styleId="CoverSubtitle" w:customStyle="1">
    <w:name w:val="Cover Subtitle"/>
    <w:pPr>
      <w:widowControl/>
      <w:bidi w:val="0"/>
      <w:spacing w:lineRule="auto" w:line="259" w:before="0" w:after="100"/>
      <w:jc w:val="start"/>
    </w:pPr>
    <w:rPr>
      <w:rFonts w:ascii="Open Sans" w:hAnsi="Open Sans" w:eastAsia="Open Sans" w:cs="Open Sans"/>
      <w:b w:val="false"/>
      <w:i/>
      <w:color w:val="64748B"/>
      <w:kern w:val="0"/>
      <w:sz w:val="28"/>
      <w:szCs w:val="22"/>
      <w:lang w:val="en-US" w:eastAsia="en-US" w:bidi="ar-SA"/>
    </w:rPr>
  </w:style>
  <w:style w:type="paragraph" w:styleId="CoverLabel" w:customStyle="1">
    <w:name w:val="Cover Label"/>
    <w:pPr>
      <w:widowControl/>
      <w:bidi w:val="0"/>
      <w:spacing w:lineRule="auto" w:line="259" w:before="0" w:after="100"/>
      <w:jc w:val="start"/>
    </w:pPr>
    <w:rPr>
      <w:rFonts w:ascii="Open Sans" w:hAnsi="Open Sans" w:eastAsia="Open Sans" w:cs="Open Sans"/>
      <w:b/>
      <w:i w:val="false"/>
      <w:color w:val="64748B"/>
      <w:kern w:val="0"/>
      <w:sz w:val="22"/>
      <w:szCs w:val="22"/>
      <w:lang w:val="en-US" w:eastAsia="en-US" w:bidi="ar-SA"/>
    </w:rPr>
  </w:style>
  <w:style w:type="paragraph" w:styleId="Institution" w:customStyle="1">
    <w:name w:val="Institution"/>
    <w:pPr>
      <w:widowControl/>
      <w:bidi w:val="0"/>
      <w:spacing w:lineRule="auto" w:line="259" w:before="0" w:after="100"/>
      <w:jc w:val="start"/>
    </w:pPr>
    <w:rPr>
      <w:rFonts w:ascii="Open Sans" w:hAnsi="Open Sans" w:eastAsia="Open Sans" w:cs="Open Sans"/>
      <w:b w:val="false"/>
      <w:i w:val="false"/>
      <w:color w:val="233B82"/>
      <w:kern w:val="0"/>
      <w:sz w:val="24"/>
      <w:szCs w:val="22"/>
      <w:lang w:val="en-US" w:eastAsia="en-US" w:bidi="ar-SA"/>
    </w:rPr>
  </w:style>
  <w:style w:type="paragraph" w:styleId="Metadata" w:customStyle="1">
    <w:name w:val="Metadata"/>
    <w:pPr>
      <w:widowControl/>
      <w:bidi w:val="0"/>
      <w:spacing w:lineRule="auto" w:line="259" w:before="0" w:after="100"/>
      <w:jc w:val="start"/>
    </w:pPr>
    <w:rPr>
      <w:rFonts w:ascii="Open Sans" w:hAnsi="Open Sans" w:eastAsia="Open Sans" w:cs="Open Sans"/>
      <w:b w:val="false"/>
      <w:i w:val="false"/>
      <w:color w:val="253044"/>
      <w:kern w:val="0"/>
      <w:sz w:val="19"/>
      <w:szCs w:val="22"/>
      <w:lang w:val="en-US" w:eastAsia="en-US" w:bidi="ar-SA"/>
    </w:rPr>
  </w:style>
  <w:style w:type="paragraph" w:styleId="Source" w:customStyle="1">
    <w:name w:val="Source"/>
    <w:pPr>
      <w:widowControl/>
      <w:bidi w:val="0"/>
      <w:spacing w:lineRule="auto" w:line="240" w:before="0" w:after="120"/>
      <w:jc w:val="start"/>
    </w:pPr>
    <w:rPr>
      <w:rFonts w:ascii="Open Sans" w:hAnsi="Open Sans" w:eastAsia="Open Sans" w:cs="Open Sans"/>
      <w:b w:val="false"/>
      <w:i w:val="false"/>
      <w:color w:val="64748B"/>
      <w:kern w:val="0"/>
      <w:sz w:val="18"/>
      <w:szCs w:val="22"/>
      <w:lang w:val="en-US" w:eastAsia="en-US" w:bidi="ar-SA"/>
    </w:rPr>
  </w:style>
  <w:style w:type="paragraph" w:styleId="TableText" w:customStyle="1">
    <w:name w:val="Table Text"/>
    <w:pPr>
      <w:widowControl/>
      <w:bidi w:val="0"/>
      <w:spacing w:lineRule="auto" w:line="247" w:before="40" w:after="60"/>
      <w:jc w:val="start"/>
    </w:pPr>
    <w:rPr>
      <w:rFonts w:ascii="Open Sans" w:hAnsi="Open Sans" w:eastAsia="Open Sans" w:cs="Open Sans"/>
      <w:b w:val="false"/>
      <w:i w:val="false"/>
      <w:color w:val="253044"/>
      <w:kern w:val="0"/>
      <w:sz w:val="18"/>
      <w:szCs w:val="22"/>
      <w:lang w:val="en-US" w:eastAsia="en-US" w:bidi="ar-SA"/>
    </w:rPr>
  </w:style>
  <w:style w:type="paragraph" w:styleId="Code" w:customStyle="1">
    <w:name w:val="Code"/>
    <w:pPr>
      <w:widowControl/>
      <w:bidi w:val="0"/>
      <w:spacing w:lineRule="auto" w:line="240" w:before="0" w:after="80"/>
      <w:jc w:val="start"/>
    </w:pPr>
    <w:rPr>
      <w:rFonts w:ascii="DejaVu Sans Mono" w:hAnsi="DejaVu Sans Mono" w:eastAsia="DejaVu Sans Mono" w:cs="DejaVu Sans Mono"/>
      <w:b w:val="false"/>
      <w:i w:val="false"/>
      <w:color w:val="334155"/>
      <w:kern w:val="0"/>
      <w:sz w:val="17"/>
      <w:szCs w:val="22"/>
      <w:lang w:val="en-US" w:eastAsia="en-US" w:bidi="ar-SA"/>
    </w:rPr>
  </w:style>
  <w:style w:type="paragraph" w:styleId="TOC1" w:customStyle="1">
    <w:name w:val="toc 1"/>
    <w:pPr>
      <w:widowControl/>
      <w:bidi w:val="0"/>
      <w:spacing w:lineRule="auto" w:line="240" w:before="0" w:after="60"/>
      <w:ind w:start="0"/>
      <w:jc w:val="start"/>
    </w:pPr>
    <w:rPr>
      <w:rFonts w:ascii="Open Sans" w:hAnsi="Open Sans" w:eastAsia="Open Sans" w:cs="Open Sans"/>
      <w:b/>
      <w:i w:val="false"/>
      <w:color w:val="233B82"/>
      <w:kern w:val="0"/>
      <w:sz w:val="20"/>
      <w:szCs w:val="22"/>
      <w:lang w:val="en-US" w:eastAsia="en-US" w:bidi="ar-SA"/>
    </w:rPr>
  </w:style>
  <w:style w:type="paragraph" w:styleId="TOC2" w:customStyle="1">
    <w:name w:val="toc 2"/>
    <w:pPr>
      <w:widowControl/>
      <w:bidi w:val="0"/>
      <w:spacing w:lineRule="auto" w:line="240" w:before="0" w:after="60"/>
      <w:ind w:start="255"/>
      <w:jc w:val="start"/>
    </w:pPr>
    <w:rPr>
      <w:rFonts w:ascii="Open Sans" w:hAnsi="Open Sans" w:eastAsia="Open Sans" w:cs="Open Sans"/>
      <w:b w:val="false"/>
      <w:i w:val="false"/>
      <w:color w:val="334155"/>
      <w:kern w:val="0"/>
      <w:sz w:val="18"/>
      <w:szCs w:val="22"/>
      <w:lang w:val="en-US" w:eastAsia="en-US" w:bidi="ar-SA"/>
    </w:rPr>
  </w:style>
  <w:style w:type="paragraph" w:styleId="TOC3" w:customStyle="1">
    <w:name w:val="toc 3"/>
    <w:pPr>
      <w:widowControl/>
      <w:bidi w:val="0"/>
      <w:spacing w:lineRule="auto" w:line="240" w:before="0" w:after="60"/>
      <w:ind w:start="255"/>
      <w:jc w:val="start"/>
    </w:pPr>
    <w:rPr>
      <w:rFonts w:ascii="Open Sans" w:hAnsi="Open Sans" w:eastAsia="Open Sans" w:cs="Open Sans"/>
      <w:b w:val="false"/>
      <w:i w:val="false"/>
      <w:color w:val="334155"/>
      <w:kern w:val="0"/>
      <w:sz w:val="18"/>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crasp-educa.ai.studio/" TargetMode="External"/><Relationship Id="rId5" Type="http://schemas.openxmlformats.org/officeDocument/2006/relationships/hyperlink" Target="https://crasp-educa.ai.studio/" TargetMode="External"/><Relationship Id="rId6" Type="http://schemas.openxmlformats.org/officeDocument/2006/relationships/hyperlink" Target="https://crasp-educa.ai.studio/" TargetMode="External"/><Relationship Id="rId7" Type="http://schemas.openxmlformats.org/officeDocument/2006/relationships/hyperlink" Target="http://crasp-educa.ai.studio/"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yperlink" Target="https://github.com/desenvolvimentoprofissional-oss/educa/tree/52c5224d3fb3372e97859468cf1d44439effdc18" TargetMode="External"/><Relationship Id="rId14" Type="http://schemas.openxmlformats.org/officeDocument/2006/relationships/hyperlink" Target="https://developer.mozilla.org/en-US/observatory/analyze?host=crasp-educa.ai.studio" TargetMode="External"/><Relationship Id="rId15" Type="http://schemas.openxmlformats.org/officeDocument/2006/relationships/hyperlink" Target="https://webbkoll.5july.net/en/results?url=http%3A%2F%2Fcrasp-educa.ai.studio%2F" TargetMode="External"/><Relationship Id="rId16" Type="http://schemas.openxmlformats.org/officeDocument/2006/relationships/hyperlink" Target="https://www.planalto.gov.br/ccivil_03/_ato2015-2018/2018/lei/l13709.htm" TargetMode="External"/><Relationship Id="rId17" Type="http://schemas.openxmlformats.org/officeDocument/2006/relationships/hyperlink" Target="https://www.planalto.gov.br/ccivil_03/_ato2015-2018/2015/lei/l13146.htm" TargetMode="External"/><Relationship Id="rId18" Type="http://schemas.openxmlformats.org/officeDocument/2006/relationships/hyperlink" Target="https://www.planalto.gov.br/ccivil_03/_ato2019-2022/2021/lei/l14129.htm" TargetMode="External"/><Relationship Id="rId19" Type="http://schemas.openxmlformats.org/officeDocument/2006/relationships/hyperlink" Target="https://www.w3.org/TR/WCAG22/" TargetMode="External"/><Relationship Id="rId20" Type="http://schemas.openxmlformats.org/officeDocument/2006/relationships/hyperlink" Target="https://emag.governoeletronico.gov.br/" TargetMode="External"/><Relationship Id="rId21" Type="http://schemas.openxmlformats.org/officeDocument/2006/relationships/hyperlink" Target="https://www.iso.org/standard/78176.html" TargetMode="External"/><Relationship Id="rId22" Type="http://schemas.openxmlformats.org/officeDocument/2006/relationships/hyperlink" Target="https://www.iso.org/standard/81039.html" TargetMode="External"/><Relationship Id="rId23" Type="http://schemas.openxmlformats.org/officeDocument/2006/relationships/hyperlink" Target="https://www.openchainproject.org/license-compliance" TargetMode="External"/><Relationship Id="rId24" Type="http://schemas.openxmlformats.org/officeDocument/2006/relationships/hyperlink" Target="https://owasp.org/www-project-top-ten/" TargetMode="External"/><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Relationship Id="rId3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LibreOfficeDev/26.8.0.0.alpha0$Linux_X86_64 LibreOffice_project/2c87e51eeaa2b413ff4ae097b2705eea1995d8e5</Application>
  <AppVersion>15.0000</AppVersion>
  <Pages>108</Pages>
  <Words>36042</Words>
  <Characters>225614</Characters>
  <CharactersWithSpaces>258546</CharactersWithSpaces>
  <Paragraphs>3130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2026-10-17T02:16:39Z</dcterms:created>
  <dc:creator>Conselho Regional de Administração de São Paulo — CRA-SP</dc:creator>
  <dc:description>Corpo principal. Anexos serão reunidos pelo responsável. Revisão do código: 52c5224d3fb3372e97859468cf1d44439effdc18</dc:description>
  <cp:keywords>CRA-SP Educa documentação técnica edição 1.1 52c5224d3fb3372e97859468cf1d44439effdc18</cp:keywords>
  <dc:language>en-US</dc:language>
  <cp:lastModifiedBy/>
  <dcterms:modified xsi:type="dcterms:W3CDTF">2026-10-17T02:26:55Z</dcterms:modified>
  <cp:revision>2</cp:revision>
  <dc:subject>Arquitetura, contratos, dados, operação e requisitos do conector educacional</dc:subject>
  <dc:title>Documentação Técnica — CRA-SP Educa</dc:title>
  <cp:version>1.1</cp:version>
</cp:coreProperties>
</file>

<file path=docProps/custom.xml><?xml version="1.0" encoding="utf-8"?>
<Properties xmlns="http://schemas.openxmlformats.org/officeDocument/2006/custom-properties" xmlns:vt="http://schemas.openxmlformats.org/officeDocument/2006/docPropsVTypes"/>
</file>