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4529E2" w:rsidRPr="00BD2A65" w:rsidRDefault="004529E2">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4529E2" w:rsidRPr="00BD2A65" w:rsidRDefault="004529E2">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4529E2" w:rsidRPr="00BD2A65" w:rsidRDefault="004529E2">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CB092D"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CB79A"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4529E2" w:rsidRPr="00BD2A65" w:rsidRDefault="004529E2">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4529E2" w:rsidRPr="00BD2A65" w:rsidRDefault="004529E2">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CFF53" id="_x0000_t32" coordsize="21600,21600" o:spt="32" o:oned="t" path="m,l21600,21600e" filled="f">
                <v:path arrowok="t" fillok="f" o:connecttype="none"/>
                <o:lock v:ext="edit" shapetype="t"/>
              </v:shapetype>
              <v:shape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BA7A7"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29F5D7" id="_x0000_t202" coordsize="21600,21600" o:spt="202" path="m,l,21600r21600,l21600,xe">
                <v:stroke joinstyle="miter"/>
                <v:path gradientshapeok="t" o:connecttype="rect"/>
              </v:shapetype>
              <v:shape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4529E2" w:rsidRPr="00BD2A65" w:rsidRDefault="004529E2">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4529E2" w:rsidRPr="00BD2A65" w:rsidRDefault="004529E2">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lastRenderedPageBreak/>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4529E2" w:rsidRPr="00265D65" w:rsidRDefault="004529E2"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4529E2" w:rsidRPr="00265D65" w:rsidRDefault="004529E2"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4529E2" w:rsidRPr="00265D65" w:rsidRDefault="004529E2"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JSON extractor module</w:t>
                            </w:r>
                            <w:r w:rsidR="00382A4C">
                              <w:rPr>
                                <w:rFonts w:ascii="Garamond" w:hAnsi="Garamond"/>
                                <w:sz w:val="24"/>
                                <w:szCs w:val="24"/>
                              </w:rPr>
                              <w:t xml:space="preserv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4529E2" w:rsidRPr="00265D65" w:rsidRDefault="004529E2" w:rsidP="00265D65">
                      <w:pPr>
                        <w:rPr>
                          <w:rFonts w:ascii="Garamond" w:hAnsi="Garamond"/>
                          <w:sz w:val="24"/>
                          <w:szCs w:val="24"/>
                        </w:rPr>
                      </w:pPr>
                      <w:r>
                        <w:rPr>
                          <w:rFonts w:ascii="Garamond" w:hAnsi="Garamond"/>
                          <w:sz w:val="24"/>
                          <w:szCs w:val="24"/>
                        </w:rPr>
                        <w:t>JSON extractor module</w:t>
                      </w:r>
                      <w:r w:rsidR="00382A4C">
                        <w:rPr>
                          <w:rFonts w:ascii="Garamond" w:hAnsi="Garamond"/>
                          <w:sz w:val="24"/>
                          <w:szCs w:val="24"/>
                        </w:rPr>
                        <w:t xml:space="preserv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1ED6"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4529E2" w:rsidRPr="00265D65" w:rsidRDefault="004529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4529E2" w:rsidRPr="00265D65" w:rsidRDefault="004529E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72CDD"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41483"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0447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4529E2" w:rsidRPr="00265D65" w:rsidRDefault="004529E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w:t>
      </w:r>
      <w:r>
        <w:rPr>
          <w:rFonts w:ascii="Garamond" w:hAnsi="Garamond"/>
        </w:rPr>
        <w:lastRenderedPageBreak/>
        <w:t xml:space="preserve">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t>4.5.1</w:t>
      </w:r>
      <w:r>
        <w:rPr>
          <w:rFonts w:ascii="Garamond" w:hAnsi="Garamond"/>
        </w:rPr>
        <w:t xml:space="preserve"> – </w:t>
      </w:r>
      <w:r w:rsidRPr="000564F1">
        <w:rPr>
          <w:rFonts w:ascii="Garamond" w:hAnsi="Garamond"/>
        </w:rPr>
        <w:t>Statistical Methods</w:t>
      </w:r>
      <w:r w:rsidR="006A5539" w:rsidRPr="000564F1">
        <w:rPr>
          <w:rFonts w:ascii="Garamond" w:hAnsi="Garamond"/>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using a set alpha (0.05 in this case) if the p value is below this threshold then for each metric it will be considered </w:t>
      </w:r>
      <w:r w:rsidR="00680004">
        <w:rPr>
          <w:rFonts w:ascii="Garamond" w:eastAsiaTheme="minorEastAsia" w:hAnsi="Garamond"/>
        </w:rPr>
        <w:t>normally distributed population data</w:t>
      </w:r>
      <w:r w:rsidR="0031365B">
        <w:rPr>
          <w:rFonts w:ascii="Garamond" w:eastAsiaTheme="minorEastAsia" w:hAnsi="Garamond"/>
        </w:rPr>
        <w:t>.</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a lag of -2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two weeks prior will have an impact on a series two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59%</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61%</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Pr="00943988" w:rsidRDefault="00E1391D" w:rsidP="00943988">
      <w:pPr>
        <w:spacing w:after="40" w:line="276" w:lineRule="auto"/>
        <w:jc w:val="center"/>
        <w:rPr>
          <w:rFonts w:ascii="Garamond" w:eastAsiaTheme="minorEastAsia" w:hAnsi="Garamond"/>
          <w:sz w:val="20"/>
          <w:szCs w:val="20"/>
        </w:rPr>
      </w:pPr>
      <w:r>
        <w:rPr>
          <w:rFonts w:ascii="Garamond" w:eastAsiaTheme="minorEastAsia" w:hAnsi="Garamond"/>
          <w:sz w:val="20"/>
          <w:szCs w:val="20"/>
        </w:rPr>
        <w:t>Figure 3 – percentage positive cross correlation at different lags</w:t>
      </w: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three show a clear relationship between the amount of the lag applied to the commits and the percentage of positive correlations that have been attained between the lagged commit count and 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the decrease which indicates that the further apart the commit frequency in a particular week from the present stargazer count the less impact it will have on the amount of stargazers. It is possible that in the case of extreme lag applied that the effect of that </w:t>
      </w:r>
      <w:r>
        <w:rPr>
          <w:rFonts w:ascii="Garamond" w:eastAsiaTheme="minorEastAsia" w:hAnsi="Garamond"/>
        </w:rPr>
        <w:lastRenderedPageBreak/>
        <w:t xml:space="preserve">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following the project. To support a conclusion figure four has been provided which shows the distribution of each project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E52C23" w:rsidRDefault="00E52C23" w:rsidP="006A5539">
      <w:pPr>
        <w:spacing w:after="40" w:line="276" w:lineRule="auto"/>
        <w:rPr>
          <w:rFonts w:ascii="Garamond" w:eastAsiaTheme="minorEastAsia" w:hAnsi="Garamond"/>
        </w:rPr>
      </w:pPr>
    </w:p>
    <w:p w:rsidR="003E17F2" w:rsidRDefault="00394FFE" w:rsidP="006A5539">
      <w:pPr>
        <w:spacing w:after="40" w:line="276" w:lineRule="auto"/>
        <w:rPr>
          <w:rFonts w:ascii="Garamond" w:eastAsiaTheme="minorEastAsia" w:hAnsi="Garamond"/>
        </w:rPr>
      </w:pPr>
      <w:bookmarkStart w:id="0" w:name="_GoBack"/>
      <w:bookmarkEnd w:id="0"/>
      <w:r>
        <w:rPr>
          <w:noProof/>
          <w:lang w:eastAsia="en-GB"/>
        </w:rPr>
        <w:drawing>
          <wp:anchor distT="0" distB="0" distL="114300" distR="114300" simplePos="0" relativeHeight="251741184" behindDoc="1" locked="0" layoutInCell="1" allowOverlap="1" wp14:anchorId="6B62F6C7" wp14:editId="4EA22F4C">
            <wp:simplePos x="0" y="0"/>
            <wp:positionH relativeFrom="margin">
              <wp:posOffset>3395749</wp:posOffset>
            </wp:positionH>
            <wp:positionV relativeFrom="paragraph">
              <wp:posOffset>313805</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C0BFA" w:rsidRPr="00DF65C5">
        <w:rPr>
          <w:noProof/>
          <w:lang w:eastAsia="en-GB"/>
        </w:rPr>
        <w:drawing>
          <wp:anchor distT="0" distB="0" distL="114300" distR="114300" simplePos="0" relativeHeight="251739136" behindDoc="0" locked="0" layoutInCell="1" allowOverlap="1" wp14:anchorId="3EFD4BF4" wp14:editId="1657A536">
            <wp:simplePos x="0" y="0"/>
            <wp:positionH relativeFrom="margin">
              <wp:align>left</wp:align>
            </wp:positionH>
            <wp:positionV relativeFrom="paragraph">
              <wp:posOffset>282015</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9C0BFA" w:rsidRDefault="00394FFE"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3232" behindDoc="1" locked="0" layoutInCell="1" allowOverlap="1" wp14:anchorId="6CB87A23" wp14:editId="7C328B85">
            <wp:simplePos x="0" y="0"/>
            <wp:positionH relativeFrom="column">
              <wp:posOffset>3413586</wp:posOffset>
            </wp:positionH>
            <wp:positionV relativeFrom="paragraph">
              <wp:posOffset>6177</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263D951A" wp14:editId="238DD054">
            <wp:simplePos x="0" y="0"/>
            <wp:positionH relativeFrom="margin">
              <wp:align>left</wp:align>
            </wp:positionH>
            <wp:positionV relativeFrom="paragraph">
              <wp:posOffset>6234</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9C0BFA">
      <w:pPr>
        <w:spacing w:after="40" w:line="276" w:lineRule="auto"/>
        <w:jc w:val="center"/>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1F7CC8" w:rsidRDefault="000A627E" w:rsidP="006A5539">
      <w:pPr>
        <w:spacing w:after="40" w:line="276" w:lineRule="auto"/>
        <w:rPr>
          <w:rFonts w:ascii="Garamond" w:eastAsiaTheme="minorEastAsia" w:hAnsi="Garamond"/>
        </w:rPr>
      </w:pPr>
      <w:r>
        <w:rPr>
          <w:rFonts w:ascii="Garamond" w:eastAsiaTheme="minorEastAsia" w:hAnsi="Garamond"/>
        </w:rPr>
        <w:t xml:space="preserve">For each of the one hundred projects in the dataset the growth rate algorithm define previously was applied in order to determine the amount of growth from the projects first week and the last week attained. </w:t>
      </w:r>
      <w:r w:rsidR="00A74CCB">
        <w:rPr>
          <w:rFonts w:ascii="Garamond" w:eastAsiaTheme="minorEastAsia" w:hAnsi="Garamond"/>
        </w:rPr>
        <w:t>See figure five for a visualisation showing the amount of projects that either had a positive or negative growth.</w:t>
      </w:r>
      <w:r w:rsidR="006432AB">
        <w:rPr>
          <w:rFonts w:ascii="Garamond" w:eastAsiaTheme="minorEastAsia" w:hAnsi="Garamond"/>
        </w:rPr>
        <w:t xml:space="preserve"> Based on these results the majority of projects show a positive increase in LOC over the course of its life time, this evidence would suggest that law two has been supported using these one hundred projects. </w:t>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1330346</wp:posOffset>
            </wp:positionH>
            <wp:positionV relativeFrom="paragraph">
              <wp:posOffset>3646</wp:posOffset>
            </wp:positionV>
            <wp:extent cx="3162300" cy="1981200"/>
            <wp:effectExtent l="0" t="0" r="0" b="0"/>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A74CCB" w:rsidRPr="00A74CCB" w:rsidRDefault="00A74CCB" w:rsidP="00A74CCB">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3A74D6" w:rsidRDefault="003A74D6" w:rsidP="006A5539">
      <w:pPr>
        <w:spacing w:after="40" w:line="276" w:lineRule="auto"/>
        <w:rPr>
          <w:rFonts w:ascii="Garamond" w:eastAsiaTheme="minorEastAsia" w:hAnsi="Garamond"/>
        </w:rPr>
      </w:pPr>
      <w:r>
        <w:rPr>
          <w:rFonts w:ascii="Garamond" w:eastAsiaTheme="minorEastAsia" w:hAnsi="Garamond"/>
        </w:rPr>
        <w:t xml:space="preserve">After applying the Shapiro Wilks test to the three metrics on each of the one hundred projects a p-value was generated to determine the significance of the normality for each series. These p value were then applied to an alpha (0.05) and the percentage of each metric that is encapsulated with this threshold is then generated, see figure five. </w:t>
      </w:r>
      <w:r w:rsidR="0017271B">
        <w:rPr>
          <w:rFonts w:ascii="Garamond" w:eastAsiaTheme="minorEastAsia" w:hAnsi="Garamond"/>
        </w:rPr>
        <w:t>The distributions of deletions and additions unanimously support the law, issues is not as conclusive but remains a significant enough percentage to consider this law fully supported.</w:t>
      </w:r>
    </w:p>
    <w:p w:rsidR="0017271B" w:rsidRDefault="0017271B"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Default="003A74D6"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t>5.4 Hypothesis four</w:t>
      </w:r>
    </w:p>
    <w:p w:rsidR="0017271B" w:rsidRDefault="00302121" w:rsidP="006A5539">
      <w:pPr>
        <w:spacing w:after="40" w:line="276" w:lineRule="auto"/>
        <w:rPr>
          <w:rFonts w:ascii="Garamond" w:eastAsiaTheme="minorEastAsia" w:hAnsi="Garamond"/>
        </w:rPr>
      </w:pPr>
      <w:r>
        <w:rPr>
          <w:rFonts w:ascii="Garamond" w:eastAsiaTheme="minorEastAsia" w:hAnsi="Garamond"/>
        </w:rPr>
        <w:t xml:space="preserve">Once the variance growth rate was collected for each project a median value was taken - </w:t>
      </w:r>
      <w:r w:rsidRPr="0052347A">
        <w:rPr>
          <w:rFonts w:ascii="Garamond" w:eastAsiaTheme="minorEastAsia" w:hAnsi="Garamond"/>
          <w:b/>
        </w:rPr>
        <w:t>30.29</w:t>
      </w:r>
      <w:r w:rsidR="00BF3E09">
        <w:rPr>
          <w:rFonts w:ascii="Garamond" w:eastAsiaTheme="minorEastAsia" w:hAnsi="Garamond"/>
          <w:b/>
        </w:rPr>
        <w:t>0</w:t>
      </w:r>
      <w:r w:rsidR="00BF3E09">
        <w:rPr>
          <w:rFonts w:ascii="Garamond" w:eastAsiaTheme="minorEastAsia" w:hAnsi="Garamond"/>
        </w:rPr>
        <w:t xml:space="preserve">. The independent variance values are plotted in figure 6 in raw and logarithmic form to account for a significant outlier in the </w:t>
      </w:r>
      <w:r w:rsidR="00BF3E09">
        <w:rPr>
          <w:rFonts w:ascii="Garamond" w:eastAsiaTheme="minorEastAsia" w:hAnsi="Garamond"/>
        </w:rPr>
        <w:lastRenderedPageBreak/>
        <w:t>dataset. In this particular hypothesis to support Lehman’s fourth law the work rate should remain invariant and therefore close to the mean growth rate for each particular project</w:t>
      </w:r>
      <w:r w:rsidR="00D226D8">
        <w:rPr>
          <w:rFonts w:ascii="Garamond" w:eastAsiaTheme="minorEastAsia" w:hAnsi="Garamond"/>
        </w:rPr>
        <w:t>, from these graphs it is difficult to determine a conclusion, to add value to these variance results standard deviation of the data will also be considered.</w:t>
      </w:r>
      <w:r w:rsidR="005F1B63">
        <w:rPr>
          <w:rFonts w:ascii="Garamond" w:eastAsiaTheme="minorEastAsia" w:hAnsi="Garamond"/>
        </w:rPr>
        <w:t xml:space="preserve"> To do this the standard deviation for each project was calculated, form this it would be useful to find out how many of the weekly growth rate instances were within one standard deviation from the mean- see figure seven.</w:t>
      </w:r>
      <w:r w:rsidR="00ED1449">
        <w:rPr>
          <w:rFonts w:ascii="Garamond" w:eastAsiaTheme="minorEastAsia" w:hAnsi="Garamond"/>
        </w:rPr>
        <w:t xml:space="preserve"> This graph indicates that a large proportion of each projects growth rate vector lies within one standard deviation, therefore remaining close to an invariant LOC growth rate – based on this interpretation of the data Law four appears to be supported.</w:t>
      </w:r>
    </w:p>
    <w:p w:rsidR="00E02B52" w:rsidRDefault="00E02B52" w:rsidP="006A5539">
      <w:pPr>
        <w:spacing w:after="40" w:line="276" w:lineRule="auto"/>
        <w:rPr>
          <w:rFonts w:ascii="Garamond" w:eastAsiaTheme="minorEastAsia" w:hAnsi="Garamond"/>
        </w:rPr>
      </w:pP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Pr>
          <w:rFonts w:ascii="Garamond" w:eastAsiaTheme="minorEastAsia" w:hAnsi="Garamond"/>
          <w:sz w:val="20"/>
          <w:szCs w:val="20"/>
        </w:rPr>
        <w:t>6</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Pr="00BF3E09" w:rsidRDefault="000351FB" w:rsidP="004F2CB1">
      <w:pPr>
        <w:jc w:val="center"/>
        <w:rPr>
          <w:rFonts w:ascii="Garamond" w:eastAsiaTheme="minorEastAsia" w:hAnsi="Garamond"/>
          <w:sz w:val="20"/>
          <w:szCs w:val="20"/>
        </w:rPr>
      </w:pPr>
      <w:r>
        <w:rPr>
          <w:noProof/>
          <w:lang w:eastAsia="en-GB"/>
        </w:rPr>
        <w:drawing>
          <wp:inline distT="0" distB="0" distL="0" distR="0" wp14:anchorId="475DC69F" wp14:editId="66B6D755">
            <wp:extent cx="4572000" cy="2743200"/>
            <wp:effectExtent l="0" t="0" r="0" b="0"/>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4CCB" w:rsidRDefault="00A74CCB" w:rsidP="006A5539">
      <w:pPr>
        <w:spacing w:after="40" w:line="276" w:lineRule="auto"/>
        <w:rPr>
          <w:rFonts w:ascii="Garamond" w:eastAsiaTheme="minorEastAsia" w:hAnsi="Garamond"/>
        </w:rPr>
      </w:pPr>
    </w:p>
    <w:p w:rsidR="000351FB" w:rsidRPr="000351FB" w:rsidRDefault="000351FB"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 7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 xml:space="preserve">Initial hypothesis generation will be </w:t>
      </w:r>
      <w:r w:rsidR="00783259">
        <w:rPr>
          <w:rFonts w:ascii="Garamond" w:eastAsiaTheme="minorEastAsia" w:hAnsi="Garamond"/>
        </w:rPr>
        <w:lastRenderedPageBreak/>
        <w:t>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782B39" w:rsidRDefault="00782B39" w:rsidP="006A5539">
      <w:pPr>
        <w:spacing w:after="40" w:line="276" w:lineRule="auto"/>
        <w:rPr>
          <w:rFonts w:ascii="Garamond" w:eastAsiaTheme="minorEastAsia" w:hAnsi="Garamond"/>
        </w:rPr>
      </w:pPr>
      <w:r>
        <w:rPr>
          <w:rFonts w:ascii="Garamond" w:eastAsiaTheme="minorEastAsia" w:hAnsi="Garamond"/>
        </w:rPr>
        <w:tab/>
        <w:t xml:space="preserve">Experimental reliability </w:t>
      </w:r>
      <w:r w:rsidR="0033541E">
        <w:rPr>
          <w:rFonts w:ascii="Garamond" w:eastAsiaTheme="minorEastAsia" w:hAnsi="Garamond"/>
        </w:rPr>
        <w:t>also needs to be considered, due to the rapidly changing nature of open source projects repopulating a duplicate dataset is not directly possible. However the dataset utilised for this study is stored in a MongoDB database and therefore the final results presented in this paper can be generated and expanded upon using the workbench which queries the database and parses the raw data while the database is stored locally.</w:t>
      </w:r>
    </w:p>
    <w:p w:rsidR="0020542A" w:rsidRDefault="0020542A" w:rsidP="006A5539">
      <w:pPr>
        <w:spacing w:after="40" w:line="276" w:lineRule="auto"/>
        <w:rPr>
          <w:rFonts w:ascii="Garamond" w:eastAsiaTheme="minorEastAsia" w:hAnsi="Garamond"/>
        </w:rPr>
      </w:pPr>
    </w:p>
    <w:p w:rsidR="0020542A" w:rsidRDefault="0020542A" w:rsidP="006A5539">
      <w:pPr>
        <w:spacing w:after="40" w:line="276" w:lineRule="auto"/>
        <w:rPr>
          <w:rFonts w:ascii="Garamond" w:eastAsiaTheme="minorEastAsia" w:hAnsi="Garamond"/>
        </w:rPr>
      </w:pPr>
      <w:r>
        <w:rPr>
          <w:rFonts w:ascii="Garamond" w:eastAsiaTheme="minorEastAsia" w:hAnsi="Garamond"/>
        </w:rPr>
        <w:t>*discuss conclusion validity</w:t>
      </w:r>
    </w:p>
    <w:p w:rsidR="00B66E36" w:rsidRDefault="00B66E36" w:rsidP="006A5539">
      <w:pPr>
        <w:spacing w:after="40" w:line="276" w:lineRule="auto"/>
        <w:rPr>
          <w:rFonts w:ascii="Garamond" w:eastAsiaTheme="minorEastAsia" w:hAnsi="Garamond"/>
        </w:rPr>
      </w:pPr>
      <w:r>
        <w:rPr>
          <w:rFonts w:ascii="Garamond" w:eastAsiaTheme="minorEastAsia" w:hAnsi="Garamond"/>
        </w:rPr>
        <w:tab/>
      </w:r>
    </w:p>
    <w:p w:rsidR="00A6075D" w:rsidRPr="00F277E6" w:rsidRDefault="00A6075D" w:rsidP="00381763">
      <w:pPr>
        <w:spacing w:line="276" w:lineRule="auto"/>
        <w:rPr>
          <w:rFonts w:ascii="Garamond" w:hAnsi="Garamond"/>
        </w:rPr>
      </w:pPr>
    </w:p>
    <w:p w:rsidR="007C61F3" w:rsidRPr="006A5539" w:rsidRDefault="0078209F" w:rsidP="006A5539">
      <w:pPr>
        <w:spacing w:line="276" w:lineRule="auto"/>
        <w:rPr>
          <w:rFonts w:ascii="Garamond" w:hAnsi="Garamond"/>
          <w:b/>
        </w:rPr>
      </w:pPr>
      <w:r>
        <w:rPr>
          <w:rFonts w:ascii="Garamond" w:hAnsi="Garamond"/>
          <w:b/>
        </w:rPr>
        <w:t>7</w:t>
      </w:r>
      <w:r w:rsidR="006A5539">
        <w:rPr>
          <w:rFonts w:ascii="Garamond" w:hAnsi="Garamond"/>
          <w:b/>
        </w:rPr>
        <w:t xml:space="preserve">.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lastRenderedPageBreak/>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6964DF" w:rsidP="0092103F">
      <w:pPr>
        <w:pStyle w:val="ListParagraph"/>
        <w:numPr>
          <w:ilvl w:val="1"/>
          <w:numId w:val="2"/>
        </w:numPr>
        <w:rPr>
          <w:rFonts w:ascii="Garamond" w:hAnsi="Garamond"/>
        </w:rPr>
      </w:pPr>
      <w:hyperlink r:id="rId18"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4DF" w:rsidRDefault="006964DF" w:rsidP="00F72C16">
      <w:pPr>
        <w:spacing w:after="0" w:line="240" w:lineRule="auto"/>
      </w:pPr>
      <w:r>
        <w:separator/>
      </w:r>
    </w:p>
  </w:endnote>
  <w:endnote w:type="continuationSeparator" w:id="0">
    <w:p w:rsidR="006964DF" w:rsidRDefault="006964DF"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4DF" w:rsidRDefault="006964DF" w:rsidP="00F72C16">
      <w:pPr>
        <w:spacing w:after="0" w:line="240" w:lineRule="auto"/>
      </w:pPr>
      <w:r>
        <w:separator/>
      </w:r>
    </w:p>
  </w:footnote>
  <w:footnote w:type="continuationSeparator" w:id="0">
    <w:p w:rsidR="006964DF" w:rsidRDefault="006964DF"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52DA"/>
    <w:rsid w:val="00025369"/>
    <w:rsid w:val="000351FB"/>
    <w:rsid w:val="00045C7C"/>
    <w:rsid w:val="00046826"/>
    <w:rsid w:val="000564F1"/>
    <w:rsid w:val="0009557C"/>
    <w:rsid w:val="000A49FF"/>
    <w:rsid w:val="000A627E"/>
    <w:rsid w:val="000B47A7"/>
    <w:rsid w:val="000B6458"/>
    <w:rsid w:val="000E006D"/>
    <w:rsid w:val="0015020F"/>
    <w:rsid w:val="0015417C"/>
    <w:rsid w:val="00155E86"/>
    <w:rsid w:val="00163824"/>
    <w:rsid w:val="001661B5"/>
    <w:rsid w:val="001663D4"/>
    <w:rsid w:val="001670DA"/>
    <w:rsid w:val="00171BC3"/>
    <w:rsid w:val="0017271B"/>
    <w:rsid w:val="00180358"/>
    <w:rsid w:val="00195BCA"/>
    <w:rsid w:val="001A78AC"/>
    <w:rsid w:val="001B13E2"/>
    <w:rsid w:val="001B43F5"/>
    <w:rsid w:val="001C3027"/>
    <w:rsid w:val="001E442F"/>
    <w:rsid w:val="001F3CEE"/>
    <w:rsid w:val="001F7CC8"/>
    <w:rsid w:val="0020542A"/>
    <w:rsid w:val="00227526"/>
    <w:rsid w:val="00241AB5"/>
    <w:rsid w:val="00242E63"/>
    <w:rsid w:val="002612A3"/>
    <w:rsid w:val="00265D65"/>
    <w:rsid w:val="00276AFB"/>
    <w:rsid w:val="002B380E"/>
    <w:rsid w:val="002B3D55"/>
    <w:rsid w:val="002C7259"/>
    <w:rsid w:val="002E4EE2"/>
    <w:rsid w:val="00302121"/>
    <w:rsid w:val="0031365B"/>
    <w:rsid w:val="003351D4"/>
    <w:rsid w:val="0033541E"/>
    <w:rsid w:val="00345BE6"/>
    <w:rsid w:val="00353C09"/>
    <w:rsid w:val="00354DBE"/>
    <w:rsid w:val="00357174"/>
    <w:rsid w:val="003571F1"/>
    <w:rsid w:val="00371195"/>
    <w:rsid w:val="00371304"/>
    <w:rsid w:val="003742AA"/>
    <w:rsid w:val="003751C6"/>
    <w:rsid w:val="00381763"/>
    <w:rsid w:val="00382A4C"/>
    <w:rsid w:val="00382CA2"/>
    <w:rsid w:val="00394FFE"/>
    <w:rsid w:val="00396061"/>
    <w:rsid w:val="003A3463"/>
    <w:rsid w:val="003A74D6"/>
    <w:rsid w:val="003B336E"/>
    <w:rsid w:val="003C24EF"/>
    <w:rsid w:val="003D5107"/>
    <w:rsid w:val="003E17F2"/>
    <w:rsid w:val="003E59C9"/>
    <w:rsid w:val="004045F3"/>
    <w:rsid w:val="00407B61"/>
    <w:rsid w:val="0041045A"/>
    <w:rsid w:val="00410657"/>
    <w:rsid w:val="00426213"/>
    <w:rsid w:val="00436C14"/>
    <w:rsid w:val="004529E2"/>
    <w:rsid w:val="0045554C"/>
    <w:rsid w:val="00465DB6"/>
    <w:rsid w:val="0047214C"/>
    <w:rsid w:val="004750CA"/>
    <w:rsid w:val="00481AFB"/>
    <w:rsid w:val="00494DF3"/>
    <w:rsid w:val="0049777A"/>
    <w:rsid w:val="004A5CA1"/>
    <w:rsid w:val="004C32CE"/>
    <w:rsid w:val="004E2958"/>
    <w:rsid w:val="004E6CEF"/>
    <w:rsid w:val="004F05DB"/>
    <w:rsid w:val="004F2CB1"/>
    <w:rsid w:val="004F4367"/>
    <w:rsid w:val="004F6B37"/>
    <w:rsid w:val="004F71D4"/>
    <w:rsid w:val="0052347A"/>
    <w:rsid w:val="005241ED"/>
    <w:rsid w:val="00540962"/>
    <w:rsid w:val="0054356B"/>
    <w:rsid w:val="00557F29"/>
    <w:rsid w:val="00561791"/>
    <w:rsid w:val="00570CF4"/>
    <w:rsid w:val="00571161"/>
    <w:rsid w:val="00576B94"/>
    <w:rsid w:val="005836F3"/>
    <w:rsid w:val="005A4125"/>
    <w:rsid w:val="005B01CC"/>
    <w:rsid w:val="005B31B3"/>
    <w:rsid w:val="005B4794"/>
    <w:rsid w:val="005B6862"/>
    <w:rsid w:val="005C24B1"/>
    <w:rsid w:val="005C2ED5"/>
    <w:rsid w:val="005C4EF2"/>
    <w:rsid w:val="005C5E52"/>
    <w:rsid w:val="005C5FFE"/>
    <w:rsid w:val="005D43F9"/>
    <w:rsid w:val="005E1AF2"/>
    <w:rsid w:val="005E714A"/>
    <w:rsid w:val="005F1B63"/>
    <w:rsid w:val="006006F4"/>
    <w:rsid w:val="00605E63"/>
    <w:rsid w:val="00607F24"/>
    <w:rsid w:val="00630501"/>
    <w:rsid w:val="00631193"/>
    <w:rsid w:val="006432AB"/>
    <w:rsid w:val="00644676"/>
    <w:rsid w:val="006466D3"/>
    <w:rsid w:val="00656301"/>
    <w:rsid w:val="00660604"/>
    <w:rsid w:val="0066407A"/>
    <w:rsid w:val="00667DCC"/>
    <w:rsid w:val="00677B06"/>
    <w:rsid w:val="00680004"/>
    <w:rsid w:val="00680489"/>
    <w:rsid w:val="00685668"/>
    <w:rsid w:val="00695007"/>
    <w:rsid w:val="006957B9"/>
    <w:rsid w:val="006964DF"/>
    <w:rsid w:val="006A5539"/>
    <w:rsid w:val="006C1224"/>
    <w:rsid w:val="006C6DE6"/>
    <w:rsid w:val="006D3B92"/>
    <w:rsid w:val="006D4476"/>
    <w:rsid w:val="006E09B3"/>
    <w:rsid w:val="006E0D59"/>
    <w:rsid w:val="006E46D6"/>
    <w:rsid w:val="006E6BF6"/>
    <w:rsid w:val="006E7376"/>
    <w:rsid w:val="006F6CF5"/>
    <w:rsid w:val="00702A14"/>
    <w:rsid w:val="0072249A"/>
    <w:rsid w:val="007258B3"/>
    <w:rsid w:val="007275E7"/>
    <w:rsid w:val="007531A2"/>
    <w:rsid w:val="00754196"/>
    <w:rsid w:val="007761DB"/>
    <w:rsid w:val="00780B3B"/>
    <w:rsid w:val="0078209F"/>
    <w:rsid w:val="00782B39"/>
    <w:rsid w:val="00783259"/>
    <w:rsid w:val="00791F40"/>
    <w:rsid w:val="007935BE"/>
    <w:rsid w:val="007B2D77"/>
    <w:rsid w:val="007B535F"/>
    <w:rsid w:val="007C61F3"/>
    <w:rsid w:val="007D0B6A"/>
    <w:rsid w:val="007D4E9F"/>
    <w:rsid w:val="007D5CAA"/>
    <w:rsid w:val="007E007A"/>
    <w:rsid w:val="007E4068"/>
    <w:rsid w:val="007F7333"/>
    <w:rsid w:val="00800072"/>
    <w:rsid w:val="008109C3"/>
    <w:rsid w:val="00812CA7"/>
    <w:rsid w:val="00831FD7"/>
    <w:rsid w:val="00835371"/>
    <w:rsid w:val="008407EA"/>
    <w:rsid w:val="0086198D"/>
    <w:rsid w:val="008732DB"/>
    <w:rsid w:val="00884703"/>
    <w:rsid w:val="008873BE"/>
    <w:rsid w:val="008B1B52"/>
    <w:rsid w:val="008B5816"/>
    <w:rsid w:val="008C24FB"/>
    <w:rsid w:val="008D10A2"/>
    <w:rsid w:val="008D38E4"/>
    <w:rsid w:val="008E6334"/>
    <w:rsid w:val="008F2D81"/>
    <w:rsid w:val="00906796"/>
    <w:rsid w:val="00906DC7"/>
    <w:rsid w:val="00910113"/>
    <w:rsid w:val="0091086A"/>
    <w:rsid w:val="00913974"/>
    <w:rsid w:val="00916E98"/>
    <w:rsid w:val="0092103F"/>
    <w:rsid w:val="00930AA4"/>
    <w:rsid w:val="009325B1"/>
    <w:rsid w:val="00937B99"/>
    <w:rsid w:val="00943988"/>
    <w:rsid w:val="00955020"/>
    <w:rsid w:val="00956019"/>
    <w:rsid w:val="0096015F"/>
    <w:rsid w:val="009649E5"/>
    <w:rsid w:val="00967281"/>
    <w:rsid w:val="00974FF3"/>
    <w:rsid w:val="00981D65"/>
    <w:rsid w:val="00986721"/>
    <w:rsid w:val="009C0BFA"/>
    <w:rsid w:val="009C1953"/>
    <w:rsid w:val="009C42AB"/>
    <w:rsid w:val="009D4452"/>
    <w:rsid w:val="009D77A4"/>
    <w:rsid w:val="009E5869"/>
    <w:rsid w:val="009F59ED"/>
    <w:rsid w:val="00A01C69"/>
    <w:rsid w:val="00A04EA5"/>
    <w:rsid w:val="00A078DA"/>
    <w:rsid w:val="00A176A4"/>
    <w:rsid w:val="00A3387E"/>
    <w:rsid w:val="00A4658D"/>
    <w:rsid w:val="00A46B25"/>
    <w:rsid w:val="00A533E6"/>
    <w:rsid w:val="00A5477B"/>
    <w:rsid w:val="00A6075D"/>
    <w:rsid w:val="00A64502"/>
    <w:rsid w:val="00A66A25"/>
    <w:rsid w:val="00A67B80"/>
    <w:rsid w:val="00A74CCB"/>
    <w:rsid w:val="00A82D07"/>
    <w:rsid w:val="00A94CE4"/>
    <w:rsid w:val="00A975D6"/>
    <w:rsid w:val="00AA33F3"/>
    <w:rsid w:val="00AA77E8"/>
    <w:rsid w:val="00AB032E"/>
    <w:rsid w:val="00AB62DB"/>
    <w:rsid w:val="00AF4E8D"/>
    <w:rsid w:val="00B0165C"/>
    <w:rsid w:val="00B06CDF"/>
    <w:rsid w:val="00B137C1"/>
    <w:rsid w:val="00B32C97"/>
    <w:rsid w:val="00B33BF1"/>
    <w:rsid w:val="00B365C4"/>
    <w:rsid w:val="00B367ED"/>
    <w:rsid w:val="00B44664"/>
    <w:rsid w:val="00B5027C"/>
    <w:rsid w:val="00B66E10"/>
    <w:rsid w:val="00B66E36"/>
    <w:rsid w:val="00B7684F"/>
    <w:rsid w:val="00B87B34"/>
    <w:rsid w:val="00B950EC"/>
    <w:rsid w:val="00B971E7"/>
    <w:rsid w:val="00BB53CB"/>
    <w:rsid w:val="00BC40A6"/>
    <w:rsid w:val="00BD09D7"/>
    <w:rsid w:val="00BD2A65"/>
    <w:rsid w:val="00BE2156"/>
    <w:rsid w:val="00BF3E09"/>
    <w:rsid w:val="00BF6691"/>
    <w:rsid w:val="00C13E5E"/>
    <w:rsid w:val="00C1500E"/>
    <w:rsid w:val="00C16241"/>
    <w:rsid w:val="00C25AB2"/>
    <w:rsid w:val="00C37985"/>
    <w:rsid w:val="00C6113F"/>
    <w:rsid w:val="00C65983"/>
    <w:rsid w:val="00C70C6B"/>
    <w:rsid w:val="00C72115"/>
    <w:rsid w:val="00C844BE"/>
    <w:rsid w:val="00C93859"/>
    <w:rsid w:val="00CA672C"/>
    <w:rsid w:val="00CB4C27"/>
    <w:rsid w:val="00CC3EE0"/>
    <w:rsid w:val="00CC662D"/>
    <w:rsid w:val="00CD32D9"/>
    <w:rsid w:val="00CD333B"/>
    <w:rsid w:val="00CD3853"/>
    <w:rsid w:val="00D04358"/>
    <w:rsid w:val="00D07F21"/>
    <w:rsid w:val="00D104FF"/>
    <w:rsid w:val="00D226D8"/>
    <w:rsid w:val="00D235DC"/>
    <w:rsid w:val="00D271EC"/>
    <w:rsid w:val="00D30C23"/>
    <w:rsid w:val="00D45C46"/>
    <w:rsid w:val="00D54F95"/>
    <w:rsid w:val="00D60045"/>
    <w:rsid w:val="00D6723E"/>
    <w:rsid w:val="00D9422B"/>
    <w:rsid w:val="00D94FED"/>
    <w:rsid w:val="00DC18FC"/>
    <w:rsid w:val="00DC289F"/>
    <w:rsid w:val="00DD34AA"/>
    <w:rsid w:val="00DD54BE"/>
    <w:rsid w:val="00DD5AA0"/>
    <w:rsid w:val="00DD6E4A"/>
    <w:rsid w:val="00DD7548"/>
    <w:rsid w:val="00DE29A3"/>
    <w:rsid w:val="00DE617A"/>
    <w:rsid w:val="00DE6D6C"/>
    <w:rsid w:val="00DF2208"/>
    <w:rsid w:val="00DF65C5"/>
    <w:rsid w:val="00DF78AF"/>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91874"/>
    <w:rsid w:val="00EB3293"/>
    <w:rsid w:val="00EB4DBB"/>
    <w:rsid w:val="00EB76A8"/>
    <w:rsid w:val="00ED1449"/>
    <w:rsid w:val="00ED5D53"/>
    <w:rsid w:val="00EE2ADF"/>
    <w:rsid w:val="00F003CC"/>
    <w:rsid w:val="00F00FBB"/>
    <w:rsid w:val="00F02357"/>
    <w:rsid w:val="00F0297D"/>
    <w:rsid w:val="00F105B5"/>
    <w:rsid w:val="00F26EA6"/>
    <w:rsid w:val="00F277E6"/>
    <w:rsid w:val="00F32483"/>
    <w:rsid w:val="00F43645"/>
    <w:rsid w:val="00F44FB5"/>
    <w:rsid w:val="00F56592"/>
    <w:rsid w:val="00F64550"/>
    <w:rsid w:val="00F66280"/>
    <w:rsid w:val="00F72C16"/>
    <w:rsid w:val="00F73065"/>
    <w:rsid w:val="00F828D2"/>
    <w:rsid w:val="00F83D8C"/>
    <w:rsid w:val="00F86616"/>
    <w:rsid w:val="00F90ACA"/>
    <w:rsid w:val="00F92B1F"/>
    <w:rsid w:val="00F93582"/>
    <w:rsid w:val="00FA1C11"/>
    <w:rsid w:val="00FA6CAD"/>
    <w:rsid w:val="00FB58FC"/>
    <w:rsid w:val="00FD1792"/>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developer.github.com/v3/activity/star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317456296"/>
        <c:axId val="317457080"/>
      </c:scatterChart>
      <c:valAx>
        <c:axId val="317456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57080"/>
        <c:crosses val="autoZero"/>
        <c:crossBetween val="midCat"/>
      </c:valAx>
      <c:valAx>
        <c:axId val="317457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56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94.893615722656193</c:v>
                </c:pt>
                <c:pt idx="1">
                  <c:v>97.619049072265597</c:v>
                </c:pt>
                <c:pt idx="2">
                  <c:v>91.706161499023395</c:v>
                </c:pt>
                <c:pt idx="3">
                  <c:v>98.541664123535099</c:v>
                </c:pt>
                <c:pt idx="4">
                  <c:v>94.637222290039006</c:v>
                </c:pt>
                <c:pt idx="5">
                  <c:v>94.249198913574205</c:v>
                </c:pt>
                <c:pt idx="6">
                  <c:v>96.962028503417898</c:v>
                </c:pt>
                <c:pt idx="7">
                  <c:v>97.120422363281193</c:v>
                </c:pt>
                <c:pt idx="8">
                  <c:v>99.750625610351506</c:v>
                </c:pt>
                <c:pt idx="9">
                  <c:v>97.368423461914006</c:v>
                </c:pt>
                <c:pt idx="10">
                  <c:v>97.543861389160099</c:v>
                </c:pt>
                <c:pt idx="11">
                  <c:v>98.456787109375</c:v>
                </c:pt>
                <c:pt idx="12">
                  <c:v>99.559471130371094</c:v>
                </c:pt>
                <c:pt idx="13">
                  <c:v>96.078430175781193</c:v>
                </c:pt>
                <c:pt idx="14">
                  <c:v>93.693695068359304</c:v>
                </c:pt>
                <c:pt idx="15">
                  <c:v>97.122299194335895</c:v>
                </c:pt>
                <c:pt idx="16">
                  <c:v>97.807014465332003</c:v>
                </c:pt>
                <c:pt idx="17">
                  <c:v>95.9390869140625</c:v>
                </c:pt>
                <c:pt idx="18">
                  <c:v>90.804595947265597</c:v>
                </c:pt>
                <c:pt idx="19">
                  <c:v>91.621620178222599</c:v>
                </c:pt>
                <c:pt idx="20">
                  <c:v>92.990653991699205</c:v>
                </c:pt>
                <c:pt idx="21">
                  <c:v>92.9515380859375</c:v>
                </c:pt>
                <c:pt idx="22">
                  <c:v>97.044334411621094</c:v>
                </c:pt>
                <c:pt idx="23">
                  <c:v>97.058822631835895</c:v>
                </c:pt>
                <c:pt idx="24">
                  <c:v>96.574440002441406</c:v>
                </c:pt>
                <c:pt idx="25">
                  <c:v>96.735908508300696</c:v>
                </c:pt>
                <c:pt idx="26">
                  <c:v>99.441337585449205</c:v>
                </c:pt>
                <c:pt idx="27">
                  <c:v>96.197715759277301</c:v>
                </c:pt>
                <c:pt idx="28">
                  <c:v>98.076919555664006</c:v>
                </c:pt>
                <c:pt idx="29">
                  <c:v>99.185333251953097</c:v>
                </c:pt>
                <c:pt idx="30">
                  <c:v>99.065422058105398</c:v>
                </c:pt>
                <c:pt idx="31">
                  <c:v>94.749694824218693</c:v>
                </c:pt>
                <c:pt idx="32">
                  <c:v>99.283157348632798</c:v>
                </c:pt>
                <c:pt idx="33">
                  <c:v>95.196510314941406</c:v>
                </c:pt>
                <c:pt idx="34">
                  <c:v>99.591835021972599</c:v>
                </c:pt>
                <c:pt idx="35">
                  <c:v>91.119689941406193</c:v>
                </c:pt>
                <c:pt idx="36">
                  <c:v>98.979591369628906</c:v>
                </c:pt>
                <c:pt idx="37">
                  <c:v>96.172248840332003</c:v>
                </c:pt>
                <c:pt idx="38">
                  <c:v>98.664123535156193</c:v>
                </c:pt>
                <c:pt idx="39">
                  <c:v>96.551727294921804</c:v>
                </c:pt>
                <c:pt idx="40">
                  <c:v>98.586570739746094</c:v>
                </c:pt>
                <c:pt idx="41">
                  <c:v>93.706291198730398</c:v>
                </c:pt>
                <c:pt idx="42">
                  <c:v>96.180557250976506</c:v>
                </c:pt>
                <c:pt idx="43">
                  <c:v>95.726493835449205</c:v>
                </c:pt>
                <c:pt idx="44">
                  <c:v>98.290596008300696</c:v>
                </c:pt>
                <c:pt idx="45">
                  <c:v>99.222801208496094</c:v>
                </c:pt>
                <c:pt idx="46">
                  <c:v>97.911224365234304</c:v>
                </c:pt>
                <c:pt idx="47">
                  <c:v>88.511749267578097</c:v>
                </c:pt>
                <c:pt idx="48">
                  <c:v>98.730155944824205</c:v>
                </c:pt>
                <c:pt idx="49">
                  <c:v>95.728645324707003</c:v>
                </c:pt>
                <c:pt idx="50">
                  <c:v>98.305084228515597</c:v>
                </c:pt>
                <c:pt idx="51">
                  <c:v>96.428573608398395</c:v>
                </c:pt>
                <c:pt idx="52">
                  <c:v>97.756408691406193</c:v>
                </c:pt>
                <c:pt idx="53">
                  <c:v>98.349838256835895</c:v>
                </c:pt>
                <c:pt idx="54">
                  <c:v>91.142189025878906</c:v>
                </c:pt>
                <c:pt idx="55">
                  <c:v>99.275360107421804</c:v>
                </c:pt>
                <c:pt idx="56">
                  <c:v>99.585060119628906</c:v>
                </c:pt>
                <c:pt idx="57">
                  <c:v>97.590362548828097</c:v>
                </c:pt>
                <c:pt idx="58">
                  <c:v>97.069595336914006</c:v>
                </c:pt>
                <c:pt idx="59">
                  <c:v>99.166664123535099</c:v>
                </c:pt>
                <c:pt idx="60">
                  <c:v>95.287956237792898</c:v>
                </c:pt>
                <c:pt idx="61">
                  <c:v>97.297294616699205</c:v>
                </c:pt>
                <c:pt idx="62">
                  <c:v>93.478263854980398</c:v>
                </c:pt>
                <c:pt idx="63">
                  <c:v>89.177490234375</c:v>
                </c:pt>
                <c:pt idx="64">
                  <c:v>98.706893920898395</c:v>
                </c:pt>
                <c:pt idx="65">
                  <c:v>95.353157043457003</c:v>
                </c:pt>
                <c:pt idx="66">
                  <c:v>98.918922424316406</c:v>
                </c:pt>
                <c:pt idx="67">
                  <c:v>99.619773864746094</c:v>
                </c:pt>
                <c:pt idx="68">
                  <c:v>99.698791503906193</c:v>
                </c:pt>
                <c:pt idx="69">
                  <c:v>96.9339599609375</c:v>
                </c:pt>
                <c:pt idx="70">
                  <c:v>89.495796203613196</c:v>
                </c:pt>
                <c:pt idx="71">
                  <c:v>97.058822631835895</c:v>
                </c:pt>
                <c:pt idx="72">
                  <c:v>99.122810363769503</c:v>
                </c:pt>
                <c:pt idx="73">
                  <c:v>92.119567871093693</c:v>
                </c:pt>
                <c:pt idx="74">
                  <c:v>95.614036560058594</c:v>
                </c:pt>
                <c:pt idx="75">
                  <c:v>99.227798461914006</c:v>
                </c:pt>
                <c:pt idx="76">
                  <c:v>95.862068176269503</c:v>
                </c:pt>
                <c:pt idx="77">
                  <c:v>99.038459777832003</c:v>
                </c:pt>
                <c:pt idx="78">
                  <c:v>99.570816040039006</c:v>
                </c:pt>
                <c:pt idx="79">
                  <c:v>98.695655822753906</c:v>
                </c:pt>
                <c:pt idx="80">
                  <c:v>95.238098144531193</c:v>
                </c:pt>
                <c:pt idx="81">
                  <c:v>95.185188293457003</c:v>
                </c:pt>
                <c:pt idx="82">
                  <c:v>96.734695434570298</c:v>
                </c:pt>
                <c:pt idx="83">
                  <c:v>94.919784545898395</c:v>
                </c:pt>
                <c:pt idx="84">
                  <c:v>99.024391174316406</c:v>
                </c:pt>
                <c:pt idx="85">
                  <c:v>93.589744567871094</c:v>
                </c:pt>
                <c:pt idx="86">
                  <c:v>98.982185363769503</c:v>
                </c:pt>
                <c:pt idx="87">
                  <c:v>90.145988464355398</c:v>
                </c:pt>
                <c:pt idx="88">
                  <c:v>98.591552734375</c:v>
                </c:pt>
                <c:pt idx="89">
                  <c:v>85.714286804199205</c:v>
                </c:pt>
                <c:pt idx="90">
                  <c:v>99.016395568847599</c:v>
                </c:pt>
                <c:pt idx="91">
                  <c:v>90.106010437011705</c:v>
                </c:pt>
                <c:pt idx="92">
                  <c:v>99.159660339355398</c:v>
                </c:pt>
                <c:pt idx="93">
                  <c:v>97.029701232910099</c:v>
                </c:pt>
                <c:pt idx="94">
                  <c:v>89.873420715332003</c:v>
                </c:pt>
                <c:pt idx="95">
                  <c:v>97.952217102050696</c:v>
                </c:pt>
                <c:pt idx="96">
                  <c:v>96.610168457031193</c:v>
                </c:pt>
                <c:pt idx="97">
                  <c:v>95.194808959960895</c:v>
                </c:pt>
                <c:pt idx="98">
                  <c:v>97.587127685546804</c:v>
                </c:pt>
                <c:pt idx="99">
                  <c:v>97.933883666992102</c:v>
                </c:pt>
              </c:numCache>
            </c:numRef>
          </c:yVal>
          <c:smooth val="0"/>
        </c:ser>
        <c:dLbls>
          <c:showLegendKey val="0"/>
          <c:showVal val="0"/>
          <c:showCatName val="0"/>
          <c:showSerName val="0"/>
          <c:showPercent val="0"/>
          <c:showBubbleSize val="0"/>
        </c:dLbls>
        <c:axId val="178032280"/>
        <c:axId val="178032672"/>
      </c:scatterChart>
      <c:valAx>
        <c:axId val="178032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178032672"/>
        <c:crosses val="autoZero"/>
        <c:crossBetween val="midCat"/>
      </c:valAx>
      <c:valAx>
        <c:axId val="17803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178032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317455120"/>
        <c:axId val="317455512"/>
      </c:scatterChart>
      <c:valAx>
        <c:axId val="31745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55512"/>
        <c:crosses val="autoZero"/>
        <c:crossBetween val="midCat"/>
      </c:valAx>
      <c:valAx>
        <c:axId val="317455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455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366669888"/>
        <c:axId val="366669496"/>
      </c:scatterChart>
      <c:valAx>
        <c:axId val="36666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69496"/>
        <c:crosses val="autoZero"/>
        <c:crossBetween val="midCat"/>
      </c:valAx>
      <c:valAx>
        <c:axId val="36666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69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366670672"/>
        <c:axId val="366667536"/>
      </c:scatterChart>
      <c:valAx>
        <c:axId val="366670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67536"/>
        <c:crosses val="autoZero"/>
        <c:crossBetween val="midCat"/>
      </c:valAx>
      <c:valAx>
        <c:axId val="36666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70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366667928"/>
        <c:axId val="361625840"/>
      </c:scatterChart>
      <c:valAx>
        <c:axId val="366667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25840"/>
        <c:crosses val="autoZero"/>
        <c:crossBetween val="midCat"/>
      </c:valAx>
      <c:valAx>
        <c:axId val="36162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67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361623488"/>
        <c:axId val="362007440"/>
      </c:scatterChart>
      <c:valAx>
        <c:axId val="36162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007440"/>
        <c:crosses val="autoZero"/>
        <c:crossBetween val="midCat"/>
      </c:valAx>
      <c:valAx>
        <c:axId val="3620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23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Projects</a:t>
            </a:r>
            <a:r>
              <a:rPr lang="en-GB" sz="1200" baseline="0">
                <a:latin typeface="Garamond" panose="02020404030301010803" pitchFamily="18" charset="0"/>
              </a:rPr>
              <a:t> Change in LOC</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177660440"/>
        <c:axId val="178035416"/>
      </c:barChart>
      <c:catAx>
        <c:axId val="177660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178035416"/>
        <c:crosses val="autoZero"/>
        <c:auto val="1"/>
        <c:lblAlgn val="ctr"/>
        <c:lblOffset val="100"/>
        <c:noMultiLvlLbl val="0"/>
      </c:catAx>
      <c:valAx>
        <c:axId val="178035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660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178034240"/>
        <c:axId val="178033064"/>
      </c:scatterChart>
      <c:valAx>
        <c:axId val="17803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33064"/>
        <c:crosses val="autoZero"/>
        <c:crossBetween val="midCat"/>
      </c:valAx>
      <c:valAx>
        <c:axId val="178033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34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178033456"/>
        <c:axId val="178033848"/>
      </c:scatterChart>
      <c:valAx>
        <c:axId val="178033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33848"/>
        <c:crosses val="autoZero"/>
        <c:crossBetween val="midCat"/>
      </c:valAx>
      <c:valAx>
        <c:axId val="1780338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33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withinLinear" id="16">
  <a:schemeClr val="accent3"/>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2C221-621A-4F93-8DC6-6102D0EE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13</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287</cp:revision>
  <cp:lastPrinted>2015-11-12T17:04:00Z</cp:lastPrinted>
  <dcterms:created xsi:type="dcterms:W3CDTF">2015-10-27T10:26:00Z</dcterms:created>
  <dcterms:modified xsi:type="dcterms:W3CDTF">2016-03-23T16:57:00Z</dcterms:modified>
</cp:coreProperties>
</file>