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ACME Personal Loan Credit Policy</w:t>
      </w:r>
    </w:p>
    <w:p>
      <w:r>
        <w:t xml:space="preserve"/>
      </w:r>
    </w:p>
    <w:p>
      <w:r>
        <w:t xml:space="preserve">Eligibility:</w:t>
      </w:r>
    </w:p>
    <w:p>
      <w:r>
        <w:t xml:space="preserve">  FICO &gt;= 700</w:t>
      </w:r>
    </w:p>
    <w:p>
      <w:r>
        <w:t xml:space="preserve">  DTI &lt;= 35%</w:t>
      </w:r>
    </w:p>
    <w:p>
      <w:r>
        <w:t xml:space="preserve">  Min credit history: 24 months</w:t>
      </w:r>
    </w:p>
    <w:p>
      <w:r>
        <w:t xml:space="preserve">  No bankruptcies in last 7 years</w:t>
      </w:r>
    </w:p>
    <w:p>
      <w:r>
        <w:t xml:space="preserve"/>
      </w:r>
    </w:p>
    <w:p>
      <w:r>
        <w:t xml:space="preserve">Risk Rules:</w:t>
      </w:r>
    </w:p>
    <w:p>
      <w:r>
        <w:t xml:space="preserve">  Hard inquiries (6M) &lt;= 3</w:t>
      </w:r>
    </w:p>
    <w:p>
      <w:r>
        <w:t xml:space="preserve">  Utilization &lt;= 80%</w:t>
      </w:r>
    </w:p>
    <w:p>
      <w:r>
        <w:t xml:space="preserve"/>
      </w:r>
    </w:p>
    <w:p>
      <w:r>
        <w:t xml:space="preserve">Pricing:</w:t>
      </w:r>
    </w:p>
    <w:p>
      <w:r>
        <w:t xml:space="preserve">  Base APR: 11%</w:t>
      </w:r>
    </w:p>
    <w:p>
      <w:r>
        <w:t xml:space="preserve"/>
      </w:r>
    </w:p>
    <w:p>
      <w:r>
        <w:t xml:space="preserve">Decision:</w:t>
      </w:r>
    </w:p>
    <w:p>
      <w:r>
        <w:t xml:space="preserve">  Auto-approve: score &gt; 740</w:t>
      </w:r>
    </w:p>
    <w:p>
      <w:r>
        <w:t xml:space="preserve">  Manual review: 700-740</w:t>
      </w:r>
    </w:p>
    <w:p>
      <w:r>
        <w:t xml:space="preserve">  Decline: &lt; 700</w:t>
      </w:r>
    </w:p>
  </w:body>
</w:document>
</file>