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EA620" w14:textId="77777777" w:rsidR="003744F6" w:rsidRPr="00490F1B" w:rsidRDefault="00000000">
      <w:pPr>
        <w:jc w:val="center"/>
        <w:rPr>
          <w:rFonts w:ascii="Times New Roman" w:hAnsi="Times New Roman" w:cs="Times New Roman"/>
        </w:rPr>
      </w:pPr>
      <w:r w:rsidRPr="00490F1B">
        <w:rPr>
          <w:rFonts w:ascii="Times New Roman" w:hAnsi="Times New Roman" w:cs="Times New Roman"/>
          <w:b/>
          <w:sz w:val="36"/>
        </w:rPr>
        <w:t>Reconciliation Take-Home — May/June 2026</w:t>
      </w:r>
    </w:p>
    <w:p w14:paraId="0977DB7E" w14:textId="77777777" w:rsidR="003744F6" w:rsidRPr="00490F1B" w:rsidRDefault="00000000">
      <w:pPr>
        <w:jc w:val="center"/>
        <w:rPr>
          <w:rFonts w:ascii="Times New Roman" w:hAnsi="Times New Roman" w:cs="Times New Roman"/>
        </w:rPr>
      </w:pPr>
      <w:r w:rsidRPr="00490F1B">
        <w:rPr>
          <w:rFonts w:ascii="Times New Roman" w:hAnsi="Times New Roman" w:cs="Times New Roman"/>
          <w:sz w:val="18"/>
        </w:rPr>
        <w:t>Data Analyst (Reconciliation) — Summary Write-up</w:t>
      </w:r>
    </w:p>
    <w:p w14:paraId="562C1749" w14:textId="77777777" w:rsidR="003744F6" w:rsidRPr="00490F1B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490F1B">
        <w:rPr>
          <w:rFonts w:ascii="Times New Roman" w:hAnsi="Times New Roman" w:cs="Times New Roman"/>
          <w:color w:val="auto"/>
        </w:rPr>
        <w:t>1. Monthly results</w:t>
      </w:r>
    </w:p>
    <w:p w14:paraId="7486334B" w14:textId="77777777" w:rsidR="003744F6" w:rsidRPr="00490F1B" w:rsidRDefault="00000000">
      <w:pPr>
        <w:rPr>
          <w:rFonts w:ascii="Times New Roman" w:hAnsi="Times New Roman" w:cs="Times New Roman"/>
        </w:rPr>
      </w:pPr>
      <w:r w:rsidRPr="00490F1B">
        <w:rPr>
          <w:rFonts w:ascii="Times New Roman" w:hAnsi="Times New Roman" w:cs="Times New Roman"/>
          <w:b/>
        </w:rPr>
        <w:t xml:space="preserve">May: </w:t>
      </w:r>
      <w:r w:rsidRPr="00490F1B">
        <w:rPr>
          <w:rFonts w:ascii="Times New Roman" w:hAnsi="Times New Roman" w:cs="Times New Roman"/>
        </w:rPr>
        <w:t>328 successful internal transactions were assessed against 252 bank credits. 224 reconciliation groups are fully MATCHED, covering 274 internal transactions. 5 groups are PARTIAL_MATCH due to settlement shortfalls / amount mismatches. 30 internal transactions remain OPEN at May month-end.</w:t>
      </w:r>
    </w:p>
    <w:p w14:paraId="5B6AB40A" w14:textId="77777777" w:rsidR="003744F6" w:rsidRPr="00490F1B" w:rsidRDefault="00000000">
      <w:pPr>
        <w:rPr>
          <w:rFonts w:ascii="Times New Roman" w:hAnsi="Times New Roman" w:cs="Times New Roman"/>
        </w:rPr>
      </w:pPr>
      <w:r w:rsidRPr="00490F1B">
        <w:rPr>
          <w:rFonts w:ascii="Times New Roman" w:hAnsi="Times New Roman" w:cs="Times New Roman"/>
          <w:b/>
        </w:rPr>
        <w:t xml:space="preserve">June: </w:t>
      </w:r>
      <w:r w:rsidRPr="00490F1B">
        <w:rPr>
          <w:rFonts w:ascii="Times New Roman" w:hAnsi="Times New Roman" w:cs="Times New Roman"/>
        </w:rPr>
        <w:t xml:space="preserve">The 22 May opening-backlog items with PREV CYCLE credits are cleared in June. The remaining May backlog is 8 items, and 24 June transactions are still open at June month-end. Together, 32 items are open in the June snapshot. </w:t>
      </w:r>
    </w:p>
    <w:p w14:paraId="2789BDC6" w14:textId="77777777" w:rsidR="003744F6" w:rsidRPr="00490F1B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490F1B">
        <w:rPr>
          <w:rFonts w:ascii="Times New Roman" w:hAnsi="Times New Roman" w:cs="Times New Roman"/>
          <w:color w:val="auto"/>
        </w:rPr>
        <w:t>2. Control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80"/>
        <w:gridCol w:w="1708"/>
        <w:gridCol w:w="1478"/>
        <w:gridCol w:w="1479"/>
        <w:gridCol w:w="1480"/>
        <w:gridCol w:w="1480"/>
        <w:gridCol w:w="1479"/>
      </w:tblGrid>
      <w:tr w:rsidR="003744F6" w:rsidRPr="00490F1B" w14:paraId="6B0D9CB6" w14:textId="77777777">
        <w:trPr>
          <w:jc w:val="center"/>
        </w:trPr>
        <w:tc>
          <w:tcPr>
            <w:tcW w:w="1481" w:type="dxa"/>
            <w:shd w:val="clear" w:color="auto" w:fill="EDEFF2"/>
            <w:vAlign w:val="center"/>
          </w:tcPr>
          <w:p w14:paraId="6A421C1C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b/>
                <w:sz w:val="15"/>
              </w:rPr>
              <w:t>Reporting Month</w:t>
            </w:r>
          </w:p>
        </w:tc>
        <w:tc>
          <w:tcPr>
            <w:tcW w:w="1481" w:type="dxa"/>
            <w:shd w:val="clear" w:color="auto" w:fill="EDEFF2"/>
            <w:vAlign w:val="center"/>
          </w:tcPr>
          <w:p w14:paraId="053D4D72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b/>
                <w:sz w:val="15"/>
              </w:rPr>
              <w:t>Status</w:t>
            </w:r>
          </w:p>
        </w:tc>
        <w:tc>
          <w:tcPr>
            <w:tcW w:w="1481" w:type="dxa"/>
            <w:shd w:val="clear" w:color="auto" w:fill="EDEFF2"/>
            <w:vAlign w:val="center"/>
          </w:tcPr>
          <w:p w14:paraId="1BD0B7C7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b/>
                <w:sz w:val="15"/>
              </w:rPr>
              <w:t>Group Or Item Count</w:t>
            </w:r>
          </w:p>
        </w:tc>
        <w:tc>
          <w:tcPr>
            <w:tcW w:w="1481" w:type="dxa"/>
            <w:shd w:val="clear" w:color="auto" w:fill="EDEFF2"/>
            <w:vAlign w:val="center"/>
          </w:tcPr>
          <w:p w14:paraId="31270AF6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b/>
                <w:sz w:val="15"/>
              </w:rPr>
              <w:t>Internal Transaction Count</w:t>
            </w:r>
          </w:p>
        </w:tc>
        <w:tc>
          <w:tcPr>
            <w:tcW w:w="1481" w:type="dxa"/>
            <w:shd w:val="clear" w:color="auto" w:fill="EDEFF2"/>
            <w:vAlign w:val="center"/>
          </w:tcPr>
          <w:p w14:paraId="41DC45A6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b/>
                <w:sz w:val="15"/>
              </w:rPr>
              <w:t>Internal Value</w:t>
            </w:r>
          </w:p>
        </w:tc>
        <w:tc>
          <w:tcPr>
            <w:tcW w:w="1481" w:type="dxa"/>
            <w:shd w:val="clear" w:color="auto" w:fill="EDEFF2"/>
            <w:vAlign w:val="center"/>
          </w:tcPr>
          <w:p w14:paraId="3A68D9AE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b/>
                <w:sz w:val="15"/>
              </w:rPr>
              <w:t>Bank Value</w:t>
            </w:r>
          </w:p>
        </w:tc>
        <w:tc>
          <w:tcPr>
            <w:tcW w:w="1481" w:type="dxa"/>
            <w:shd w:val="clear" w:color="auto" w:fill="EDEFF2"/>
            <w:vAlign w:val="center"/>
          </w:tcPr>
          <w:p w14:paraId="6373C306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b/>
                <w:sz w:val="15"/>
              </w:rPr>
              <w:t>Net Variance</w:t>
            </w:r>
          </w:p>
        </w:tc>
      </w:tr>
      <w:tr w:rsidR="003744F6" w:rsidRPr="00490F1B" w14:paraId="13BF5E41" w14:textId="77777777">
        <w:trPr>
          <w:jc w:val="center"/>
        </w:trPr>
        <w:tc>
          <w:tcPr>
            <w:tcW w:w="1481" w:type="dxa"/>
            <w:vAlign w:val="center"/>
          </w:tcPr>
          <w:p w14:paraId="0441E2AA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May</w:t>
            </w:r>
          </w:p>
        </w:tc>
        <w:tc>
          <w:tcPr>
            <w:tcW w:w="1481" w:type="dxa"/>
            <w:vAlign w:val="center"/>
          </w:tcPr>
          <w:p w14:paraId="6EA140A3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MATCHED</w:t>
            </w:r>
          </w:p>
        </w:tc>
        <w:tc>
          <w:tcPr>
            <w:tcW w:w="1481" w:type="dxa"/>
            <w:vAlign w:val="center"/>
          </w:tcPr>
          <w:p w14:paraId="3B39A5DA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224</w:t>
            </w:r>
          </w:p>
        </w:tc>
        <w:tc>
          <w:tcPr>
            <w:tcW w:w="1481" w:type="dxa"/>
            <w:vAlign w:val="center"/>
          </w:tcPr>
          <w:p w14:paraId="2D9C60C2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274</w:t>
            </w:r>
          </w:p>
        </w:tc>
        <w:tc>
          <w:tcPr>
            <w:tcW w:w="1481" w:type="dxa"/>
            <w:vAlign w:val="center"/>
          </w:tcPr>
          <w:p w14:paraId="6338ADAB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₹11,447,030.70</w:t>
            </w:r>
          </w:p>
        </w:tc>
        <w:tc>
          <w:tcPr>
            <w:tcW w:w="1481" w:type="dxa"/>
            <w:vAlign w:val="center"/>
          </w:tcPr>
          <w:p w14:paraId="106B65FF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₹11,447,030.70</w:t>
            </w:r>
          </w:p>
        </w:tc>
        <w:tc>
          <w:tcPr>
            <w:tcW w:w="1481" w:type="dxa"/>
            <w:vAlign w:val="center"/>
          </w:tcPr>
          <w:p w14:paraId="03349832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₹0.00</w:t>
            </w:r>
          </w:p>
        </w:tc>
      </w:tr>
      <w:tr w:rsidR="003744F6" w:rsidRPr="00490F1B" w14:paraId="0192FC9C" w14:textId="77777777">
        <w:trPr>
          <w:jc w:val="center"/>
        </w:trPr>
        <w:tc>
          <w:tcPr>
            <w:tcW w:w="1481" w:type="dxa"/>
            <w:vAlign w:val="center"/>
          </w:tcPr>
          <w:p w14:paraId="2F8F9DE9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May</w:t>
            </w:r>
          </w:p>
        </w:tc>
        <w:tc>
          <w:tcPr>
            <w:tcW w:w="1481" w:type="dxa"/>
            <w:vAlign w:val="center"/>
          </w:tcPr>
          <w:p w14:paraId="33A9CA43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PARTIAL_MATCH</w:t>
            </w:r>
          </w:p>
        </w:tc>
        <w:tc>
          <w:tcPr>
            <w:tcW w:w="1481" w:type="dxa"/>
            <w:vAlign w:val="center"/>
          </w:tcPr>
          <w:p w14:paraId="13C14548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5</w:t>
            </w:r>
          </w:p>
        </w:tc>
        <w:tc>
          <w:tcPr>
            <w:tcW w:w="1481" w:type="dxa"/>
            <w:vAlign w:val="center"/>
          </w:tcPr>
          <w:p w14:paraId="788BA5EE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16</w:t>
            </w:r>
          </w:p>
        </w:tc>
        <w:tc>
          <w:tcPr>
            <w:tcW w:w="1481" w:type="dxa"/>
            <w:vAlign w:val="center"/>
          </w:tcPr>
          <w:p w14:paraId="2069A64E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₹200,720.94</w:t>
            </w:r>
          </w:p>
        </w:tc>
        <w:tc>
          <w:tcPr>
            <w:tcW w:w="1481" w:type="dxa"/>
            <w:vAlign w:val="center"/>
          </w:tcPr>
          <w:p w14:paraId="101DC825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₹199,237.72</w:t>
            </w:r>
          </w:p>
        </w:tc>
        <w:tc>
          <w:tcPr>
            <w:tcW w:w="1481" w:type="dxa"/>
            <w:vAlign w:val="center"/>
          </w:tcPr>
          <w:p w14:paraId="6193E3B2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₹-1,483.22</w:t>
            </w:r>
          </w:p>
        </w:tc>
      </w:tr>
      <w:tr w:rsidR="003744F6" w:rsidRPr="00490F1B" w14:paraId="63C9C78D" w14:textId="77777777">
        <w:trPr>
          <w:jc w:val="center"/>
        </w:trPr>
        <w:tc>
          <w:tcPr>
            <w:tcW w:w="1481" w:type="dxa"/>
            <w:vAlign w:val="center"/>
          </w:tcPr>
          <w:p w14:paraId="7EF19115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May</w:t>
            </w:r>
          </w:p>
        </w:tc>
        <w:tc>
          <w:tcPr>
            <w:tcW w:w="1481" w:type="dxa"/>
            <w:vAlign w:val="center"/>
          </w:tcPr>
          <w:p w14:paraId="1457DD7A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OPEN</w:t>
            </w:r>
          </w:p>
        </w:tc>
        <w:tc>
          <w:tcPr>
            <w:tcW w:w="1481" w:type="dxa"/>
            <w:vAlign w:val="center"/>
          </w:tcPr>
          <w:p w14:paraId="09D8404E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30</w:t>
            </w:r>
          </w:p>
        </w:tc>
        <w:tc>
          <w:tcPr>
            <w:tcW w:w="1481" w:type="dxa"/>
            <w:vAlign w:val="center"/>
          </w:tcPr>
          <w:p w14:paraId="48279F8A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30</w:t>
            </w:r>
          </w:p>
        </w:tc>
        <w:tc>
          <w:tcPr>
            <w:tcW w:w="1481" w:type="dxa"/>
            <w:vAlign w:val="center"/>
          </w:tcPr>
          <w:p w14:paraId="33205B9B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₹1,566,002.71</w:t>
            </w:r>
          </w:p>
        </w:tc>
        <w:tc>
          <w:tcPr>
            <w:tcW w:w="1481" w:type="dxa"/>
            <w:vAlign w:val="center"/>
          </w:tcPr>
          <w:p w14:paraId="7B67276A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₹0.00</w:t>
            </w:r>
          </w:p>
        </w:tc>
        <w:tc>
          <w:tcPr>
            <w:tcW w:w="1481" w:type="dxa"/>
            <w:vAlign w:val="center"/>
          </w:tcPr>
          <w:p w14:paraId="3F60131B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₹-1,566,002.71</w:t>
            </w:r>
          </w:p>
        </w:tc>
      </w:tr>
      <w:tr w:rsidR="003744F6" w:rsidRPr="00490F1B" w14:paraId="1839323A" w14:textId="77777777">
        <w:trPr>
          <w:jc w:val="center"/>
        </w:trPr>
        <w:tc>
          <w:tcPr>
            <w:tcW w:w="1481" w:type="dxa"/>
            <w:vAlign w:val="center"/>
          </w:tcPr>
          <w:p w14:paraId="4EF956C5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May</w:t>
            </w:r>
          </w:p>
        </w:tc>
        <w:tc>
          <w:tcPr>
            <w:tcW w:w="1481" w:type="dxa"/>
            <w:vAlign w:val="center"/>
          </w:tcPr>
          <w:p w14:paraId="4E82A8A5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EXCEPTION</w:t>
            </w:r>
          </w:p>
        </w:tc>
        <w:tc>
          <w:tcPr>
            <w:tcW w:w="1481" w:type="dxa"/>
            <w:vAlign w:val="center"/>
          </w:tcPr>
          <w:p w14:paraId="058C9D0F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15</w:t>
            </w:r>
          </w:p>
        </w:tc>
        <w:tc>
          <w:tcPr>
            <w:tcW w:w="1481" w:type="dxa"/>
            <w:vAlign w:val="center"/>
          </w:tcPr>
          <w:p w14:paraId="7E71F720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19</w:t>
            </w:r>
          </w:p>
        </w:tc>
        <w:tc>
          <w:tcPr>
            <w:tcW w:w="1481" w:type="dxa"/>
            <w:vAlign w:val="center"/>
          </w:tcPr>
          <w:p w14:paraId="75228D0B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₹0.00</w:t>
            </w:r>
          </w:p>
        </w:tc>
        <w:tc>
          <w:tcPr>
            <w:tcW w:w="1481" w:type="dxa"/>
            <w:vAlign w:val="center"/>
          </w:tcPr>
          <w:p w14:paraId="4989DA1A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₹473,943.54</w:t>
            </w:r>
          </w:p>
        </w:tc>
        <w:tc>
          <w:tcPr>
            <w:tcW w:w="1481" w:type="dxa"/>
            <w:vAlign w:val="center"/>
          </w:tcPr>
          <w:p w14:paraId="48810211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₹473,943.54</w:t>
            </w:r>
          </w:p>
        </w:tc>
      </w:tr>
      <w:tr w:rsidR="003744F6" w:rsidRPr="00490F1B" w14:paraId="1A8D67D1" w14:textId="77777777">
        <w:trPr>
          <w:jc w:val="center"/>
        </w:trPr>
        <w:tc>
          <w:tcPr>
            <w:tcW w:w="1481" w:type="dxa"/>
            <w:vAlign w:val="center"/>
          </w:tcPr>
          <w:p w14:paraId="65488BB2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May</w:t>
            </w:r>
          </w:p>
        </w:tc>
        <w:tc>
          <w:tcPr>
            <w:tcW w:w="1481" w:type="dxa"/>
            <w:vAlign w:val="center"/>
          </w:tcPr>
          <w:p w14:paraId="2B242772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BACKLOG_CLEARED</w:t>
            </w:r>
          </w:p>
        </w:tc>
        <w:tc>
          <w:tcPr>
            <w:tcW w:w="1481" w:type="dxa"/>
            <w:vAlign w:val="center"/>
          </w:tcPr>
          <w:p w14:paraId="250A1CF4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1481" w:type="dxa"/>
            <w:vAlign w:val="center"/>
          </w:tcPr>
          <w:p w14:paraId="10057CA2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1481" w:type="dxa"/>
            <w:vAlign w:val="center"/>
          </w:tcPr>
          <w:p w14:paraId="3D8B0AF9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₹0.00</w:t>
            </w:r>
          </w:p>
        </w:tc>
        <w:tc>
          <w:tcPr>
            <w:tcW w:w="1481" w:type="dxa"/>
            <w:vAlign w:val="center"/>
          </w:tcPr>
          <w:p w14:paraId="1A30CE2C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₹0.00</w:t>
            </w:r>
          </w:p>
        </w:tc>
        <w:tc>
          <w:tcPr>
            <w:tcW w:w="1481" w:type="dxa"/>
            <w:vAlign w:val="center"/>
          </w:tcPr>
          <w:p w14:paraId="5D622E0C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₹0.00</w:t>
            </w:r>
          </w:p>
        </w:tc>
      </w:tr>
      <w:tr w:rsidR="003744F6" w:rsidRPr="00490F1B" w14:paraId="61B6EB29" w14:textId="77777777">
        <w:trPr>
          <w:jc w:val="center"/>
        </w:trPr>
        <w:tc>
          <w:tcPr>
            <w:tcW w:w="1481" w:type="dxa"/>
            <w:vAlign w:val="center"/>
          </w:tcPr>
          <w:p w14:paraId="3DD46E27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June</w:t>
            </w:r>
          </w:p>
        </w:tc>
        <w:tc>
          <w:tcPr>
            <w:tcW w:w="1481" w:type="dxa"/>
            <w:vAlign w:val="center"/>
          </w:tcPr>
          <w:p w14:paraId="1992B4F9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MATCHED</w:t>
            </w:r>
          </w:p>
        </w:tc>
        <w:tc>
          <w:tcPr>
            <w:tcW w:w="1481" w:type="dxa"/>
            <w:vAlign w:val="center"/>
          </w:tcPr>
          <w:p w14:paraId="2C357007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226</w:t>
            </w:r>
          </w:p>
        </w:tc>
        <w:tc>
          <w:tcPr>
            <w:tcW w:w="1481" w:type="dxa"/>
            <w:vAlign w:val="center"/>
          </w:tcPr>
          <w:p w14:paraId="19177F88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263</w:t>
            </w:r>
          </w:p>
        </w:tc>
        <w:tc>
          <w:tcPr>
            <w:tcW w:w="1481" w:type="dxa"/>
            <w:vAlign w:val="center"/>
          </w:tcPr>
          <w:p w14:paraId="358446B8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₹10,782,386.70</w:t>
            </w:r>
          </w:p>
        </w:tc>
        <w:tc>
          <w:tcPr>
            <w:tcW w:w="1481" w:type="dxa"/>
            <w:vAlign w:val="center"/>
          </w:tcPr>
          <w:p w14:paraId="2E99D12B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₹10,782,386.70</w:t>
            </w:r>
          </w:p>
        </w:tc>
        <w:tc>
          <w:tcPr>
            <w:tcW w:w="1481" w:type="dxa"/>
            <w:vAlign w:val="center"/>
          </w:tcPr>
          <w:p w14:paraId="5DFA2DAB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₹0.00</w:t>
            </w:r>
          </w:p>
        </w:tc>
      </w:tr>
      <w:tr w:rsidR="003744F6" w:rsidRPr="00490F1B" w14:paraId="02C0F1D7" w14:textId="77777777">
        <w:trPr>
          <w:jc w:val="center"/>
        </w:trPr>
        <w:tc>
          <w:tcPr>
            <w:tcW w:w="1481" w:type="dxa"/>
            <w:vAlign w:val="center"/>
          </w:tcPr>
          <w:p w14:paraId="41686F44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June</w:t>
            </w:r>
          </w:p>
        </w:tc>
        <w:tc>
          <w:tcPr>
            <w:tcW w:w="1481" w:type="dxa"/>
            <w:vAlign w:val="center"/>
          </w:tcPr>
          <w:p w14:paraId="5E8168B4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PARTIAL_MATCH</w:t>
            </w:r>
          </w:p>
        </w:tc>
        <w:tc>
          <w:tcPr>
            <w:tcW w:w="1481" w:type="dxa"/>
            <w:vAlign w:val="center"/>
          </w:tcPr>
          <w:p w14:paraId="259ABBE6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4</w:t>
            </w:r>
          </w:p>
        </w:tc>
        <w:tc>
          <w:tcPr>
            <w:tcW w:w="1481" w:type="dxa"/>
            <w:vAlign w:val="center"/>
          </w:tcPr>
          <w:p w14:paraId="3C273FB8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17</w:t>
            </w:r>
          </w:p>
        </w:tc>
        <w:tc>
          <w:tcPr>
            <w:tcW w:w="1481" w:type="dxa"/>
            <w:vAlign w:val="center"/>
          </w:tcPr>
          <w:p w14:paraId="48C45587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₹194,521.20</w:t>
            </w:r>
          </w:p>
        </w:tc>
        <w:tc>
          <w:tcPr>
            <w:tcW w:w="1481" w:type="dxa"/>
            <w:vAlign w:val="center"/>
          </w:tcPr>
          <w:p w14:paraId="2F11F429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₹193,127.28</w:t>
            </w:r>
          </w:p>
        </w:tc>
        <w:tc>
          <w:tcPr>
            <w:tcW w:w="1481" w:type="dxa"/>
            <w:vAlign w:val="center"/>
          </w:tcPr>
          <w:p w14:paraId="5ED093BF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₹-1,393.92</w:t>
            </w:r>
          </w:p>
        </w:tc>
      </w:tr>
      <w:tr w:rsidR="003744F6" w:rsidRPr="00490F1B" w14:paraId="109BE7AC" w14:textId="77777777">
        <w:trPr>
          <w:jc w:val="center"/>
        </w:trPr>
        <w:tc>
          <w:tcPr>
            <w:tcW w:w="1481" w:type="dxa"/>
            <w:vAlign w:val="center"/>
          </w:tcPr>
          <w:p w14:paraId="3F0A645A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June</w:t>
            </w:r>
          </w:p>
        </w:tc>
        <w:tc>
          <w:tcPr>
            <w:tcW w:w="1481" w:type="dxa"/>
            <w:vAlign w:val="center"/>
          </w:tcPr>
          <w:p w14:paraId="0CB8A0B9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OPEN</w:t>
            </w:r>
          </w:p>
        </w:tc>
        <w:tc>
          <w:tcPr>
            <w:tcW w:w="1481" w:type="dxa"/>
            <w:vAlign w:val="center"/>
          </w:tcPr>
          <w:p w14:paraId="21FAA363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32</w:t>
            </w:r>
          </w:p>
        </w:tc>
        <w:tc>
          <w:tcPr>
            <w:tcW w:w="1481" w:type="dxa"/>
            <w:vAlign w:val="center"/>
          </w:tcPr>
          <w:p w14:paraId="275AE010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32</w:t>
            </w:r>
          </w:p>
        </w:tc>
        <w:tc>
          <w:tcPr>
            <w:tcW w:w="1481" w:type="dxa"/>
            <w:vAlign w:val="center"/>
          </w:tcPr>
          <w:p w14:paraId="64528A25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₹1,852,515.99</w:t>
            </w:r>
          </w:p>
        </w:tc>
        <w:tc>
          <w:tcPr>
            <w:tcW w:w="1481" w:type="dxa"/>
            <w:vAlign w:val="center"/>
          </w:tcPr>
          <w:p w14:paraId="4D8AA075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₹0.00</w:t>
            </w:r>
          </w:p>
        </w:tc>
        <w:tc>
          <w:tcPr>
            <w:tcW w:w="1481" w:type="dxa"/>
            <w:vAlign w:val="center"/>
          </w:tcPr>
          <w:p w14:paraId="5A3A7B60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₹-1,852,515.99</w:t>
            </w:r>
          </w:p>
        </w:tc>
      </w:tr>
      <w:tr w:rsidR="003744F6" w:rsidRPr="00490F1B" w14:paraId="6702F16E" w14:textId="77777777">
        <w:trPr>
          <w:jc w:val="center"/>
        </w:trPr>
        <w:tc>
          <w:tcPr>
            <w:tcW w:w="1481" w:type="dxa"/>
            <w:vAlign w:val="center"/>
          </w:tcPr>
          <w:p w14:paraId="48136423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June</w:t>
            </w:r>
          </w:p>
        </w:tc>
        <w:tc>
          <w:tcPr>
            <w:tcW w:w="1481" w:type="dxa"/>
            <w:vAlign w:val="center"/>
          </w:tcPr>
          <w:p w14:paraId="2AF56477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EXCEPTION</w:t>
            </w:r>
          </w:p>
        </w:tc>
        <w:tc>
          <w:tcPr>
            <w:tcW w:w="1481" w:type="dxa"/>
            <w:vAlign w:val="center"/>
          </w:tcPr>
          <w:p w14:paraId="231BE33A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12</w:t>
            </w:r>
          </w:p>
        </w:tc>
        <w:tc>
          <w:tcPr>
            <w:tcW w:w="1481" w:type="dxa"/>
            <w:vAlign w:val="center"/>
          </w:tcPr>
          <w:p w14:paraId="7FE8F22C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15</w:t>
            </w:r>
          </w:p>
        </w:tc>
        <w:tc>
          <w:tcPr>
            <w:tcW w:w="1481" w:type="dxa"/>
            <w:vAlign w:val="center"/>
          </w:tcPr>
          <w:p w14:paraId="269F747A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₹0.00</w:t>
            </w:r>
          </w:p>
        </w:tc>
        <w:tc>
          <w:tcPr>
            <w:tcW w:w="1481" w:type="dxa"/>
            <w:vAlign w:val="center"/>
          </w:tcPr>
          <w:p w14:paraId="4E4434C7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₹444,956.34</w:t>
            </w:r>
          </w:p>
        </w:tc>
        <w:tc>
          <w:tcPr>
            <w:tcW w:w="1481" w:type="dxa"/>
            <w:vAlign w:val="center"/>
          </w:tcPr>
          <w:p w14:paraId="29A98292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₹444,956.34</w:t>
            </w:r>
          </w:p>
        </w:tc>
      </w:tr>
      <w:tr w:rsidR="003744F6" w:rsidRPr="00490F1B" w14:paraId="050B368B" w14:textId="77777777">
        <w:trPr>
          <w:jc w:val="center"/>
        </w:trPr>
        <w:tc>
          <w:tcPr>
            <w:tcW w:w="1481" w:type="dxa"/>
            <w:vAlign w:val="center"/>
          </w:tcPr>
          <w:p w14:paraId="76F4F35B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June</w:t>
            </w:r>
          </w:p>
        </w:tc>
        <w:tc>
          <w:tcPr>
            <w:tcW w:w="1481" w:type="dxa"/>
            <w:vAlign w:val="center"/>
          </w:tcPr>
          <w:p w14:paraId="2E28E791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BACKLOG_CLEARED</w:t>
            </w:r>
          </w:p>
        </w:tc>
        <w:tc>
          <w:tcPr>
            <w:tcW w:w="1481" w:type="dxa"/>
            <w:vAlign w:val="center"/>
          </w:tcPr>
          <w:p w14:paraId="724862BD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22</w:t>
            </w:r>
          </w:p>
        </w:tc>
        <w:tc>
          <w:tcPr>
            <w:tcW w:w="1481" w:type="dxa"/>
            <w:vAlign w:val="center"/>
          </w:tcPr>
          <w:p w14:paraId="5E00EE49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22</w:t>
            </w:r>
          </w:p>
        </w:tc>
        <w:tc>
          <w:tcPr>
            <w:tcW w:w="1481" w:type="dxa"/>
            <w:vAlign w:val="center"/>
          </w:tcPr>
          <w:p w14:paraId="64C249A6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₹1,188,928.42</w:t>
            </w:r>
          </w:p>
        </w:tc>
        <w:tc>
          <w:tcPr>
            <w:tcW w:w="1481" w:type="dxa"/>
            <w:vAlign w:val="center"/>
          </w:tcPr>
          <w:p w14:paraId="0C904B10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₹1,188,928.42</w:t>
            </w:r>
          </w:p>
        </w:tc>
        <w:tc>
          <w:tcPr>
            <w:tcW w:w="1481" w:type="dxa"/>
            <w:vAlign w:val="center"/>
          </w:tcPr>
          <w:p w14:paraId="169C4B8E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5"/>
              </w:rPr>
              <w:t>₹0.00</w:t>
            </w:r>
          </w:p>
        </w:tc>
      </w:tr>
    </w:tbl>
    <w:p w14:paraId="1A382F91" w14:textId="77777777" w:rsidR="003744F6" w:rsidRPr="00490F1B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490F1B">
        <w:rPr>
          <w:rFonts w:ascii="Times New Roman" w:hAnsi="Times New Roman" w:cs="Times New Roman"/>
          <w:color w:val="auto"/>
        </w:rPr>
        <w:t>3. Matching methodology and duplicate control</w:t>
      </w:r>
    </w:p>
    <w:p w14:paraId="78858292" w14:textId="77777777" w:rsidR="003744F6" w:rsidRPr="00490F1B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490F1B">
        <w:rPr>
          <w:rFonts w:ascii="Times New Roman" w:hAnsi="Times New Roman" w:cs="Times New Roman"/>
        </w:rPr>
        <w:t>Pass order: validate inputs → reserve zero-net SALE/REVERSAL self-netting pairs → match batch_id groups → normalize and match payment references (including truncated/spaced references) → unique exact-amount + reference-hint matches → solve explicit NET SETTLEMENT merchant/date groups as subset-sum groups → carry May backlog into June PREV CYCLE matching → classify all remaining bank/internal records.</w:t>
      </w:r>
    </w:p>
    <w:p w14:paraId="34EF2462" w14:textId="77777777" w:rsidR="003744F6" w:rsidRPr="00490F1B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490F1B">
        <w:rPr>
          <w:rFonts w:ascii="Times New Roman" w:hAnsi="Times New Roman" w:cs="Times New Roman"/>
        </w:rPr>
        <w:t>Cardinality is assigned from the final group membership. This covers 1:1, 1:N partial/aggregate settlements, N:1 batches, and N:M net settlement groups. N:M is represented as one match group rather than artificial pairwise links.</w:t>
      </w:r>
    </w:p>
    <w:p w14:paraId="55539B7E" w14:textId="77777777" w:rsidR="003744F6" w:rsidRPr="00490F1B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490F1B">
        <w:rPr>
          <w:rFonts w:ascii="Times New Roman" w:hAnsi="Times New Roman" w:cs="Times New Roman"/>
        </w:rPr>
        <w:t>Every internal transaction and bank line is placed in a used-set immediately when consumed. Every later pass excludes used records. Duplicate bank credits are therefore never reused as a second settlement for the same transaction.</w:t>
      </w:r>
    </w:p>
    <w:p w14:paraId="03810D17" w14:textId="77777777" w:rsidR="003744F6" w:rsidRPr="00490F1B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490F1B">
        <w:rPr>
          <w:rFonts w:ascii="Times New Roman" w:hAnsi="Times New Roman" w:cs="Times New Roman"/>
          <w:color w:val="auto"/>
        </w:rPr>
        <w:t>4. May backlog → June</w:t>
      </w:r>
    </w:p>
    <w:p w14:paraId="08DFD671" w14:textId="77777777" w:rsidR="003744F6" w:rsidRPr="00490F1B" w:rsidRDefault="00000000">
      <w:pPr>
        <w:rPr>
          <w:rFonts w:ascii="Times New Roman" w:hAnsi="Times New Roman" w:cs="Times New Roman"/>
        </w:rPr>
      </w:pPr>
      <w:r w:rsidRPr="00490F1B">
        <w:rPr>
          <w:rFonts w:ascii="Times New Roman" w:hAnsi="Times New Roman" w:cs="Times New Roman"/>
          <w:b/>
        </w:rPr>
        <w:t xml:space="preserve">Opening backlog: 30 items. </w:t>
      </w:r>
      <w:r w:rsidRPr="00490F1B">
        <w:rPr>
          <w:rFonts w:ascii="Times New Roman" w:hAnsi="Times New Roman" w:cs="Times New Roman"/>
        </w:rPr>
        <w:t>22 clear in June and 8 remain open at June month-end.</w:t>
      </w:r>
    </w:p>
    <w:p w14:paraId="0E32718A" w14:textId="77777777" w:rsidR="003744F6" w:rsidRPr="00490F1B" w:rsidRDefault="00000000">
      <w:pPr>
        <w:rPr>
          <w:rFonts w:ascii="Times New Roman" w:hAnsi="Times New Roman" w:cs="Times New Roman"/>
        </w:rPr>
      </w:pPr>
      <w:r w:rsidRPr="00490F1B">
        <w:rPr>
          <w:rFonts w:ascii="Times New Roman" w:hAnsi="Times New Roman" w:cs="Times New Roman"/>
        </w:rPr>
        <w:t>Lag-vs-exception rule: items aged 7 days or less at month-end are Likely Settlement Lag; items older than 7 days are Genuine Exception. This treats late-month transactions as expected post-month-end settlements while escalating older items.</w:t>
      </w:r>
    </w:p>
    <w:p w14:paraId="403A6F5C" w14:textId="77777777" w:rsidR="003744F6" w:rsidRPr="00490F1B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490F1B">
        <w:rPr>
          <w:rFonts w:ascii="Times New Roman" w:hAnsi="Times New Roman" w:cs="Times New Roman"/>
          <w:color w:val="auto"/>
        </w:rPr>
        <w:t>5. Exception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3744F6" w:rsidRPr="00490F1B" w14:paraId="5F7A256F" w14:textId="77777777">
        <w:trPr>
          <w:jc w:val="center"/>
        </w:trPr>
        <w:tc>
          <w:tcPr>
            <w:tcW w:w="1728" w:type="dxa"/>
            <w:shd w:val="clear" w:color="auto" w:fill="EDEFF2"/>
          </w:tcPr>
          <w:p w14:paraId="1CCEE70E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b/>
                <w:sz w:val="15"/>
              </w:rPr>
              <w:t>Reporting Month</w:t>
            </w:r>
          </w:p>
        </w:tc>
        <w:tc>
          <w:tcPr>
            <w:tcW w:w="1728" w:type="dxa"/>
            <w:shd w:val="clear" w:color="auto" w:fill="EDEFF2"/>
          </w:tcPr>
          <w:p w14:paraId="4882B444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b/>
                <w:sz w:val="15"/>
              </w:rPr>
              <w:t>Exception Category</w:t>
            </w:r>
          </w:p>
        </w:tc>
        <w:tc>
          <w:tcPr>
            <w:tcW w:w="1728" w:type="dxa"/>
            <w:shd w:val="clear" w:color="auto" w:fill="EDEFF2"/>
          </w:tcPr>
          <w:p w14:paraId="594A66AC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b/>
                <w:sz w:val="15"/>
              </w:rPr>
              <w:t>Count</w:t>
            </w:r>
          </w:p>
        </w:tc>
        <w:tc>
          <w:tcPr>
            <w:tcW w:w="1728" w:type="dxa"/>
            <w:shd w:val="clear" w:color="auto" w:fill="EDEFF2"/>
          </w:tcPr>
          <w:p w14:paraId="1651C9C0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b/>
                <w:sz w:val="15"/>
              </w:rPr>
              <w:t>Value</w:t>
            </w:r>
          </w:p>
        </w:tc>
        <w:tc>
          <w:tcPr>
            <w:tcW w:w="1728" w:type="dxa"/>
            <w:shd w:val="clear" w:color="auto" w:fill="EDEFF2"/>
          </w:tcPr>
          <w:p w14:paraId="5AB5887D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b/>
                <w:sz w:val="15"/>
              </w:rPr>
              <w:t>Variance</w:t>
            </w:r>
          </w:p>
        </w:tc>
        <w:tc>
          <w:tcPr>
            <w:tcW w:w="1728" w:type="dxa"/>
            <w:shd w:val="clear" w:color="auto" w:fill="EDEFF2"/>
          </w:tcPr>
          <w:p w14:paraId="01421707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b/>
                <w:sz w:val="15"/>
              </w:rPr>
              <w:t>Max Ageing Days</w:t>
            </w:r>
          </w:p>
        </w:tc>
      </w:tr>
      <w:tr w:rsidR="003744F6" w:rsidRPr="00490F1B" w14:paraId="3A0CA82F" w14:textId="77777777">
        <w:trPr>
          <w:jc w:val="center"/>
        </w:trPr>
        <w:tc>
          <w:tcPr>
            <w:tcW w:w="1728" w:type="dxa"/>
          </w:tcPr>
          <w:p w14:paraId="6BFAEE83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JUNE</w:t>
            </w:r>
          </w:p>
        </w:tc>
        <w:tc>
          <w:tcPr>
            <w:tcW w:w="1728" w:type="dxa"/>
          </w:tcPr>
          <w:p w14:paraId="149CFF12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Duplicate credit</w:t>
            </w:r>
          </w:p>
        </w:tc>
        <w:tc>
          <w:tcPr>
            <w:tcW w:w="1728" w:type="dxa"/>
          </w:tcPr>
          <w:p w14:paraId="65F2032B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5</w:t>
            </w:r>
          </w:p>
        </w:tc>
        <w:tc>
          <w:tcPr>
            <w:tcW w:w="1728" w:type="dxa"/>
          </w:tcPr>
          <w:p w14:paraId="10707A37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₹234,660.91</w:t>
            </w:r>
          </w:p>
        </w:tc>
        <w:tc>
          <w:tcPr>
            <w:tcW w:w="1728" w:type="dxa"/>
          </w:tcPr>
          <w:p w14:paraId="460D518B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₹0.00</w:t>
            </w:r>
          </w:p>
        </w:tc>
        <w:tc>
          <w:tcPr>
            <w:tcW w:w="1728" w:type="dxa"/>
          </w:tcPr>
          <w:p w14:paraId="07FE18DE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23</w:t>
            </w:r>
          </w:p>
        </w:tc>
      </w:tr>
      <w:tr w:rsidR="003744F6" w:rsidRPr="00490F1B" w14:paraId="22D6E62F" w14:textId="77777777">
        <w:trPr>
          <w:jc w:val="center"/>
        </w:trPr>
        <w:tc>
          <w:tcPr>
            <w:tcW w:w="1728" w:type="dxa"/>
          </w:tcPr>
          <w:p w14:paraId="129CDB02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JUNE</w:t>
            </w:r>
          </w:p>
        </w:tc>
        <w:tc>
          <w:tcPr>
            <w:tcW w:w="1728" w:type="dxa"/>
          </w:tcPr>
          <w:p w14:paraId="268A9D97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Internal self-netting pair</w:t>
            </w:r>
          </w:p>
        </w:tc>
        <w:tc>
          <w:tcPr>
            <w:tcW w:w="1728" w:type="dxa"/>
          </w:tcPr>
          <w:p w14:paraId="2ECC76BC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3</w:t>
            </w:r>
          </w:p>
        </w:tc>
        <w:tc>
          <w:tcPr>
            <w:tcW w:w="1728" w:type="dxa"/>
          </w:tcPr>
          <w:p w14:paraId="74F3CBB5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₹0.00</w:t>
            </w:r>
          </w:p>
        </w:tc>
        <w:tc>
          <w:tcPr>
            <w:tcW w:w="1728" w:type="dxa"/>
          </w:tcPr>
          <w:p w14:paraId="47DACE8C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₹0.00</w:t>
            </w:r>
          </w:p>
        </w:tc>
        <w:tc>
          <w:tcPr>
            <w:tcW w:w="1728" w:type="dxa"/>
          </w:tcPr>
          <w:p w14:paraId="3032AB00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23</w:t>
            </w:r>
          </w:p>
        </w:tc>
      </w:tr>
      <w:tr w:rsidR="003744F6" w:rsidRPr="00490F1B" w14:paraId="56307848" w14:textId="77777777">
        <w:trPr>
          <w:jc w:val="center"/>
        </w:trPr>
        <w:tc>
          <w:tcPr>
            <w:tcW w:w="1728" w:type="dxa"/>
          </w:tcPr>
          <w:p w14:paraId="294961FB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JUNE</w:t>
            </w:r>
          </w:p>
        </w:tc>
        <w:tc>
          <w:tcPr>
            <w:tcW w:w="1728" w:type="dxa"/>
          </w:tcPr>
          <w:p w14:paraId="7F40A9E7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Orphan credit</w:t>
            </w:r>
          </w:p>
        </w:tc>
        <w:tc>
          <w:tcPr>
            <w:tcW w:w="1728" w:type="dxa"/>
          </w:tcPr>
          <w:p w14:paraId="6EC30D4F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4</w:t>
            </w:r>
          </w:p>
        </w:tc>
        <w:tc>
          <w:tcPr>
            <w:tcW w:w="1728" w:type="dxa"/>
          </w:tcPr>
          <w:p w14:paraId="4BE27C6B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₹210,295.43</w:t>
            </w:r>
          </w:p>
        </w:tc>
        <w:tc>
          <w:tcPr>
            <w:tcW w:w="1728" w:type="dxa"/>
          </w:tcPr>
          <w:p w14:paraId="4ACC044A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₹210,295.43</w:t>
            </w:r>
          </w:p>
        </w:tc>
        <w:tc>
          <w:tcPr>
            <w:tcW w:w="1728" w:type="dxa"/>
          </w:tcPr>
          <w:p w14:paraId="0FCD688C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22</w:t>
            </w:r>
          </w:p>
        </w:tc>
      </w:tr>
      <w:tr w:rsidR="003744F6" w:rsidRPr="00490F1B" w14:paraId="779E9CDD" w14:textId="77777777">
        <w:trPr>
          <w:jc w:val="center"/>
        </w:trPr>
        <w:tc>
          <w:tcPr>
            <w:tcW w:w="1728" w:type="dxa"/>
          </w:tcPr>
          <w:p w14:paraId="1C834F8E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JUNE</w:t>
            </w:r>
          </w:p>
        </w:tc>
        <w:tc>
          <w:tcPr>
            <w:tcW w:w="1728" w:type="dxa"/>
          </w:tcPr>
          <w:p w14:paraId="748FB58D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Reference/amount mismatch</w:t>
            </w:r>
          </w:p>
        </w:tc>
        <w:tc>
          <w:tcPr>
            <w:tcW w:w="1728" w:type="dxa"/>
          </w:tcPr>
          <w:p w14:paraId="4834E08D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2</w:t>
            </w:r>
          </w:p>
        </w:tc>
        <w:tc>
          <w:tcPr>
            <w:tcW w:w="1728" w:type="dxa"/>
          </w:tcPr>
          <w:p w14:paraId="2F9764A7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₹36,849.71</w:t>
            </w:r>
          </w:p>
        </w:tc>
        <w:tc>
          <w:tcPr>
            <w:tcW w:w="1728" w:type="dxa"/>
          </w:tcPr>
          <w:p w14:paraId="5DFD35EE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₹-667.15</w:t>
            </w:r>
          </w:p>
        </w:tc>
        <w:tc>
          <w:tcPr>
            <w:tcW w:w="1728" w:type="dxa"/>
          </w:tcPr>
          <w:p w14:paraId="560ACE71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26</w:t>
            </w:r>
          </w:p>
        </w:tc>
      </w:tr>
      <w:tr w:rsidR="003744F6" w:rsidRPr="00490F1B" w14:paraId="70BA9817" w14:textId="77777777">
        <w:trPr>
          <w:jc w:val="center"/>
        </w:trPr>
        <w:tc>
          <w:tcPr>
            <w:tcW w:w="1728" w:type="dxa"/>
          </w:tcPr>
          <w:p w14:paraId="1AF4C5FF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JUNE</w:t>
            </w:r>
          </w:p>
        </w:tc>
        <w:tc>
          <w:tcPr>
            <w:tcW w:w="1728" w:type="dxa"/>
          </w:tcPr>
          <w:p w14:paraId="3B5C76EB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Short settlement</w:t>
            </w:r>
          </w:p>
        </w:tc>
        <w:tc>
          <w:tcPr>
            <w:tcW w:w="1728" w:type="dxa"/>
          </w:tcPr>
          <w:p w14:paraId="654AE073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2</w:t>
            </w:r>
          </w:p>
        </w:tc>
        <w:tc>
          <w:tcPr>
            <w:tcW w:w="1728" w:type="dxa"/>
          </w:tcPr>
          <w:p w14:paraId="049175C5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₹157,671.49</w:t>
            </w:r>
          </w:p>
        </w:tc>
        <w:tc>
          <w:tcPr>
            <w:tcW w:w="1728" w:type="dxa"/>
          </w:tcPr>
          <w:p w14:paraId="5B5FBFCF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₹-726.77</w:t>
            </w:r>
          </w:p>
        </w:tc>
        <w:tc>
          <w:tcPr>
            <w:tcW w:w="1728" w:type="dxa"/>
          </w:tcPr>
          <w:p w14:paraId="034E5FB7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21</w:t>
            </w:r>
          </w:p>
        </w:tc>
      </w:tr>
      <w:tr w:rsidR="003744F6" w:rsidRPr="00490F1B" w14:paraId="37CA70EF" w14:textId="77777777">
        <w:trPr>
          <w:jc w:val="center"/>
        </w:trPr>
        <w:tc>
          <w:tcPr>
            <w:tcW w:w="1728" w:type="dxa"/>
          </w:tcPr>
          <w:p w14:paraId="4169956E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JUNE</w:t>
            </w:r>
          </w:p>
        </w:tc>
        <w:tc>
          <w:tcPr>
            <w:tcW w:w="1728" w:type="dxa"/>
          </w:tcPr>
          <w:p w14:paraId="0A967D19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Unsettled transaction</w:t>
            </w:r>
          </w:p>
        </w:tc>
        <w:tc>
          <w:tcPr>
            <w:tcW w:w="1728" w:type="dxa"/>
          </w:tcPr>
          <w:p w14:paraId="4A49DD48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24</w:t>
            </w:r>
          </w:p>
        </w:tc>
        <w:tc>
          <w:tcPr>
            <w:tcW w:w="1728" w:type="dxa"/>
          </w:tcPr>
          <w:p w14:paraId="0EBAEBA6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₹1,475,441.70</w:t>
            </w:r>
          </w:p>
        </w:tc>
        <w:tc>
          <w:tcPr>
            <w:tcW w:w="1728" w:type="dxa"/>
          </w:tcPr>
          <w:p w14:paraId="33EF06A3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₹-1,475,441.70</w:t>
            </w:r>
          </w:p>
        </w:tc>
        <w:tc>
          <w:tcPr>
            <w:tcW w:w="1728" w:type="dxa"/>
          </w:tcPr>
          <w:p w14:paraId="73DE720E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22</w:t>
            </w:r>
          </w:p>
        </w:tc>
      </w:tr>
      <w:tr w:rsidR="003744F6" w:rsidRPr="00490F1B" w14:paraId="187B795E" w14:textId="77777777">
        <w:trPr>
          <w:jc w:val="center"/>
        </w:trPr>
        <w:tc>
          <w:tcPr>
            <w:tcW w:w="1728" w:type="dxa"/>
          </w:tcPr>
          <w:p w14:paraId="6C5B3F63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MAY</w:t>
            </w:r>
          </w:p>
        </w:tc>
        <w:tc>
          <w:tcPr>
            <w:tcW w:w="1728" w:type="dxa"/>
          </w:tcPr>
          <w:p w14:paraId="039BAC82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Duplicate credit</w:t>
            </w:r>
          </w:p>
        </w:tc>
        <w:tc>
          <w:tcPr>
            <w:tcW w:w="1728" w:type="dxa"/>
          </w:tcPr>
          <w:p w14:paraId="0635AE4D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6</w:t>
            </w:r>
          </w:p>
        </w:tc>
        <w:tc>
          <w:tcPr>
            <w:tcW w:w="1728" w:type="dxa"/>
          </w:tcPr>
          <w:p w14:paraId="546C86DB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₹261,562.13</w:t>
            </w:r>
          </w:p>
        </w:tc>
        <w:tc>
          <w:tcPr>
            <w:tcW w:w="1728" w:type="dxa"/>
          </w:tcPr>
          <w:p w14:paraId="627E52F4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₹0.00</w:t>
            </w:r>
          </w:p>
        </w:tc>
        <w:tc>
          <w:tcPr>
            <w:tcW w:w="1728" w:type="dxa"/>
          </w:tcPr>
          <w:p w14:paraId="23413ADA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25</w:t>
            </w:r>
          </w:p>
        </w:tc>
      </w:tr>
      <w:tr w:rsidR="003744F6" w:rsidRPr="00490F1B" w14:paraId="58EFDA98" w14:textId="77777777">
        <w:trPr>
          <w:jc w:val="center"/>
        </w:trPr>
        <w:tc>
          <w:tcPr>
            <w:tcW w:w="1728" w:type="dxa"/>
          </w:tcPr>
          <w:p w14:paraId="53EBB927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MAY</w:t>
            </w:r>
          </w:p>
        </w:tc>
        <w:tc>
          <w:tcPr>
            <w:tcW w:w="1728" w:type="dxa"/>
          </w:tcPr>
          <w:p w14:paraId="152AFB3E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Internal self-netting pair</w:t>
            </w:r>
          </w:p>
        </w:tc>
        <w:tc>
          <w:tcPr>
            <w:tcW w:w="1728" w:type="dxa"/>
          </w:tcPr>
          <w:p w14:paraId="2CF5267B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4</w:t>
            </w:r>
          </w:p>
        </w:tc>
        <w:tc>
          <w:tcPr>
            <w:tcW w:w="1728" w:type="dxa"/>
          </w:tcPr>
          <w:p w14:paraId="53D215EC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₹0.00</w:t>
            </w:r>
          </w:p>
        </w:tc>
        <w:tc>
          <w:tcPr>
            <w:tcW w:w="1728" w:type="dxa"/>
          </w:tcPr>
          <w:p w14:paraId="3D9FE563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₹0.00</w:t>
            </w:r>
          </w:p>
        </w:tc>
        <w:tc>
          <w:tcPr>
            <w:tcW w:w="1728" w:type="dxa"/>
          </w:tcPr>
          <w:p w14:paraId="3A2FDAF6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28</w:t>
            </w:r>
          </w:p>
        </w:tc>
      </w:tr>
      <w:tr w:rsidR="003744F6" w:rsidRPr="00490F1B" w14:paraId="1927D19F" w14:textId="77777777">
        <w:trPr>
          <w:jc w:val="center"/>
        </w:trPr>
        <w:tc>
          <w:tcPr>
            <w:tcW w:w="1728" w:type="dxa"/>
          </w:tcPr>
          <w:p w14:paraId="04A1E126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MAY</w:t>
            </w:r>
          </w:p>
        </w:tc>
        <w:tc>
          <w:tcPr>
            <w:tcW w:w="1728" w:type="dxa"/>
          </w:tcPr>
          <w:p w14:paraId="51471FCF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Orphan credit</w:t>
            </w:r>
          </w:p>
        </w:tc>
        <w:tc>
          <w:tcPr>
            <w:tcW w:w="1728" w:type="dxa"/>
          </w:tcPr>
          <w:p w14:paraId="309C1A19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5</w:t>
            </w:r>
          </w:p>
        </w:tc>
        <w:tc>
          <w:tcPr>
            <w:tcW w:w="1728" w:type="dxa"/>
          </w:tcPr>
          <w:p w14:paraId="6FA1F903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₹212,381.41</w:t>
            </w:r>
          </w:p>
        </w:tc>
        <w:tc>
          <w:tcPr>
            <w:tcW w:w="1728" w:type="dxa"/>
          </w:tcPr>
          <w:p w14:paraId="33DAD051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₹212,381.41</w:t>
            </w:r>
          </w:p>
        </w:tc>
        <w:tc>
          <w:tcPr>
            <w:tcW w:w="1728" w:type="dxa"/>
          </w:tcPr>
          <w:p w14:paraId="6C768060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26</w:t>
            </w:r>
          </w:p>
        </w:tc>
      </w:tr>
      <w:tr w:rsidR="003744F6" w:rsidRPr="00490F1B" w14:paraId="0DC0DCDE" w14:textId="77777777">
        <w:trPr>
          <w:jc w:val="center"/>
        </w:trPr>
        <w:tc>
          <w:tcPr>
            <w:tcW w:w="1728" w:type="dxa"/>
          </w:tcPr>
          <w:p w14:paraId="27A18639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MAY</w:t>
            </w:r>
          </w:p>
        </w:tc>
        <w:tc>
          <w:tcPr>
            <w:tcW w:w="1728" w:type="dxa"/>
          </w:tcPr>
          <w:p w14:paraId="7AA6FACA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Reference/amount mismatch</w:t>
            </w:r>
          </w:p>
        </w:tc>
        <w:tc>
          <w:tcPr>
            <w:tcW w:w="1728" w:type="dxa"/>
          </w:tcPr>
          <w:p w14:paraId="72F01F86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3</w:t>
            </w:r>
          </w:p>
        </w:tc>
        <w:tc>
          <w:tcPr>
            <w:tcW w:w="1728" w:type="dxa"/>
          </w:tcPr>
          <w:p w14:paraId="00F65989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₹74,256.73</w:t>
            </w:r>
          </w:p>
        </w:tc>
        <w:tc>
          <w:tcPr>
            <w:tcW w:w="1728" w:type="dxa"/>
          </w:tcPr>
          <w:p w14:paraId="05D58802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₹-941.29</w:t>
            </w:r>
          </w:p>
        </w:tc>
        <w:tc>
          <w:tcPr>
            <w:tcW w:w="1728" w:type="dxa"/>
          </w:tcPr>
          <w:p w14:paraId="6BCF60C9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19</w:t>
            </w:r>
          </w:p>
        </w:tc>
      </w:tr>
      <w:tr w:rsidR="003744F6" w:rsidRPr="00490F1B" w14:paraId="1C4EC03C" w14:textId="77777777">
        <w:trPr>
          <w:jc w:val="center"/>
        </w:trPr>
        <w:tc>
          <w:tcPr>
            <w:tcW w:w="1728" w:type="dxa"/>
          </w:tcPr>
          <w:p w14:paraId="3AE5DCC8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MAY</w:t>
            </w:r>
          </w:p>
        </w:tc>
        <w:tc>
          <w:tcPr>
            <w:tcW w:w="1728" w:type="dxa"/>
          </w:tcPr>
          <w:p w14:paraId="1F53BDF9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Short settlement</w:t>
            </w:r>
          </w:p>
        </w:tc>
        <w:tc>
          <w:tcPr>
            <w:tcW w:w="1728" w:type="dxa"/>
          </w:tcPr>
          <w:p w14:paraId="6AABC0B6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2</w:t>
            </w:r>
          </w:p>
        </w:tc>
        <w:tc>
          <w:tcPr>
            <w:tcW w:w="1728" w:type="dxa"/>
          </w:tcPr>
          <w:p w14:paraId="5A0CFC5A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₹126,464.21</w:t>
            </w:r>
          </w:p>
        </w:tc>
        <w:tc>
          <w:tcPr>
            <w:tcW w:w="1728" w:type="dxa"/>
          </w:tcPr>
          <w:p w14:paraId="3F39FAA9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₹-541.93</w:t>
            </w:r>
          </w:p>
        </w:tc>
        <w:tc>
          <w:tcPr>
            <w:tcW w:w="1728" w:type="dxa"/>
          </w:tcPr>
          <w:p w14:paraId="2E5209CD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19</w:t>
            </w:r>
          </w:p>
        </w:tc>
      </w:tr>
      <w:tr w:rsidR="003744F6" w:rsidRPr="00490F1B" w14:paraId="29FD7AA7" w14:textId="77777777">
        <w:trPr>
          <w:jc w:val="center"/>
        </w:trPr>
        <w:tc>
          <w:tcPr>
            <w:tcW w:w="1728" w:type="dxa"/>
          </w:tcPr>
          <w:p w14:paraId="14319192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MAY</w:t>
            </w:r>
          </w:p>
        </w:tc>
        <w:tc>
          <w:tcPr>
            <w:tcW w:w="1728" w:type="dxa"/>
          </w:tcPr>
          <w:p w14:paraId="4CAA445D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Unsettled transaction</w:t>
            </w:r>
          </w:p>
        </w:tc>
        <w:tc>
          <w:tcPr>
            <w:tcW w:w="1728" w:type="dxa"/>
          </w:tcPr>
          <w:p w14:paraId="3B0D71B6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30</w:t>
            </w:r>
          </w:p>
        </w:tc>
        <w:tc>
          <w:tcPr>
            <w:tcW w:w="1728" w:type="dxa"/>
          </w:tcPr>
          <w:p w14:paraId="0DD0295D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₹1,566,002.71</w:t>
            </w:r>
          </w:p>
        </w:tc>
        <w:tc>
          <w:tcPr>
            <w:tcW w:w="1728" w:type="dxa"/>
          </w:tcPr>
          <w:p w14:paraId="05CF8AE3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₹-1,566,002.71</w:t>
            </w:r>
          </w:p>
        </w:tc>
        <w:tc>
          <w:tcPr>
            <w:tcW w:w="1728" w:type="dxa"/>
          </w:tcPr>
          <w:p w14:paraId="060FDF7D" w14:textId="77777777" w:rsidR="003744F6" w:rsidRPr="00490F1B" w:rsidRDefault="00000000">
            <w:pPr>
              <w:rPr>
                <w:rFonts w:ascii="Times New Roman" w:hAnsi="Times New Roman" w:cs="Times New Roman"/>
              </w:rPr>
            </w:pPr>
            <w:r w:rsidRPr="00490F1B">
              <w:rPr>
                <w:rFonts w:ascii="Times New Roman" w:hAnsi="Times New Roman" w:cs="Times New Roman"/>
                <w:sz w:val="14"/>
              </w:rPr>
              <w:t>29</w:t>
            </w:r>
          </w:p>
        </w:tc>
      </w:tr>
    </w:tbl>
    <w:p w14:paraId="7C573401" w14:textId="77777777" w:rsidR="003744F6" w:rsidRPr="00490F1B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490F1B">
        <w:rPr>
          <w:rFonts w:ascii="Times New Roman" w:hAnsi="Times New Roman" w:cs="Times New Roman"/>
          <w:color w:val="auto"/>
        </w:rPr>
        <w:lastRenderedPageBreak/>
        <w:t>6. Output design</w:t>
      </w:r>
    </w:p>
    <w:p w14:paraId="3872F450" w14:textId="77777777" w:rsidR="003744F6" w:rsidRPr="00490F1B" w:rsidRDefault="00000000">
      <w:pPr>
        <w:rPr>
          <w:rFonts w:ascii="Times New Roman" w:hAnsi="Times New Roman" w:cs="Times New Roman"/>
        </w:rPr>
      </w:pPr>
      <w:r w:rsidRPr="00490F1B">
        <w:rPr>
          <w:rFonts w:ascii="Times New Roman" w:hAnsi="Times New Roman" w:cs="Times New Roman"/>
          <w:b/>
        </w:rPr>
        <w:t xml:space="preserve">Operations: </w:t>
      </w:r>
      <w:r w:rsidRPr="00490F1B">
        <w:rPr>
          <w:rFonts w:ascii="Times New Roman" w:hAnsi="Times New Roman" w:cs="Times New Roman"/>
        </w:rPr>
        <w:t>1:1 can be handled as a single flat row. For 1:N and N:1, operations needs one common match_group_id plus member references so an exception can be opened/closed at group level. N:M should stay group-based because a pairwise Cartesian table creates false relationships.</w:t>
      </w:r>
    </w:p>
    <w:p w14:paraId="2D1374E9" w14:textId="77777777" w:rsidR="003744F6" w:rsidRPr="00490F1B" w:rsidRDefault="00000000">
      <w:pPr>
        <w:rPr>
          <w:rFonts w:ascii="Times New Roman" w:hAnsi="Times New Roman" w:cs="Times New Roman"/>
        </w:rPr>
      </w:pPr>
      <w:r w:rsidRPr="00490F1B">
        <w:rPr>
          <w:rFonts w:ascii="Times New Roman" w:hAnsi="Times New Roman" w:cs="Times New Roman"/>
          <w:b/>
        </w:rPr>
        <w:t xml:space="preserve">Audit: </w:t>
      </w:r>
      <w:r w:rsidRPr="00490F1B">
        <w:rPr>
          <w:rFonts w:ascii="Times New Roman" w:hAnsi="Times New Roman" w:cs="Times New Roman"/>
        </w:rPr>
        <w:t>A parent-child match-group model is the cleanest long-term structure: one parent reconciliation group with child internal records and child bank records. The delivered flat CSV keeps the same traceability using match_group_id plus pipe-delimited member references, making it easy to export, filter and reproduce.</w:t>
      </w:r>
    </w:p>
    <w:p w14:paraId="5E78CBEF" w14:textId="77777777" w:rsidR="003744F6" w:rsidRPr="00490F1B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490F1B">
        <w:rPr>
          <w:rFonts w:ascii="Times New Roman" w:hAnsi="Times New Roman" w:cs="Times New Roman"/>
          <w:color w:val="auto"/>
        </w:rPr>
        <w:t>7. Assumptions, validation and time</w:t>
      </w:r>
    </w:p>
    <w:p w14:paraId="5B347FFE" w14:textId="77777777" w:rsidR="003744F6" w:rsidRPr="00490F1B" w:rsidRDefault="00000000">
      <w:pPr>
        <w:pStyle w:val="ListBullet"/>
        <w:spacing w:after="10"/>
        <w:rPr>
          <w:rFonts w:ascii="Times New Roman" w:hAnsi="Times New Roman" w:cs="Times New Roman"/>
        </w:rPr>
      </w:pPr>
      <w:r w:rsidRPr="00490F1B">
        <w:rPr>
          <w:rFonts w:ascii="Times New Roman" w:hAnsi="Times New Roman" w:cs="Times New Roman"/>
        </w:rPr>
        <w:t>Amounts are handled at INR cents using Decimal rounding; no tolerance was introduced for matching.</w:t>
      </w:r>
    </w:p>
    <w:p w14:paraId="081F09E5" w14:textId="77777777" w:rsidR="003744F6" w:rsidRPr="00490F1B" w:rsidRDefault="00000000">
      <w:pPr>
        <w:pStyle w:val="ListBullet"/>
        <w:spacing w:after="10"/>
        <w:rPr>
          <w:rFonts w:ascii="Times New Roman" w:hAnsi="Times New Roman" w:cs="Times New Roman"/>
        </w:rPr>
      </w:pPr>
      <w:r w:rsidRPr="00490F1B">
        <w:rPr>
          <w:rFonts w:ascii="Times New Roman" w:hAnsi="Times New Roman" w:cs="Times New Roman"/>
        </w:rPr>
        <w:t>Reference normalization ignores case, punctuation and spaces; a six-digit reference prefix is accepted for truncation in bank narrations.</w:t>
      </w:r>
    </w:p>
    <w:p w14:paraId="29CB48C5" w14:textId="77777777" w:rsidR="003744F6" w:rsidRPr="00490F1B" w:rsidRDefault="00000000">
      <w:pPr>
        <w:pStyle w:val="ListBullet"/>
        <w:spacing w:after="10"/>
        <w:rPr>
          <w:rFonts w:ascii="Times New Roman" w:hAnsi="Times New Roman" w:cs="Times New Roman"/>
        </w:rPr>
      </w:pPr>
      <w:r w:rsidRPr="00490F1B">
        <w:rPr>
          <w:rFonts w:ascii="Times New Roman" w:hAnsi="Times New Roman" w:cs="Times New Roman"/>
        </w:rPr>
        <w:t>Bank statement contains only relevant credits, per the assignment. No external/web data was used.</w:t>
      </w:r>
    </w:p>
    <w:p w14:paraId="76B37858" w14:textId="77777777" w:rsidR="003744F6" w:rsidRPr="00490F1B" w:rsidRDefault="00000000">
      <w:pPr>
        <w:pStyle w:val="ListBullet"/>
        <w:spacing w:after="10"/>
        <w:rPr>
          <w:rFonts w:ascii="Times New Roman" w:hAnsi="Times New Roman" w:cs="Times New Roman"/>
        </w:rPr>
      </w:pPr>
      <w:r w:rsidRPr="00490F1B">
        <w:rPr>
          <w:rFonts w:ascii="Times New Roman" w:hAnsi="Times New Roman" w:cs="Times New Roman"/>
        </w:rPr>
        <w:t>Input validation found no file-read, required-column, date, amount or identifier errors.</w:t>
      </w:r>
    </w:p>
    <w:p w14:paraId="5E1CAC72" w14:textId="77777777" w:rsidR="003744F6" w:rsidRPr="00490F1B" w:rsidRDefault="00000000">
      <w:pPr>
        <w:pStyle w:val="ListBullet"/>
        <w:spacing w:after="10"/>
        <w:rPr>
          <w:rFonts w:ascii="Times New Roman" w:hAnsi="Times New Roman" w:cs="Times New Roman"/>
        </w:rPr>
      </w:pPr>
      <w:r w:rsidRPr="00490F1B">
        <w:rPr>
          <w:rFonts w:ascii="Times New Roman" w:hAnsi="Times New Roman" w:cs="Times New Roman"/>
        </w:rPr>
        <w:t>Actual processing time:  0.56 seconds for validation, reconciliation, report generation and dashboard generation.</w:t>
      </w:r>
    </w:p>
    <w:sectPr w:rsidR="003744F6" w:rsidRPr="00490F1B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3067226">
    <w:abstractNumId w:val="8"/>
  </w:num>
  <w:num w:numId="2" w16cid:durableId="1587181228">
    <w:abstractNumId w:val="6"/>
  </w:num>
  <w:num w:numId="3" w16cid:durableId="1011881791">
    <w:abstractNumId w:val="5"/>
  </w:num>
  <w:num w:numId="4" w16cid:durableId="1562211405">
    <w:abstractNumId w:val="4"/>
  </w:num>
  <w:num w:numId="5" w16cid:durableId="1520967571">
    <w:abstractNumId w:val="7"/>
  </w:num>
  <w:num w:numId="6" w16cid:durableId="1566253992">
    <w:abstractNumId w:val="3"/>
  </w:num>
  <w:num w:numId="7" w16cid:durableId="36666137">
    <w:abstractNumId w:val="2"/>
  </w:num>
  <w:num w:numId="8" w16cid:durableId="1688363762">
    <w:abstractNumId w:val="1"/>
  </w:num>
  <w:num w:numId="9" w16cid:durableId="1035933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44F6"/>
    <w:rsid w:val="00490F1B"/>
    <w:rsid w:val="0086304E"/>
    <w:rsid w:val="00AA1D8D"/>
    <w:rsid w:val="00B47730"/>
    <w:rsid w:val="00BC1CA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8ADE4D"/>
  <w14:defaultImageDpi w14:val="300"/>
  <w15:docId w15:val="{36961AA4-0EB0-45D4-860C-BF5658A94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667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Deshna Mishra - 70022300232</cp:lastModifiedBy>
  <cp:revision>3</cp:revision>
  <dcterms:created xsi:type="dcterms:W3CDTF">2013-12-23T23:15:00Z</dcterms:created>
  <dcterms:modified xsi:type="dcterms:W3CDTF">2026-08-25T15:18:00Z</dcterms:modified>
  <cp:category/>
</cp:coreProperties>
</file>