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FA66A" w14:textId="77777777" w:rsidR="00A52372" w:rsidRPr="00A52372" w:rsidRDefault="00A52372" w:rsidP="00A52372">
      <w:pPr>
        <w:rPr>
          <w:b/>
          <w:bCs/>
        </w:rPr>
      </w:pPr>
      <w:r w:rsidRPr="00A52372">
        <w:rPr>
          <w:b/>
          <w:bCs/>
        </w:rPr>
        <w:t>HR Employee Analysis — Report &amp; Insights</w:t>
      </w:r>
    </w:p>
    <w:p w14:paraId="610FF54A" w14:textId="77777777" w:rsidR="00A52372" w:rsidRPr="00A52372" w:rsidRDefault="00A52372" w:rsidP="00A52372">
      <w:r w:rsidRPr="00A52372">
        <w:rPr>
          <w:b/>
          <w:bCs/>
        </w:rPr>
        <w:t xml:space="preserve">Total Workforce: 1,470 | Active Employees: 1,233 | </w:t>
      </w:r>
      <w:proofErr w:type="spellStart"/>
      <w:r w:rsidRPr="00A52372">
        <w:rPr>
          <w:b/>
          <w:bCs/>
        </w:rPr>
        <w:t>Avg</w:t>
      </w:r>
      <w:proofErr w:type="spellEnd"/>
      <w:r w:rsidRPr="00A52372">
        <w:rPr>
          <w:b/>
          <w:bCs/>
        </w:rPr>
        <w:t xml:space="preserve"> Age: 36.9 | </w:t>
      </w:r>
      <w:proofErr w:type="spellStart"/>
      <w:r w:rsidRPr="00A52372">
        <w:rPr>
          <w:b/>
          <w:bCs/>
        </w:rPr>
        <w:t>Avg</w:t>
      </w:r>
      <w:proofErr w:type="spellEnd"/>
      <w:r w:rsidRPr="00A52372">
        <w:rPr>
          <w:b/>
          <w:bCs/>
        </w:rPr>
        <w:t xml:space="preserve"> Monthly Income: $6,503</w:t>
      </w:r>
    </w:p>
    <w:p w14:paraId="3C420E58" w14:textId="77777777" w:rsidR="00A52372" w:rsidRPr="00A52372" w:rsidRDefault="00A52372" w:rsidP="00A52372">
      <w:r w:rsidRPr="00A52372">
        <w:pict w14:anchorId="295EF61E">
          <v:rect id="_x0000_i1131" style="width:0;height:1.5pt" o:hralign="center" o:hrstd="t" o:hr="t" fillcolor="#a0a0a0" stroked="f"/>
        </w:pict>
      </w:r>
    </w:p>
    <w:p w14:paraId="4D2D267A" w14:textId="77777777" w:rsidR="00A52372" w:rsidRPr="00A52372" w:rsidRDefault="00A52372" w:rsidP="00A52372">
      <w:pPr>
        <w:rPr>
          <w:b/>
          <w:bCs/>
        </w:rPr>
      </w:pPr>
      <w:r w:rsidRPr="00A52372">
        <w:rPr>
          <w:b/>
          <w:bCs/>
        </w:rPr>
        <w:t>Attrition Overview</w:t>
      </w:r>
    </w:p>
    <w:p w14:paraId="5829EE5C" w14:textId="77777777" w:rsidR="00A52372" w:rsidRPr="00A52372" w:rsidRDefault="00A52372" w:rsidP="00A52372">
      <w:r w:rsidRPr="00A52372">
        <w:t xml:space="preserve">The company lost </w:t>
      </w:r>
      <w:r w:rsidRPr="00A52372">
        <w:rPr>
          <w:b/>
          <w:bCs/>
        </w:rPr>
        <w:t>237 employees</w:t>
      </w:r>
      <w:r w:rsidRPr="00A52372">
        <w:t xml:space="preserve">, resulting in an overall attrition rate of </w:t>
      </w:r>
      <w:r w:rsidRPr="00A52372">
        <w:rPr>
          <w:b/>
          <w:bCs/>
        </w:rPr>
        <w:t>16.1%</w:t>
      </w:r>
      <w:r w:rsidRPr="00A52372">
        <w:t>. That means roughly 1 in 6 employees left the organization. With an average monthly income of $4,787 among those who left — significantly below the $6,833 average of those who stayed — compensation gap is one of the clearest signals driving departures.</w:t>
      </w:r>
    </w:p>
    <w:p w14:paraId="5BAA29AB" w14:textId="77777777" w:rsidR="00A52372" w:rsidRPr="00A52372" w:rsidRDefault="00A52372" w:rsidP="00A52372">
      <w:r w:rsidRPr="00A52372">
        <w:pict w14:anchorId="3B14A2CF">
          <v:rect id="_x0000_i1104" style="width:0;height:1.5pt" o:hralign="center" o:hrstd="t" o:hr="t" fillcolor="#a0a0a0" stroked="f"/>
        </w:pict>
      </w:r>
    </w:p>
    <w:p w14:paraId="2A0D74B1" w14:textId="77777777" w:rsidR="00A52372" w:rsidRPr="00A52372" w:rsidRDefault="00A52372" w:rsidP="00A52372">
      <w:pPr>
        <w:rPr>
          <w:b/>
          <w:bCs/>
        </w:rPr>
      </w:pPr>
      <w:r w:rsidRPr="00A52372">
        <w:rPr>
          <w:b/>
          <w:bCs/>
        </w:rPr>
        <w:t>Attrition by Department</w:t>
      </w:r>
    </w:p>
    <w:p w14:paraId="61426F88" w14:textId="77777777" w:rsidR="00A52372" w:rsidRPr="00A52372" w:rsidRDefault="00A52372" w:rsidP="00A52372">
      <w:r w:rsidRPr="00A52372">
        <w:t xml:space="preserve">R&amp;D had the highest absolute number of exits at 133, but Sales had the most alarming attrition rate. Sales lost 92 out of 446 employees — roughly </w:t>
      </w:r>
      <w:r w:rsidRPr="00A52372">
        <w:rPr>
          <w:b/>
          <w:bCs/>
        </w:rPr>
        <w:t>20.6% of the department</w:t>
      </w:r>
      <w:r w:rsidRPr="00A52372">
        <w:t xml:space="preserve"> — compared to R&amp;D's 13.8%. HR had only 12 exits but from a tiny base of 63 people, making its rate 19%, which is equally concerning for a support function. Sales and HR need immediate attention.</w:t>
      </w:r>
    </w:p>
    <w:p w14:paraId="4CBDAE50" w14:textId="77777777" w:rsidR="00A52372" w:rsidRPr="00A52372" w:rsidRDefault="00A52372" w:rsidP="00A52372">
      <w:r w:rsidRPr="00A52372">
        <w:pict w14:anchorId="21B6A4BC">
          <v:rect id="_x0000_i1105" style="width:0;height:1.5pt" o:hralign="center" o:hrstd="t" o:hr="t" fillcolor="#a0a0a0" stroked="f"/>
        </w:pict>
      </w:r>
    </w:p>
    <w:p w14:paraId="23D52136" w14:textId="77777777" w:rsidR="00A52372" w:rsidRPr="00A52372" w:rsidRDefault="00A52372" w:rsidP="00A52372">
      <w:pPr>
        <w:rPr>
          <w:b/>
          <w:bCs/>
        </w:rPr>
      </w:pPr>
      <w:r w:rsidRPr="00A52372">
        <w:rPr>
          <w:b/>
          <w:bCs/>
        </w:rPr>
        <w:t>Who Is Leaving — Job Role Breakdown</w:t>
      </w:r>
    </w:p>
    <w:p w14:paraId="4267C88B" w14:textId="77777777" w:rsidR="00A52372" w:rsidRPr="00A52372" w:rsidRDefault="00A52372" w:rsidP="00A52372">
      <w:r w:rsidRPr="00A52372">
        <w:t>Laboratory Technicians (62), Sales Executives (57), and Research Scientists (47) accounted for the bulk of exits. These are frontline, skilled roles — not easy or cheap to replace. Sales Representatives had the highest role-level attrition rate proportionally. The pattern suggests the company is losing its operational core, not just peripheral roles. Losing this many Laboratory Technicians and Research Scientists in R&amp;D is particularly risky for product continuity and institutional knowledge.</w:t>
      </w:r>
    </w:p>
    <w:p w14:paraId="2285519E" w14:textId="77777777" w:rsidR="00A52372" w:rsidRPr="00A52372" w:rsidRDefault="00A52372" w:rsidP="00A52372">
      <w:r w:rsidRPr="00A52372">
        <w:pict w14:anchorId="76DA8959">
          <v:rect id="_x0000_i1106" style="width:0;height:1.5pt" o:hralign="center" o:hrstd="t" o:hr="t" fillcolor="#a0a0a0" stroked="f"/>
        </w:pict>
      </w:r>
    </w:p>
    <w:p w14:paraId="6F98DB0F" w14:textId="77777777" w:rsidR="00A52372" w:rsidRPr="00A52372" w:rsidRDefault="00A52372" w:rsidP="00A52372">
      <w:pPr>
        <w:rPr>
          <w:b/>
          <w:bCs/>
        </w:rPr>
      </w:pPr>
      <w:r w:rsidRPr="00A52372">
        <w:rPr>
          <w:b/>
          <w:bCs/>
        </w:rPr>
        <w:t>Age — The Highest-Risk Group</w:t>
      </w:r>
    </w:p>
    <w:p w14:paraId="5618C549" w14:textId="77777777" w:rsidR="00A52372" w:rsidRPr="00A52372" w:rsidRDefault="00A52372" w:rsidP="00A52372">
      <w:r w:rsidRPr="00A52372">
        <w:t xml:space="preserve">Employees aged </w:t>
      </w:r>
      <w:r w:rsidRPr="00A52372">
        <w:rPr>
          <w:b/>
          <w:bCs/>
        </w:rPr>
        <w:t>25–34 drove 47% of all attrition</w:t>
      </w:r>
      <w:r w:rsidRPr="00A52372">
        <w:t xml:space="preserve"> (112 out of 237 exits), making them the most flight-prone group by far. This is the early-career, high-ambition cohort that leaves when they don't see fast enough growth, pay progression, or recognition. Under-25s had a disproportionately high exit rate relative to their small headcount (38 exits from just 97 employees — nearly 39%). The company is losing young talent at the beginning of their career trajectory, which compounds over time.</w:t>
      </w:r>
    </w:p>
    <w:p w14:paraId="0F555EA9" w14:textId="77777777" w:rsidR="00A52372" w:rsidRPr="00A52372" w:rsidRDefault="00A52372" w:rsidP="00A52372">
      <w:r w:rsidRPr="00A52372">
        <w:pict w14:anchorId="38D41F5B">
          <v:rect id="_x0000_i1107" style="width:0;height:1.5pt" o:hralign="center" o:hrstd="t" o:hr="t" fillcolor="#a0a0a0" stroked="f"/>
        </w:pict>
      </w:r>
    </w:p>
    <w:p w14:paraId="591D2467" w14:textId="77777777" w:rsidR="00A52372" w:rsidRPr="00A52372" w:rsidRDefault="00A52372" w:rsidP="00A52372">
      <w:pPr>
        <w:rPr>
          <w:b/>
          <w:bCs/>
        </w:rPr>
      </w:pPr>
      <w:r w:rsidRPr="00A52372">
        <w:rPr>
          <w:b/>
          <w:bCs/>
        </w:rPr>
        <w:t>Overtime — A Major Red Flag</w:t>
      </w:r>
    </w:p>
    <w:p w14:paraId="4E0A674C" w14:textId="77777777" w:rsidR="00A52372" w:rsidRPr="00A52372" w:rsidRDefault="00A52372" w:rsidP="00A52372">
      <w:r w:rsidRPr="00A52372">
        <w:t xml:space="preserve">Of employees who worked overtime, </w:t>
      </w:r>
      <w:r w:rsidRPr="00A52372">
        <w:rPr>
          <w:b/>
          <w:bCs/>
        </w:rPr>
        <w:t>127 left vs. 289 who stayed</w:t>
      </w:r>
      <w:r w:rsidRPr="00A52372">
        <w:t xml:space="preserve"> — an attrition rate of </w:t>
      </w:r>
      <w:r w:rsidRPr="00A52372">
        <w:rPr>
          <w:b/>
          <w:bCs/>
        </w:rPr>
        <w:t>30.5%</w:t>
      </w:r>
      <w:r w:rsidRPr="00A52372">
        <w:t xml:space="preserve"> among overtime workers. Employees who did not work overtime had a far lower attrition rate of just 10.4%. This is one of the strongest single predictors in the data. Sustained overtime is burning out employees and pushing them out the door. Any retention strategy that ignores workload and overtime is incomplete.</w:t>
      </w:r>
    </w:p>
    <w:p w14:paraId="0029AD53" w14:textId="77777777" w:rsidR="00A52372" w:rsidRPr="00A52372" w:rsidRDefault="00A52372" w:rsidP="00A52372">
      <w:r w:rsidRPr="00A52372">
        <w:pict w14:anchorId="3CC3C1FF">
          <v:rect id="_x0000_i1108" style="width:0;height:1.5pt" o:hralign="center" o:hrstd="t" o:hr="t" fillcolor="#a0a0a0" stroked="f"/>
        </w:pict>
      </w:r>
    </w:p>
    <w:p w14:paraId="59EAED0B" w14:textId="77777777" w:rsidR="00A52372" w:rsidRPr="00A52372" w:rsidRDefault="00A52372" w:rsidP="00A52372">
      <w:pPr>
        <w:rPr>
          <w:b/>
          <w:bCs/>
        </w:rPr>
      </w:pPr>
      <w:r w:rsidRPr="00A52372">
        <w:rPr>
          <w:b/>
          <w:bCs/>
        </w:rPr>
        <w:t>Marital Status</w:t>
      </w:r>
    </w:p>
    <w:p w14:paraId="24949910" w14:textId="77777777" w:rsidR="00A52372" w:rsidRPr="00A52372" w:rsidRDefault="00A52372" w:rsidP="00A52372">
      <w:r w:rsidRPr="00A52372">
        <w:lastRenderedPageBreak/>
        <w:t xml:space="preserve">Single employees had by far the highest attrition — </w:t>
      </w:r>
      <w:r w:rsidRPr="00A52372">
        <w:rPr>
          <w:b/>
          <w:bCs/>
        </w:rPr>
        <w:t>120 left out of 470</w:t>
      </w:r>
      <w:r w:rsidRPr="00A52372">
        <w:t xml:space="preserve">, a rate of </w:t>
      </w:r>
      <w:r w:rsidRPr="00A52372">
        <w:rPr>
          <w:b/>
          <w:bCs/>
        </w:rPr>
        <w:t>25.5%</w:t>
      </w:r>
      <w:r w:rsidRPr="00A52372">
        <w:t>. Married employees were at 12.5% and divorced at 10.1%. Single employees, especially younger ones, tend to have lower switching costs and fewer financial dependencies, making them more willing to take career risks. They may also respond more strongly to culture, flexibility, and growth opportunities than compensation alone.</w:t>
      </w:r>
    </w:p>
    <w:p w14:paraId="73C0C969" w14:textId="77777777" w:rsidR="00A52372" w:rsidRPr="00A52372" w:rsidRDefault="00A52372" w:rsidP="00A52372">
      <w:r w:rsidRPr="00A52372">
        <w:pict w14:anchorId="3CF6289B">
          <v:rect id="_x0000_i1109" style="width:0;height:1.5pt" o:hralign="center" o:hrstd="t" o:hr="t" fillcolor="#a0a0a0" stroked="f"/>
        </w:pict>
      </w:r>
    </w:p>
    <w:p w14:paraId="45FBAFBD" w14:textId="77777777" w:rsidR="00A52372" w:rsidRPr="00A52372" w:rsidRDefault="00A52372" w:rsidP="00A52372">
      <w:pPr>
        <w:rPr>
          <w:b/>
          <w:bCs/>
        </w:rPr>
      </w:pPr>
      <w:r w:rsidRPr="00A52372">
        <w:rPr>
          <w:b/>
          <w:bCs/>
        </w:rPr>
        <w:t>Business Travel</w:t>
      </w:r>
    </w:p>
    <w:p w14:paraId="6391C365" w14:textId="77777777" w:rsidR="00A52372" w:rsidRPr="00A52372" w:rsidRDefault="00A52372" w:rsidP="00A52372">
      <w:r w:rsidRPr="00A52372">
        <w:t xml:space="preserve">Frequent </w:t>
      </w:r>
      <w:proofErr w:type="spellStart"/>
      <w:r w:rsidRPr="00A52372">
        <w:t>travelers</w:t>
      </w:r>
      <w:proofErr w:type="spellEnd"/>
      <w:r w:rsidRPr="00A52372">
        <w:t xml:space="preserve"> had an attrition rate of </w:t>
      </w:r>
      <w:r w:rsidRPr="00A52372">
        <w:rPr>
          <w:b/>
          <w:bCs/>
        </w:rPr>
        <w:t>24.9%</w:t>
      </w:r>
      <w:r w:rsidRPr="00A52372">
        <w:t xml:space="preserve"> (69 out of 277), nearly double the rate of rare </w:t>
      </w:r>
      <w:proofErr w:type="spellStart"/>
      <w:r w:rsidRPr="00A52372">
        <w:t>travelers</w:t>
      </w:r>
      <w:proofErr w:type="spellEnd"/>
      <w:r w:rsidRPr="00A52372">
        <w:t xml:space="preserve"> (14.9%) and more than four times the non-travel group (8%). The data is clear — excessive travel is a quality-of-life stressor that directly correlates with leaving. Companies that require frequent travel without compensating with flexibility or additional benefits will keep seeing elevated exits in this group.</w:t>
      </w:r>
    </w:p>
    <w:p w14:paraId="6A01DC72" w14:textId="77777777" w:rsidR="00A52372" w:rsidRPr="00A52372" w:rsidRDefault="00A52372" w:rsidP="00A52372">
      <w:r w:rsidRPr="00A52372">
        <w:pict w14:anchorId="4A809B66">
          <v:rect id="_x0000_i1110" style="width:0;height:1.5pt" o:hralign="center" o:hrstd="t" o:hr="t" fillcolor="#a0a0a0" stroked="f"/>
        </w:pict>
      </w:r>
    </w:p>
    <w:p w14:paraId="6472EAB0" w14:textId="77777777" w:rsidR="00A52372" w:rsidRPr="00A52372" w:rsidRDefault="00A52372" w:rsidP="00A52372">
      <w:pPr>
        <w:rPr>
          <w:b/>
          <w:bCs/>
        </w:rPr>
      </w:pPr>
      <w:r w:rsidRPr="00A52372">
        <w:rPr>
          <w:b/>
          <w:bCs/>
        </w:rPr>
        <w:t>Compensation Gap</w:t>
      </w:r>
    </w:p>
    <w:p w14:paraId="27A243A5" w14:textId="77777777" w:rsidR="00A52372" w:rsidRPr="00A52372" w:rsidRDefault="00A52372" w:rsidP="00A52372">
      <w:r w:rsidRPr="00A52372">
        <w:t xml:space="preserve">The income gap between leavers and stayers is striking — employees who left earned on average </w:t>
      </w:r>
      <w:r w:rsidRPr="00A52372">
        <w:rPr>
          <w:b/>
          <w:bCs/>
        </w:rPr>
        <w:t>$2,045 less per month</w:t>
      </w:r>
      <w:r w:rsidRPr="00A52372">
        <w:t xml:space="preserve"> than those who stayed ($4,787 vs. $6,833). Despite this, the percentage salary hike was nearly identical for both groups (15.1% for leavers vs. 15.2% for stayers), meaning raises were being given but the base was still too low to retain people. Raising the floor for junior and mid-level roles would likely have more impact than incremental hike percentages.</w:t>
      </w:r>
    </w:p>
    <w:p w14:paraId="1709E563" w14:textId="77777777" w:rsidR="00A52372" w:rsidRPr="00A52372" w:rsidRDefault="00A52372" w:rsidP="00A52372">
      <w:r w:rsidRPr="00A52372">
        <w:pict w14:anchorId="42D670C5">
          <v:rect id="_x0000_i1111" style="width:0;height:1.5pt" o:hralign="center" o:hrstd="t" o:hr="t" fillcolor="#a0a0a0" stroked="f"/>
        </w:pict>
      </w:r>
    </w:p>
    <w:p w14:paraId="71B1D5A3" w14:textId="77777777" w:rsidR="00A52372" w:rsidRPr="00A52372" w:rsidRDefault="00A52372" w:rsidP="00A52372">
      <w:pPr>
        <w:rPr>
          <w:b/>
          <w:bCs/>
        </w:rPr>
      </w:pPr>
      <w:r w:rsidRPr="00A52372">
        <w:rPr>
          <w:b/>
          <w:bCs/>
        </w:rPr>
        <w:t>Satisfaction &amp; Engagement Scores</w:t>
      </w:r>
    </w:p>
    <w:p w14:paraId="4E5DC3C7" w14:textId="77777777" w:rsidR="00A52372" w:rsidRPr="00A52372" w:rsidRDefault="00A52372" w:rsidP="00A52372">
      <w:r w:rsidRPr="00A52372">
        <w:t>Employees who left scored lower across every satisfaction dimension — job satisfaction (2.46 vs. 2.66), work-life balance (2.66 vs. 2.78), and environment satisfaction (2.59 vs. 2.85). None of these gaps are dramatic, but they all point in the same direction: a consistent pattern of lower engagement across the board among those who exited. This suggests attrition isn't caused by one specific crisis but by a general drift in experience quality — which is harder to fix but very important to address early.</w:t>
      </w:r>
    </w:p>
    <w:p w14:paraId="7E2C82FB" w14:textId="77777777" w:rsidR="00A52372" w:rsidRPr="00A52372" w:rsidRDefault="00A52372" w:rsidP="00A52372">
      <w:r w:rsidRPr="00A52372">
        <w:pict w14:anchorId="37B111CE">
          <v:rect id="_x0000_i1112" style="width:0;height:1.5pt" o:hralign="center" o:hrstd="t" o:hr="t" fillcolor="#a0a0a0" stroked="f"/>
        </w:pict>
      </w:r>
    </w:p>
    <w:p w14:paraId="0CA9C149" w14:textId="77777777" w:rsidR="00A52372" w:rsidRPr="00A52372" w:rsidRDefault="00A52372" w:rsidP="00A52372">
      <w:pPr>
        <w:rPr>
          <w:b/>
          <w:bCs/>
        </w:rPr>
      </w:pPr>
      <w:r w:rsidRPr="00A52372">
        <w:rPr>
          <w:b/>
          <w:bCs/>
        </w:rPr>
        <w:t>Tenure &amp; Experience</w:t>
      </w:r>
    </w:p>
    <w:p w14:paraId="6768C8C9" w14:textId="77777777" w:rsidR="00A52372" w:rsidRPr="00A52372" w:rsidRDefault="00A52372" w:rsidP="00A52372">
      <w:r w:rsidRPr="00A52372">
        <w:t xml:space="preserve">Leavers averaged only </w:t>
      </w:r>
      <w:r w:rsidRPr="00A52372">
        <w:rPr>
          <w:b/>
          <w:bCs/>
        </w:rPr>
        <w:t>5.1 years at the company</w:t>
      </w:r>
      <w:r w:rsidRPr="00A52372">
        <w:t xml:space="preserve"> vs. 7.4 years for those who stayed, and 8.2 total working years vs. 11.9. This tells us that people are leaving earlier in their company tenure and earlier in their careers. The company is not successfully converting early-tenure employees into long-term ones — a retention gap in the 2–</w:t>
      </w:r>
      <w:proofErr w:type="gramStart"/>
      <w:r w:rsidRPr="00A52372">
        <w:t>5 year</w:t>
      </w:r>
      <w:proofErr w:type="gramEnd"/>
      <w:r w:rsidRPr="00A52372">
        <w:t xml:space="preserve"> window likely exists and deserves investigation.</w:t>
      </w:r>
    </w:p>
    <w:p w14:paraId="39EBBADC" w14:textId="77777777" w:rsidR="00A52372" w:rsidRPr="00A52372" w:rsidRDefault="00A52372" w:rsidP="00A52372">
      <w:r w:rsidRPr="00A52372">
        <w:pict w14:anchorId="1F04D651">
          <v:rect id="_x0000_i1113" style="width:0;height:1.5pt" o:hralign="center" o:hrstd="t" o:hr="t" fillcolor="#a0a0a0" stroked="f"/>
        </w:pict>
      </w:r>
    </w:p>
    <w:p w14:paraId="236C5CB8" w14:textId="77777777" w:rsidR="00A52372" w:rsidRPr="00A52372" w:rsidRDefault="00A52372" w:rsidP="00A52372">
      <w:pPr>
        <w:rPr>
          <w:b/>
          <w:bCs/>
        </w:rPr>
      </w:pPr>
      <w:r w:rsidRPr="00A52372">
        <w:rPr>
          <w:b/>
          <w:bCs/>
        </w:rPr>
        <w:t>Distance from Home</w:t>
      </w:r>
    </w:p>
    <w:p w14:paraId="0F2DCDAC" w14:textId="77777777" w:rsidR="00A52372" w:rsidRPr="00A52372" w:rsidRDefault="00A52372" w:rsidP="00A52372">
      <w:r w:rsidRPr="00A52372">
        <w:t xml:space="preserve">Employees who left lived on average </w:t>
      </w:r>
      <w:r w:rsidRPr="00A52372">
        <w:rPr>
          <w:b/>
          <w:bCs/>
        </w:rPr>
        <w:t>1.7 km farther from the office</w:t>
      </w:r>
      <w:r w:rsidRPr="00A52372">
        <w:t xml:space="preserve"> (10.6 vs. 8.9). While not the dominant factor, commute friction contributes to the overall decision to leave, especially when combined with overtime and low work-life balance scores. Flexible or hybrid work options could partially offset this.</w:t>
      </w:r>
    </w:p>
    <w:p w14:paraId="6B37F641" w14:textId="77777777" w:rsidR="00A52372" w:rsidRPr="00A52372" w:rsidRDefault="00A52372" w:rsidP="00A52372">
      <w:r w:rsidRPr="00A52372">
        <w:lastRenderedPageBreak/>
        <w:pict w14:anchorId="179EAA09">
          <v:rect id="_x0000_i1114" style="width:0;height:1.5pt" o:hralign="center" o:hrstd="t" o:hr="t" fillcolor="#a0a0a0" stroked="f"/>
        </w:pict>
      </w:r>
    </w:p>
    <w:p w14:paraId="5CEF1359" w14:textId="77777777" w:rsidR="00A52372" w:rsidRPr="00A52372" w:rsidRDefault="00A52372" w:rsidP="00A52372">
      <w:pPr>
        <w:rPr>
          <w:b/>
          <w:bCs/>
        </w:rPr>
      </w:pPr>
      <w:r w:rsidRPr="00A52372">
        <w:rPr>
          <w:b/>
          <w:bCs/>
        </w:rPr>
        <w:t>Performance Rating — A Counterintuitive Finding</w:t>
      </w:r>
    </w:p>
    <w:p w14:paraId="5AC6215C" w14:textId="77777777" w:rsidR="00A52372" w:rsidRPr="00A52372" w:rsidRDefault="00A52372" w:rsidP="00A52372">
      <w:r w:rsidRPr="00A52372">
        <w:t>Performance ratings were almost identical between leavers (3.16) and stayers (3.15). This means the company is losing good, productive employees — not underperformers. Voluntary attrition of strong performers is the most expensive kind, since these employees also have better outside options and are harder to replace.</w:t>
      </w:r>
    </w:p>
    <w:p w14:paraId="7DFAB310" w14:textId="77777777" w:rsidR="00A52372" w:rsidRPr="00A52372" w:rsidRDefault="00A52372" w:rsidP="00A52372">
      <w:r w:rsidRPr="00A52372">
        <w:pict w14:anchorId="3CEDCF1F">
          <v:rect id="_x0000_i1115" style="width:0;height:1.5pt" o:hralign="center" o:hrstd="t" o:hr="t" fillcolor="#a0a0a0" stroked="f"/>
        </w:pict>
      </w:r>
    </w:p>
    <w:p w14:paraId="15B47B8E" w14:textId="77777777" w:rsidR="00A52372" w:rsidRPr="00A52372" w:rsidRDefault="00A52372" w:rsidP="00A52372">
      <w:pPr>
        <w:rPr>
          <w:b/>
          <w:bCs/>
        </w:rPr>
      </w:pPr>
      <w:r w:rsidRPr="00A52372">
        <w:rPr>
          <w:b/>
          <w:bCs/>
        </w:rPr>
        <w:t>Key Takeaways</w:t>
      </w:r>
    </w:p>
    <w:p w14:paraId="47F4AB1C" w14:textId="77777777" w:rsidR="00A52372" w:rsidRPr="00A52372" w:rsidRDefault="00A52372" w:rsidP="00A52372">
      <w:r w:rsidRPr="00A52372">
        <w:t>The attrition profile here is a classic case of talent drain driven by burnout, pay gaps at the lower levels, and early-career disengagement — not poor performance management. The highest risk employees are young, single, in Sales or R&amp;D, working overtime, and earning below the company average. Overtime policy reform, compensation floor review for junior roles, and a structured early-tenure career development program would likely have the biggest impact on bringing this 16% attrition rate down to a healthier range.</w:t>
      </w:r>
    </w:p>
    <w:p w14:paraId="7F473426" w14:textId="77777777" w:rsidR="00CB14A1" w:rsidRDefault="00CB14A1"/>
    <w:sectPr w:rsidR="00CB1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72"/>
    <w:rsid w:val="000E3197"/>
    <w:rsid w:val="0084063C"/>
    <w:rsid w:val="009A027F"/>
    <w:rsid w:val="00A52372"/>
    <w:rsid w:val="00CB1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7069A"/>
  <w15:chartTrackingRefBased/>
  <w15:docId w15:val="{2941489F-8398-4058-B091-1BD54C66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372"/>
    <w:rPr>
      <w:rFonts w:eastAsiaTheme="majorEastAsia" w:cstheme="majorBidi"/>
      <w:color w:val="272727" w:themeColor="text1" w:themeTint="D8"/>
    </w:rPr>
  </w:style>
  <w:style w:type="paragraph" w:styleId="Title">
    <w:name w:val="Title"/>
    <w:basedOn w:val="Normal"/>
    <w:next w:val="Normal"/>
    <w:link w:val="TitleChar"/>
    <w:uiPriority w:val="10"/>
    <w:qFormat/>
    <w:rsid w:val="00A52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372"/>
    <w:pPr>
      <w:spacing w:before="160"/>
      <w:jc w:val="center"/>
    </w:pPr>
    <w:rPr>
      <w:i/>
      <w:iCs/>
      <w:color w:val="404040" w:themeColor="text1" w:themeTint="BF"/>
    </w:rPr>
  </w:style>
  <w:style w:type="character" w:customStyle="1" w:styleId="QuoteChar">
    <w:name w:val="Quote Char"/>
    <w:basedOn w:val="DefaultParagraphFont"/>
    <w:link w:val="Quote"/>
    <w:uiPriority w:val="29"/>
    <w:rsid w:val="00A52372"/>
    <w:rPr>
      <w:i/>
      <w:iCs/>
      <w:color w:val="404040" w:themeColor="text1" w:themeTint="BF"/>
    </w:rPr>
  </w:style>
  <w:style w:type="paragraph" w:styleId="ListParagraph">
    <w:name w:val="List Paragraph"/>
    <w:basedOn w:val="Normal"/>
    <w:uiPriority w:val="34"/>
    <w:qFormat/>
    <w:rsid w:val="00A52372"/>
    <w:pPr>
      <w:ind w:left="720"/>
      <w:contextualSpacing/>
    </w:pPr>
  </w:style>
  <w:style w:type="character" w:styleId="IntenseEmphasis">
    <w:name w:val="Intense Emphasis"/>
    <w:basedOn w:val="DefaultParagraphFont"/>
    <w:uiPriority w:val="21"/>
    <w:qFormat/>
    <w:rsid w:val="00A52372"/>
    <w:rPr>
      <w:i/>
      <w:iCs/>
      <w:color w:val="2F5496" w:themeColor="accent1" w:themeShade="BF"/>
    </w:rPr>
  </w:style>
  <w:style w:type="paragraph" w:styleId="IntenseQuote">
    <w:name w:val="Intense Quote"/>
    <w:basedOn w:val="Normal"/>
    <w:next w:val="Normal"/>
    <w:link w:val="IntenseQuoteChar"/>
    <w:uiPriority w:val="30"/>
    <w:qFormat/>
    <w:rsid w:val="00A52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372"/>
    <w:rPr>
      <w:i/>
      <w:iCs/>
      <w:color w:val="2F5496" w:themeColor="accent1" w:themeShade="BF"/>
    </w:rPr>
  </w:style>
  <w:style w:type="character" w:styleId="IntenseReference">
    <w:name w:val="Intense Reference"/>
    <w:basedOn w:val="DefaultParagraphFont"/>
    <w:uiPriority w:val="32"/>
    <w:qFormat/>
    <w:rsid w:val="00A523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885</Words>
  <Characters>5048</Characters>
  <Application>Microsoft Office Word</Application>
  <DocSecurity>0</DocSecurity>
  <Lines>42</Lines>
  <Paragraphs>11</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deshmukh</dc:creator>
  <cp:keywords/>
  <dc:description/>
  <cp:lastModifiedBy>raj deshmukh</cp:lastModifiedBy>
  <cp:revision>2</cp:revision>
  <dcterms:created xsi:type="dcterms:W3CDTF">2026-02-21T17:43:00Z</dcterms:created>
  <dcterms:modified xsi:type="dcterms:W3CDTF">2026-02-21T17:43:00Z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ef751df8-f0d4-4802-a47f-c9d860e91e79</vt:lpwstr>
  </property>
</Properties>
</file>