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jc w:val="center"/>
      </w:pPr>
      <w:r>
        <w:rPr>
          <w:rFonts w:ascii="Calibri" w:cs="Calibri" w:eastAsia="Calibri" w:hAnsi="Calibri"/>
          <w:b/>
          <w:bCs/>
          <w:color w:val="003366"/>
          <w:sz w:val="56"/>
          <w:szCs w:val="56"/>
        </w:rPr>
        <w:t xml:space="preserve">Payment Solutions RFI</w:t>
      </w:r>
    </w:p>
    <w:p>
      <w:pPr>
        <w:spacing w:after="200"/>
        <w:jc w:val="center"/>
      </w:pPr>
      <w:r>
        <w:rPr>
          <w:rFonts w:ascii="Calibri" w:cs="Calibri" w:eastAsia="Calibri" w:hAnsi="Calibri"/>
          <w:color w:val="0066CC"/>
          <w:sz w:val="36"/>
          <w:szCs w:val="36"/>
        </w:rPr>
        <w:t xml:space="preserve">Review, Assessment &amp; Recommendations</w:t>
      </w:r>
    </w:p>
    <w:p>
      <w:pPr>
        <w:jc w:val="center"/>
      </w:pPr>
      <w:r>
        <w:rPr>
          <w:rFonts w:ascii="Calibri" w:cs="Calibri" w:eastAsia="Calibri" w:hAnsi="Calibri"/>
          <w:color w:val="555555"/>
          <w:sz w:val="28"/>
          <w:szCs w:val="28"/>
        </w:rPr>
        <w:t xml:space="preserve">QBE Insurance AUSPAC</w:t>
      </w:r>
    </w:p>
    <w:p>
      <w:pPr>
        <w:spacing w:after="600"/>
        <w:jc w:val="center"/>
      </w:pPr>
      <w:r>
        <w:rPr>
          <w:rFonts w:ascii="Calibri" w:cs="Calibri" w:eastAsia="Calibri" w:hAnsi="Calibri"/>
          <w:color w:val="777777"/>
          <w:sz w:val="22"/>
          <w:szCs w:val="22"/>
        </w:rPr>
        <w:t xml:space="preserve">Digital, Integration, Workflow &amp; Customer Correspondence Platforms</w:t>
      </w:r>
    </w:p>
    <w:p>
      <w:pPr>
        <w:jc w:val="center"/>
      </w:pPr>
      <w:r>
        <w:rPr>
          <w:rFonts w:ascii="Calibri" w:cs="Calibri" w:eastAsia="Calibri" w:hAnsi="Calibri"/>
          <w:color w:val="999999"/>
          <w:sz w:val="24"/>
          <w:szCs w:val="24"/>
        </w:rPr>
        <w:t xml:space="preserve">September 2026</w:t>
      </w:r>
    </w:p>
    <w:p>
      <w:pPr>
        <w:spacing w:before="200"/>
        <w:jc w:val="center"/>
      </w:pPr>
      <w:r>
        <w:rPr>
          <w:rFonts w:ascii="Calibri" w:cs="Calibri" w:eastAsia="Calibri" w:hAnsi="Calibri"/>
          <w:b/>
          <w:bCs/>
          <w:color w:val="CC0000"/>
          <w:sz w:val="20"/>
          <w:szCs w:val="20"/>
        </w:rPr>
        <w:t xml:space="preserve">CONFIDENTIAL</w:t>
      </w:r>
    </w:p>
    <w:p>
      <w:r>
        <w:br w:type="page"/>
      </w:r>
    </w:p>
    <w:p>
      <w:pPr>
        <w:pStyle w:val="Heading1"/>
        <w:spacing w:after="120" w:before="40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20" w:before="400"/>
      </w:pPr>
      <w:r>
        <w:t xml:space="preserve">1. Executive Summary</w:t>
      </w:r>
    </w:p>
    <w:p>
      <w:pPr>
        <w:spacing w:after="120"/>
        <w:jc w:val="left"/>
      </w:pPr>
      <w:r>
        <w:rPr>
          <w:rFonts w:ascii="Calibri" w:cs="Calibri" w:eastAsia="Calibri" w:hAnsi="Calibri"/>
          <w:sz w:val="22"/>
          <w:szCs w:val="22"/>
        </w:rPr>
        <w:t xml:space="preserve">This document reviews the QBE AUSPAC Payment Solutions RFI Plan (Aug 2026 v3) and provides an independent assessment of its functional requirements, financial positioning, volume analysis, and suggested approach. It then recommends </w:t>
      </w:r>
      <w:r>
        <w:rPr>
          <w:rFonts w:ascii="Calibri" w:cs="Calibri" w:eastAsia="Calibri" w:hAnsi="Calibri"/>
          <w:b/>
          <w:bCs/>
          <w:sz w:val="22"/>
          <w:szCs w:val="22"/>
        </w:rPr>
        <w:t xml:space="preserve">enhanced functional and non-functional requirements</w:t>
      </w:r>
      <w:r>
        <w:rPr>
          <w:rFonts w:ascii="Calibri" w:cs="Calibri" w:eastAsia="Calibri" w:hAnsi="Calibri"/>
          <w:sz w:val="22"/>
          <w:szCs w:val="22"/>
        </w:rPr>
        <w:t xml:space="preserve"> informed by current market research, the RBA's October 2026 interchange reforms, APRA CPS 230/234 obligations, PCI DSS v4.0.1 mandates, and emerging payment trends in the Australian insurance sector.</w:t>
      </w:r>
    </w:p>
    <w:p>
      <w:pPr>
        <w:spacing w:after="120"/>
        <w:jc w:val="left"/>
      </w:pPr>
      <w:r>
        <w:rPr>
          <w:rFonts w:ascii="Calibri" w:cs="Calibri" w:eastAsia="Calibri" w:hAnsi="Calibri"/>
          <w:b/>
          <w:bCs/>
          <w:sz w:val="22"/>
          <w:szCs w:val="22"/>
        </w:rPr>
        <w:t xml:space="preserve">Key finding: </w:t>
      </w:r>
      <w:r>
        <w:rPr>
          <w:rFonts w:ascii="Calibri" w:cs="Calibri" w:eastAsia="Calibri" w:hAnsi="Calibri"/>
          <w:sz w:val="22"/>
          <w:szCs w:val="22"/>
        </w:rPr>
        <w:t xml:space="preserve">The existing RFI is a solid foundation with clear financial rationale, but it under-specifies several areas that will be critical for evaluation and vendor differentiation — particularly around non-functional requirements (resilience, SLAs, regulatory compliance, data sovereignty), payment orchestration, real-time payment rails (NPP/PayTo), and the APRA CPS 230 material service provider obligations that take full effect for existing contracts by 1 July 2026.</w:t>
      </w:r>
    </w:p>
    <w:p>
      <w:pPr>
        <w:pBdr>
          <w:bottom w:val="single" w:color="0066CC" w:sz="6"/>
        </w:pBdr>
        <w:spacing w:after="100" w:before="100"/>
      </w:pPr>
    </w:p>
    <w:p>
      <w:pPr>
        <w:pStyle w:val="Heading1"/>
        <w:spacing w:after="120" w:before="400"/>
      </w:pPr>
      <w:r>
        <w:t xml:space="preserve">2. Assessment of Current RFI</w:t>
      </w:r>
    </w:p>
    <w:p>
      <w:pPr>
        <w:pStyle w:val="Heading2"/>
        <w:spacing w:after="120" w:before="240"/>
      </w:pPr>
      <w:r>
        <w:t xml:space="preserve">2.1 Strengths</w:t>
      </w:r>
    </w:p>
    <w:p>
      <w:pPr>
        <w:pStyle w:val="ListParagraph"/>
        <w:numPr>
          <w:ilvl w:val="0"/>
          <w:numId w:val="2"/>
        </w:numPr>
        <w:spacing w:after="60"/>
      </w:pPr>
      <w:r>
        <w:rPr>
          <w:rFonts w:ascii="Calibri" w:cs="Calibri" w:eastAsia="Calibri" w:hAnsi="Calibri"/>
          <w:b/>
          <w:bCs/>
          <w:sz w:val="22"/>
          <w:szCs w:val="22"/>
        </w:rPr>
        <w:t xml:space="preserve">Clear financial case: </w:t>
      </w:r>
      <w:r>
        <w:rPr>
          <w:rFonts w:ascii="Calibri" w:cs="Calibri" w:eastAsia="Calibri" w:hAnsi="Calibri"/>
          <w:sz w:val="22"/>
          <w:szCs w:val="22"/>
        </w:rPr>
        <w:t xml:space="preserve">The $7m FY'26 spend forecast, fee breakdown across Omni/Worldline (CyberSource), Elders CBA (CyberSource), and CTP Windcave, and the savings scenarios ($600k–$1.8m range) give vendors a concrete commercial baseline.</w:t>
      </w:r>
    </w:p>
    <w:p>
      <w:pPr>
        <w:pStyle w:val="ListParagraph"/>
        <w:numPr>
          <w:ilvl w:val="0"/>
          <w:numId w:val="2"/>
        </w:numPr>
        <w:spacing w:after="60"/>
      </w:pPr>
      <w:r>
        <w:rPr>
          <w:rFonts w:ascii="Calibri" w:cs="Calibri" w:eastAsia="Calibri" w:hAnsi="Calibri"/>
          <w:b/>
          <w:bCs/>
          <w:sz w:val="22"/>
          <w:szCs w:val="22"/>
        </w:rPr>
        <w:t xml:space="preserve">Volume transparency: </w:t>
      </w:r>
      <w:r>
        <w:rPr>
          <w:rFonts w:ascii="Calibri" w:cs="Calibri" w:eastAsia="Calibri" w:hAnsi="Calibri"/>
          <w:sz w:val="22"/>
          <w:szCs w:val="22"/>
        </w:rPr>
        <w:t xml:space="preserve">Sharing 12-month volumes (~2.1m transactions, ~$1.1b value) by scheme, debit/credit split, and business unit is best practice and will enable vendors to model competitive pricing.</w:t>
      </w:r>
    </w:p>
    <w:p>
      <w:pPr>
        <w:pStyle w:val="ListParagraph"/>
        <w:numPr>
          <w:ilvl w:val="0"/>
          <w:numId w:val="2"/>
        </w:numPr>
        <w:spacing w:after="60"/>
      </w:pPr>
      <w:r>
        <w:rPr>
          <w:rFonts w:ascii="Calibri" w:cs="Calibri" w:eastAsia="Calibri" w:hAnsi="Calibri"/>
          <w:b/>
          <w:bCs/>
          <w:sz w:val="22"/>
          <w:szCs w:val="22"/>
        </w:rPr>
        <w:t xml:space="preserve">Staged approach: </w:t>
      </w:r>
      <w:r>
        <w:rPr>
          <w:rFonts w:ascii="Calibri" w:cs="Calibri" w:eastAsia="Calibri" w:hAnsi="Calibri"/>
          <w:sz w:val="22"/>
          <w:szCs w:val="22"/>
        </w:rPr>
        <w:t xml:space="preserve">The Pre-work → Stage 1–4 timeline with clear outcomes per stage is methodical and will keep the process disciplined.</w:t>
      </w:r>
    </w:p>
    <w:p>
      <w:pPr>
        <w:pStyle w:val="ListParagraph"/>
        <w:numPr>
          <w:ilvl w:val="0"/>
          <w:numId w:val="2"/>
        </w:numPr>
        <w:spacing w:after="60"/>
      </w:pPr>
      <w:r>
        <w:rPr>
          <w:rFonts w:ascii="Calibri" w:cs="Calibri" w:eastAsia="Calibri" w:hAnsi="Calibri"/>
          <w:b/>
          <w:bCs/>
          <w:sz w:val="22"/>
          <w:szCs w:val="22"/>
        </w:rPr>
        <w:t xml:space="preserve">Comprehensive functional scope: </w:t>
      </w:r>
      <w:r>
        <w:rPr>
          <w:rFonts w:ascii="Calibri" w:cs="Calibri" w:eastAsia="Calibri" w:hAnsi="Calibri"/>
          <w:sz w:val="22"/>
          <w:szCs w:val="22"/>
        </w:rPr>
        <w:t xml:space="preserve">Coverage of payment methods, alternative payments (digital wallets, PayPal, Click to Pay, PayTo/PayID, Buy Link), tokenisation, routing optimisation, and hosted payment options shows mature thinking.</w:t>
      </w:r>
    </w:p>
    <w:p>
      <w:pPr>
        <w:pStyle w:val="ListParagraph"/>
        <w:numPr>
          <w:ilvl w:val="0"/>
          <w:numId w:val="2"/>
        </w:numPr>
        <w:spacing w:after="60"/>
      </w:pPr>
      <w:r>
        <w:rPr>
          <w:rFonts w:ascii="Calibri" w:cs="Calibri" w:eastAsia="Calibri" w:hAnsi="Calibri"/>
          <w:b/>
          <w:bCs/>
          <w:sz w:val="22"/>
          <w:szCs w:val="22"/>
        </w:rPr>
        <w:t xml:space="preserve">Vendor breadth: </w:t>
      </w:r>
      <w:r>
        <w:rPr>
          <w:rFonts w:ascii="Calibri" w:cs="Calibri" w:eastAsia="Calibri" w:hAnsi="Calibri"/>
          <w:sz w:val="22"/>
          <w:szCs w:val="22"/>
        </w:rPr>
        <w:t xml:space="preserve">The partner list (ANZ, CBA, Westpac, CyberSource, Windcave, Stripe, Checkout.com, FatZebra, Adyen, PayPal/Braintree) is well-chosen and covers the full spectrum from bank acquirers to fintech platforms.</w:t>
      </w:r>
    </w:p>
    <w:p>
      <w:pPr>
        <w:pStyle w:val="Heading2"/>
        <w:spacing w:after="120" w:before="240"/>
      </w:pPr>
      <w:r>
        <w:t xml:space="preserve">2.2 Gaps &amp; Risks</w:t>
      </w:r>
    </w:p>
    <w:p>
      <w:pPr>
        <w:pStyle w:val="ListParagraph"/>
        <w:numPr>
          <w:ilvl w:val="0"/>
          <w:numId w:val="2"/>
        </w:numPr>
        <w:spacing w:after="60"/>
      </w:pPr>
      <w:r>
        <w:rPr>
          <w:rFonts w:ascii="Calibri" w:cs="Calibri" w:eastAsia="Calibri" w:hAnsi="Calibri"/>
          <w:b/>
          <w:bCs/>
          <w:sz w:val="22"/>
          <w:szCs w:val="22"/>
        </w:rPr>
        <w:t xml:space="preserve">No non-functional requirements: </w:t>
      </w:r>
      <w:r>
        <w:rPr>
          <w:rFonts w:ascii="Calibri" w:cs="Calibri" w:eastAsia="Calibri" w:hAnsi="Calibri"/>
          <w:sz w:val="22"/>
          <w:szCs w:val="22"/>
        </w:rPr>
        <w:t xml:space="preserve">The RFI has no section for availability SLAs, disaster recovery, latency, scalability, data sovereignty, or information security beyond a brief mention of 3DS, PCI DSS, SOC 2, and ISO 27001. For an APRA-regulated entity, this is a material gap.</w:t>
      </w:r>
    </w:p>
    <w:p>
      <w:pPr>
        <w:pStyle w:val="ListParagraph"/>
        <w:numPr>
          <w:ilvl w:val="0"/>
          <w:numId w:val="2"/>
        </w:numPr>
        <w:spacing w:after="60"/>
      </w:pPr>
      <w:r>
        <w:rPr>
          <w:rFonts w:ascii="Calibri" w:cs="Calibri" w:eastAsia="Calibri" w:hAnsi="Calibri"/>
          <w:b/>
          <w:bCs/>
          <w:sz w:val="22"/>
          <w:szCs w:val="22"/>
        </w:rPr>
        <w:t xml:space="preserve">APRA CPS 230 obligations missing: </w:t>
      </w:r>
      <w:r>
        <w:rPr>
          <w:rFonts w:ascii="Calibri" w:cs="Calibri" w:eastAsia="Calibri" w:hAnsi="Calibri"/>
          <w:sz w:val="22"/>
          <w:szCs w:val="22"/>
        </w:rPr>
        <w:t xml:space="preserve">Payment gateways and acquirers will likely be classified as material service providers under CPS 230. The RFI does not mention APRA audit rights, BCP alignment, 24-hour incident notification, or fourth-party risk management — all of which must be contractually embedded by 1 July 2026 for existing contracts.</w:t>
      </w:r>
    </w:p>
    <w:p>
      <w:pPr>
        <w:pStyle w:val="ListParagraph"/>
        <w:numPr>
          <w:ilvl w:val="0"/>
          <w:numId w:val="2"/>
        </w:numPr>
        <w:spacing w:after="60"/>
      </w:pPr>
      <w:r>
        <w:rPr>
          <w:rFonts w:ascii="Calibri" w:cs="Calibri" w:eastAsia="Calibri" w:hAnsi="Calibri"/>
          <w:b/>
          <w:bCs/>
          <w:sz w:val="22"/>
          <w:szCs w:val="22"/>
        </w:rPr>
        <w:t xml:space="preserve">RBA October 2026 reforms under-factored: </w:t>
      </w:r>
      <w:r>
        <w:rPr>
          <w:rFonts w:ascii="Calibri" w:cs="Calibri" w:eastAsia="Calibri" w:hAnsi="Calibri"/>
          <w:sz w:val="22"/>
          <w:szCs w:val="22"/>
        </w:rPr>
        <w:t xml:space="preserve">The scenarios reference Visa debit interchange reform and surcharge removal, but the full impact — surcharging ban across all designated networks, debit interchange cap at $0.08/0.16%, consumer credit cap at 0.30%, and the new 1.0% foreign-card cap from April 2027 — needs sharper treatment to ensure vendor pricing reflects the post-reform landscape.</w:t>
      </w:r>
    </w:p>
    <w:p>
      <w:pPr>
        <w:pStyle w:val="ListParagraph"/>
        <w:numPr>
          <w:ilvl w:val="0"/>
          <w:numId w:val="2"/>
        </w:numPr>
        <w:spacing w:after="60"/>
      </w:pPr>
      <w:r>
        <w:rPr>
          <w:rFonts w:ascii="Calibri" w:cs="Calibri" w:eastAsia="Calibri" w:hAnsi="Calibri"/>
          <w:b/>
          <w:bCs/>
          <w:sz w:val="22"/>
          <w:szCs w:val="22"/>
        </w:rPr>
        <w:t xml:space="preserve">No payment orchestration requirement: </w:t>
      </w:r>
      <w:r>
        <w:rPr>
          <w:rFonts w:ascii="Calibri" w:cs="Calibri" w:eastAsia="Calibri" w:hAnsi="Calibri"/>
          <w:sz w:val="22"/>
          <w:szCs w:val="22"/>
        </w:rPr>
        <w:t xml:space="preserve">With three gateways/acquirers currently in use, the RFI should explicitly ask whether vendors support or replace a payment orchestration layer for intelligent routing, failover, and provider-agnostic tokenisation.</w:t>
      </w:r>
    </w:p>
    <w:p>
      <w:pPr>
        <w:pStyle w:val="ListParagraph"/>
        <w:numPr>
          <w:ilvl w:val="0"/>
          <w:numId w:val="2"/>
        </w:numPr>
        <w:spacing w:after="60"/>
      </w:pPr>
      <w:r>
        <w:rPr>
          <w:rFonts w:ascii="Calibri" w:cs="Calibri" w:eastAsia="Calibri" w:hAnsi="Calibri"/>
          <w:b/>
          <w:bCs/>
          <w:sz w:val="22"/>
          <w:szCs w:val="22"/>
        </w:rPr>
        <w:t xml:space="preserve">NPP/PayTo insufficiently scoped: </w:t>
      </w:r>
      <w:r>
        <w:rPr>
          <w:rFonts w:ascii="Calibri" w:cs="Calibri" w:eastAsia="Calibri" w:hAnsi="Calibri"/>
          <w:sz w:val="22"/>
          <w:szCs w:val="22"/>
        </w:rPr>
        <w:t xml:space="preserve">PayTo is listed under alternative payments alongside digital wallets. For an insurer processing recurring premiums, PayTo is a strategic alternative to direct debit and card-on-file, not an add-on. It warrants its own section with mandates, BECS migration path, and NPP real-time reconciliation capabilities.</w:t>
      </w:r>
    </w:p>
    <w:p>
      <w:pPr>
        <w:pStyle w:val="ListParagraph"/>
        <w:numPr>
          <w:ilvl w:val="0"/>
          <w:numId w:val="2"/>
        </w:numPr>
        <w:spacing w:after="60"/>
      </w:pPr>
      <w:r>
        <w:rPr>
          <w:rFonts w:ascii="Calibri" w:cs="Calibri" w:eastAsia="Calibri" w:hAnsi="Calibri"/>
          <w:b/>
          <w:bCs/>
          <w:sz w:val="22"/>
          <w:szCs w:val="22"/>
        </w:rPr>
        <w:t xml:space="preserve">Missing claims disbursement scope: </w:t>
      </w:r>
      <w:r>
        <w:rPr>
          <w:rFonts w:ascii="Calibri" w:cs="Calibri" w:eastAsia="Calibri" w:hAnsi="Calibri"/>
          <w:sz w:val="22"/>
          <w:szCs w:val="22"/>
        </w:rPr>
        <w:t xml:space="preserve">The RFI focuses on premium collection (inbound). Modern payment platforms for insurers should also cover outbound claims payments — push-to-debit, NPP payouts, digital wallet credits — to consolidate the payment stack.</w:t>
      </w:r>
    </w:p>
    <w:p>
      <w:pPr>
        <w:pStyle w:val="ListParagraph"/>
        <w:numPr>
          <w:ilvl w:val="0"/>
          <w:numId w:val="2"/>
        </w:numPr>
        <w:spacing w:after="60"/>
      </w:pPr>
      <w:r>
        <w:rPr>
          <w:rFonts w:ascii="Calibri" w:cs="Calibri" w:eastAsia="Calibri" w:hAnsi="Calibri"/>
          <w:b/>
          <w:bCs/>
          <w:sz w:val="22"/>
          <w:szCs w:val="22"/>
        </w:rPr>
        <w:t xml:space="preserve">Accessibility understated: </w:t>
      </w:r>
      <w:r>
        <w:rPr>
          <w:rFonts w:ascii="Calibri" w:cs="Calibri" w:eastAsia="Calibri" w:hAnsi="Calibri"/>
          <w:sz w:val="22"/>
          <w:szCs w:val="22"/>
        </w:rPr>
        <w:t xml:space="preserve">WCAG 2.1 AA is listed. The current standard is WCAG 2.2, and given the RFI covers hosted payment pages that QBE customers interact with, this should be WCAG 2.2 AA at minimum.</w:t>
      </w:r>
    </w:p>
    <w:p>
      <w:pPr>
        <w:pStyle w:val="ListParagraph"/>
        <w:numPr>
          <w:ilvl w:val="0"/>
          <w:numId w:val="2"/>
        </w:numPr>
        <w:spacing w:after="60"/>
      </w:pPr>
      <w:r>
        <w:rPr>
          <w:rFonts w:ascii="Calibri" w:cs="Calibri" w:eastAsia="Calibri" w:hAnsi="Calibri"/>
          <w:b/>
          <w:bCs/>
          <w:sz w:val="22"/>
          <w:szCs w:val="22"/>
        </w:rPr>
        <w:t xml:space="preserve">No data &amp; analytics requirements: </w:t>
      </w:r>
      <w:r>
        <w:rPr>
          <w:rFonts w:ascii="Calibri" w:cs="Calibri" w:eastAsia="Calibri" w:hAnsi="Calibri"/>
          <w:sz w:val="22"/>
          <w:szCs w:val="22"/>
        </w:rPr>
        <w:t xml:space="preserve">Beyond 'reporting and analytics' under operational management, there are no requirements for real-time dashboards, reconciliation automation, or data export formats (ISO 20022, CSV, API).</w:t>
      </w:r>
    </w:p>
    <w:p>
      <w:r>
        <w:br w:type="page"/>
      </w:r>
    </w:p>
    <w:p>
      <w:pPr>
        <w:pStyle w:val="Heading1"/>
        <w:spacing w:after="120" w:before="400"/>
      </w:pPr>
      <w:r>
        <w:t xml:space="preserve">3. Market &amp; Regulatory Context</w:t>
      </w:r>
    </w:p>
    <w:p>
      <w:pPr>
        <w:pStyle w:val="Heading2"/>
        <w:spacing w:after="120" w:before="240"/>
      </w:pPr>
      <w:r>
        <w:t xml:space="preserve">3.1 RBA Interchange Reforms (Effective 1 October 2026)</w:t>
      </w:r>
    </w:p>
    <w:p>
      <w:pPr>
        <w:spacing w:after="120"/>
        <w:jc w:val="left"/>
      </w:pPr>
      <w:r>
        <w:rPr>
          <w:rFonts w:ascii="Calibri" w:cs="Calibri" w:eastAsia="Calibri" w:hAnsi="Calibri"/>
          <w:sz w:val="22"/>
          <w:szCs w:val="22"/>
        </w:rPr>
        <w:t xml:space="preserve">The RBA's Conclusions Paper (March 2026) introduces the most significant changes to Australian card payments in two decades. Key changes relevant to QBE's RFI:</w:t>
      </w:r>
    </w:p>
    <w:p>
      <w:pPr>
        <w:pStyle w:val="ListParagraph"/>
        <w:numPr>
          <w:ilvl w:val="0"/>
          <w:numId w:val="2"/>
        </w:numPr>
        <w:spacing w:after="60"/>
      </w:pPr>
      <w:r>
        <w:rPr>
          <w:rFonts w:ascii="Calibri" w:cs="Calibri" w:eastAsia="Calibri" w:hAnsi="Calibri"/>
          <w:b/>
          <w:bCs/>
          <w:sz w:val="22"/>
          <w:szCs w:val="22"/>
        </w:rPr>
        <w:t xml:space="preserve">Surcharging ban: </w:t>
      </w:r>
      <w:r>
        <w:rPr>
          <w:rFonts w:ascii="Calibri" w:cs="Calibri" w:eastAsia="Calibri" w:hAnsi="Calibri"/>
          <w:sz w:val="22"/>
          <w:szCs w:val="22"/>
        </w:rPr>
        <w:t xml:space="preserve">The RBA will lift its prohibition on no-surcharge rules for eftpos, Visa, and Mastercard. QBE will no longer be able to surcharge card payments from 1 October 2026.</w:t>
      </w:r>
    </w:p>
    <w:p>
      <w:pPr>
        <w:pStyle w:val="ListParagraph"/>
        <w:numPr>
          <w:ilvl w:val="0"/>
          <w:numId w:val="2"/>
        </w:numPr>
        <w:spacing w:after="60"/>
      </w:pPr>
      <w:r>
        <w:rPr>
          <w:rFonts w:ascii="Calibri" w:cs="Calibri" w:eastAsia="Calibri" w:hAnsi="Calibri"/>
          <w:b/>
          <w:bCs/>
          <w:sz w:val="22"/>
          <w:szCs w:val="22"/>
        </w:rPr>
        <w:t xml:space="preserve">Domestic debit/prepaid interchange: </w:t>
      </w:r>
      <w:r>
        <w:rPr>
          <w:rFonts w:ascii="Calibri" w:cs="Calibri" w:eastAsia="Calibri" w:hAnsi="Calibri"/>
          <w:sz w:val="22"/>
          <w:szCs w:val="22"/>
        </w:rPr>
        <w:t xml:space="preserve">Capped at $0.08 or 0.16% (down from $0.10/0.20%). Direct saving for QBE's 750k+ debit transactions.</w:t>
      </w:r>
    </w:p>
    <w:p>
      <w:pPr>
        <w:pStyle w:val="ListParagraph"/>
        <w:numPr>
          <w:ilvl w:val="0"/>
          <w:numId w:val="2"/>
        </w:numPr>
        <w:spacing w:after="60"/>
      </w:pPr>
      <w:r>
        <w:rPr>
          <w:rFonts w:ascii="Calibri" w:cs="Calibri" w:eastAsia="Calibri" w:hAnsi="Calibri"/>
          <w:b/>
          <w:bCs/>
          <w:sz w:val="22"/>
          <w:szCs w:val="22"/>
        </w:rPr>
        <w:t xml:space="preserve">Consumer credit interchange: </w:t>
      </w:r>
      <w:r>
        <w:rPr>
          <w:rFonts w:ascii="Calibri" w:cs="Calibri" w:eastAsia="Calibri" w:hAnsi="Calibri"/>
          <w:sz w:val="22"/>
          <w:szCs w:val="22"/>
        </w:rPr>
        <w:t xml:space="preserve">Capped at 0.30% (down from weighted-average benchmark of ~0.50%). Significant saving on QBE's 400k+ credit transactions worth ~$535m.</w:t>
      </w:r>
    </w:p>
    <w:p>
      <w:pPr>
        <w:pStyle w:val="ListParagraph"/>
        <w:numPr>
          <w:ilvl w:val="0"/>
          <w:numId w:val="2"/>
        </w:numPr>
        <w:spacing w:after="60"/>
      </w:pPr>
      <w:r>
        <w:rPr>
          <w:rFonts w:ascii="Calibri" w:cs="Calibri" w:eastAsia="Calibri" w:hAnsi="Calibri"/>
          <w:b/>
          <w:bCs/>
          <w:sz w:val="22"/>
          <w:szCs w:val="22"/>
        </w:rPr>
        <w:t xml:space="preserve">Commercial credit interchange: </w:t>
      </w:r>
      <w:r>
        <w:rPr>
          <w:rFonts w:ascii="Calibri" w:cs="Calibri" w:eastAsia="Calibri" w:hAnsi="Calibri"/>
          <w:sz w:val="22"/>
          <w:szCs w:val="22"/>
        </w:rPr>
        <w:t xml:space="preserve">Retained at 0.80%. No change.</w:t>
      </w:r>
    </w:p>
    <w:p>
      <w:pPr>
        <w:pStyle w:val="ListParagraph"/>
        <w:numPr>
          <w:ilvl w:val="0"/>
          <w:numId w:val="2"/>
        </w:numPr>
        <w:spacing w:after="60"/>
      </w:pPr>
      <w:r>
        <w:rPr>
          <w:rFonts w:ascii="Calibri" w:cs="Calibri" w:eastAsia="Calibri" w:hAnsi="Calibri"/>
          <w:b/>
          <w:bCs/>
          <w:sz w:val="22"/>
          <w:szCs w:val="22"/>
        </w:rPr>
        <w:t xml:space="preserve">Foreign-issued cards: </w:t>
      </w:r>
      <w:r>
        <w:rPr>
          <w:rFonts w:ascii="Calibri" w:cs="Calibri" w:eastAsia="Calibri" w:hAnsi="Calibri"/>
          <w:sz w:val="22"/>
          <w:szCs w:val="22"/>
        </w:rPr>
        <w:t xml:space="preserve">New 1.0% cap from 1 April 2027.</w:t>
      </w:r>
    </w:p>
    <w:p>
      <w:pPr>
        <w:pStyle w:val="ListParagraph"/>
        <w:numPr>
          <w:ilvl w:val="0"/>
          <w:numId w:val="2"/>
        </w:numPr>
        <w:spacing w:after="60"/>
      </w:pPr>
      <w:r>
        <w:rPr>
          <w:rFonts w:ascii="Calibri" w:cs="Calibri" w:eastAsia="Calibri" w:hAnsi="Calibri"/>
          <w:b/>
          <w:bCs/>
          <w:sz w:val="22"/>
          <w:szCs w:val="22"/>
        </w:rPr>
        <w:t xml:space="preserve">Transparency: </w:t>
      </w:r>
      <w:r>
        <w:rPr>
          <w:rFonts w:ascii="Calibri" w:cs="Calibri" w:eastAsia="Calibri" w:hAnsi="Calibri"/>
          <w:sz w:val="22"/>
          <w:szCs w:val="22"/>
        </w:rPr>
        <w:t xml:space="preserve">Acquirers must publish interchange pass-through fees quarterly; schemes must publish aggregate fee data. This gives QBE leverage to benchmark vendor pricing against published rates.</w:t>
      </w:r>
    </w:p>
    <w:p>
      <w:pPr>
        <w:spacing w:after="120"/>
        <w:jc w:val="left"/>
      </w:pPr>
      <w:r>
        <w:rPr>
          <w:rFonts w:ascii="Calibri" w:cs="Calibri" w:eastAsia="Calibri" w:hAnsi="Calibri"/>
          <w:b/>
          <w:bCs/>
          <w:sz w:val="22"/>
          <w:szCs w:val="22"/>
        </w:rPr>
        <w:t xml:space="preserve">Implication for RFI: </w:t>
      </w:r>
      <w:r>
        <w:rPr>
          <w:rFonts w:ascii="Calibri" w:cs="Calibri" w:eastAsia="Calibri" w:hAnsi="Calibri"/>
          <w:sz w:val="22"/>
          <w:szCs w:val="22"/>
        </w:rPr>
        <w:t xml:space="preserve">Vendor pricing proposals must be structured on Interchange++ (pass-through) models, not blended rates, to ensure QBE captures the full benefit of reduced interchange caps. The RFI should require vendors to provide pre- and post-reform pricing scenarios and commit to passing through any future interchange reductions.</w:t>
      </w:r>
    </w:p>
    <w:p>
      <w:pPr>
        <w:pStyle w:val="Heading2"/>
        <w:spacing w:after="120" w:before="240"/>
      </w:pPr>
      <w:r>
        <w:t xml:space="preserve">3.2 APRA CPS 230 &amp; CPS 234</w:t>
      </w:r>
    </w:p>
    <w:p>
      <w:pPr>
        <w:spacing w:after="120"/>
        <w:jc w:val="left"/>
      </w:pPr>
      <w:r>
        <w:rPr>
          <w:rFonts w:ascii="Calibri" w:cs="Calibri" w:eastAsia="Calibri" w:hAnsi="Calibri"/>
          <w:sz w:val="22"/>
          <w:szCs w:val="22"/>
        </w:rPr>
        <w:t xml:space="preserve">CPS 230 (Operational Risk Management) took effect 1 July 2025 with existing material service provider contracts requiring compliance by 1 July 2026. Payment gateways and acquirers are almost certainly material service providers for QBE. Key contractual requirements:</w:t>
      </w:r>
    </w:p>
    <w:p>
      <w:pPr>
        <w:pStyle w:val="ListParagraph"/>
        <w:numPr>
          <w:ilvl w:val="0"/>
          <w:numId w:val="2"/>
        </w:numPr>
        <w:spacing w:after="60"/>
      </w:pPr>
      <w:r>
        <w:rPr>
          <w:rFonts w:ascii="Calibri" w:cs="Calibri" w:eastAsia="Calibri" w:hAnsi="Calibri"/>
          <w:sz w:val="22"/>
          <w:szCs w:val="22"/>
        </w:rPr>
        <w:t xml:space="preserve">APRA audit and access rights over the service provider</w:t>
      </w:r>
    </w:p>
    <w:p>
      <w:pPr>
        <w:pStyle w:val="ListParagraph"/>
        <w:numPr>
          <w:ilvl w:val="0"/>
          <w:numId w:val="2"/>
        </w:numPr>
        <w:spacing w:after="60"/>
      </w:pPr>
      <w:r>
        <w:rPr>
          <w:rFonts w:ascii="Calibri" w:cs="Calibri" w:eastAsia="Calibri" w:hAnsi="Calibri"/>
          <w:sz w:val="22"/>
          <w:szCs w:val="22"/>
        </w:rPr>
        <w:t xml:space="preserve">24-hour notification of disruptions to critical operations</w:t>
      </w:r>
    </w:p>
    <w:p>
      <w:pPr>
        <w:pStyle w:val="ListParagraph"/>
        <w:numPr>
          <w:ilvl w:val="0"/>
          <w:numId w:val="2"/>
        </w:numPr>
        <w:spacing w:after="60"/>
      </w:pPr>
      <w:r>
        <w:rPr>
          <w:rFonts w:ascii="Calibri" w:cs="Calibri" w:eastAsia="Calibri" w:hAnsi="Calibri"/>
          <w:sz w:val="22"/>
          <w:szCs w:val="22"/>
        </w:rPr>
        <w:t xml:space="preserve">BCP/DR alignment with QBE's recovery time and point objectives</w:t>
      </w:r>
    </w:p>
    <w:p>
      <w:pPr>
        <w:pStyle w:val="ListParagraph"/>
        <w:numPr>
          <w:ilvl w:val="0"/>
          <w:numId w:val="2"/>
        </w:numPr>
        <w:spacing w:after="60"/>
      </w:pPr>
      <w:r>
        <w:rPr>
          <w:rFonts w:ascii="Calibri" w:cs="Calibri" w:eastAsia="Calibri" w:hAnsi="Calibri"/>
          <w:sz w:val="22"/>
          <w:szCs w:val="22"/>
        </w:rPr>
        <w:t xml:space="preserve">Fourth-party risk transparency (sub-processors, cloud providers)</w:t>
      </w:r>
    </w:p>
    <w:p>
      <w:pPr>
        <w:pStyle w:val="ListParagraph"/>
        <w:numPr>
          <w:ilvl w:val="0"/>
          <w:numId w:val="2"/>
        </w:numPr>
        <w:spacing w:after="60"/>
      </w:pPr>
      <w:r>
        <w:rPr>
          <w:rFonts w:ascii="Calibri" w:cs="Calibri" w:eastAsia="Calibri" w:hAnsi="Calibri"/>
          <w:sz w:val="22"/>
          <w:szCs w:val="22"/>
        </w:rPr>
        <w:t xml:space="preserve">Annual material service provider register submission to APRA</w:t>
      </w:r>
    </w:p>
    <w:p>
      <w:pPr>
        <w:spacing w:after="120"/>
        <w:jc w:val="left"/>
      </w:pPr>
      <w:r>
        <w:rPr>
          <w:rFonts w:ascii="Calibri" w:cs="Calibri" w:eastAsia="Calibri" w:hAnsi="Calibri"/>
          <w:sz w:val="22"/>
          <w:szCs w:val="22"/>
        </w:rPr>
        <w:t xml:space="preserve">CPS 234 (Information Security) requires classification of payment-related information assets, controls commensurate with risk, regular testing, and 72-hour APRA notification for security incidents. The overlap with PCI DSS is significant but not complete — CPS 234 extends beyond cardholder data to all information assets.</w:t>
      </w:r>
    </w:p>
    <w:p>
      <w:pPr>
        <w:pStyle w:val="Heading2"/>
        <w:spacing w:after="120" w:before="240"/>
      </w:pPr>
      <w:r>
        <w:t xml:space="preserve">3.3 PCI DSS v4.0.1 (Mandatory 2026)</w:t>
      </w:r>
    </w:p>
    <w:p>
      <w:pPr>
        <w:spacing w:after="120"/>
        <w:jc w:val="left"/>
      </w:pPr>
      <w:r>
        <w:rPr>
          <w:rFonts w:ascii="Calibri" w:cs="Calibri" w:eastAsia="Calibri" w:hAnsi="Calibri"/>
          <w:sz w:val="22"/>
          <w:szCs w:val="22"/>
        </w:rPr>
        <w:t xml:space="preserve">PCI DSS v4.0.1 is now the only active standard, with all 51 previously future-dated controls mandatory since March 2025. Key implications for QBE's payment platform selection:</w:t>
      </w:r>
    </w:p>
    <w:p>
      <w:pPr>
        <w:pStyle w:val="ListParagraph"/>
        <w:numPr>
          <w:ilvl w:val="0"/>
          <w:numId w:val="2"/>
        </w:numPr>
        <w:spacing w:after="60"/>
      </w:pPr>
      <w:r>
        <w:rPr>
          <w:rFonts w:ascii="Calibri" w:cs="Calibri" w:eastAsia="Calibri" w:hAnsi="Calibri"/>
          <w:b/>
          <w:bCs/>
          <w:sz w:val="22"/>
          <w:szCs w:val="22"/>
        </w:rPr>
        <w:t xml:space="preserve">Payment page script security (Req 6.4.3/11.6.1): </w:t>
      </w:r>
      <w:r>
        <w:rPr>
          <w:rFonts w:ascii="Calibri" w:cs="Calibri" w:eastAsia="Calibri" w:hAnsi="Calibri"/>
          <w:sz w:val="22"/>
          <w:szCs w:val="22"/>
        </w:rPr>
        <w:t xml:space="preserve">Hosted payment pages must inventory, authorise, and integrity-check all scripts. This favours iframe-based or fully hosted checkout models from the gateway provider.</w:t>
      </w:r>
    </w:p>
    <w:p>
      <w:pPr>
        <w:pStyle w:val="ListParagraph"/>
        <w:numPr>
          <w:ilvl w:val="0"/>
          <w:numId w:val="2"/>
        </w:numPr>
        <w:spacing w:after="60"/>
      </w:pPr>
      <w:r>
        <w:rPr>
          <w:rFonts w:ascii="Calibri" w:cs="Calibri" w:eastAsia="Calibri" w:hAnsi="Calibri"/>
          <w:b/>
          <w:bCs/>
          <w:sz w:val="22"/>
          <w:szCs w:val="22"/>
        </w:rPr>
        <w:t xml:space="preserve">MFA for all CDE access (Req 8.4): </w:t>
      </w:r>
      <w:r>
        <w:rPr>
          <w:rFonts w:ascii="Calibri" w:cs="Calibri" w:eastAsia="Calibri" w:hAnsi="Calibri"/>
          <w:sz w:val="22"/>
          <w:szCs w:val="22"/>
        </w:rPr>
        <w:t xml:space="preserve">Any QBE system touching cardholder data must enforce MFA.</w:t>
      </w:r>
    </w:p>
    <w:p>
      <w:pPr>
        <w:pStyle w:val="ListParagraph"/>
        <w:numPr>
          <w:ilvl w:val="0"/>
          <w:numId w:val="2"/>
        </w:numPr>
        <w:spacing w:after="60"/>
      </w:pPr>
      <w:r>
        <w:rPr>
          <w:rFonts w:ascii="Calibri" w:cs="Calibri" w:eastAsia="Calibri" w:hAnsi="Calibri"/>
          <w:b/>
          <w:bCs/>
          <w:sz w:val="22"/>
          <w:szCs w:val="22"/>
        </w:rPr>
        <w:t xml:space="preserve">Scope reduction via tokenisation: </w:t>
      </w:r>
      <w:r>
        <w:rPr>
          <w:rFonts w:ascii="Calibri" w:cs="Calibri" w:eastAsia="Calibri" w:hAnsi="Calibri"/>
          <w:sz w:val="22"/>
          <w:szCs w:val="22"/>
        </w:rPr>
        <w:t xml:space="preserve">Vendors that return tokens instead of PANs after authorisation can dramatically reduce QBE's PCI scope, potentially enabling SAQ-A compliance.</w:t>
      </w:r>
    </w:p>
    <w:p>
      <w:pPr>
        <w:pStyle w:val="ListParagraph"/>
        <w:numPr>
          <w:ilvl w:val="0"/>
          <w:numId w:val="2"/>
        </w:numPr>
        <w:spacing w:after="60"/>
      </w:pPr>
      <w:r>
        <w:rPr>
          <w:rFonts w:ascii="Calibri" w:cs="Calibri" w:eastAsia="Calibri" w:hAnsi="Calibri"/>
          <w:b/>
          <w:bCs/>
          <w:sz w:val="22"/>
          <w:szCs w:val="22"/>
        </w:rPr>
        <w:t xml:space="preserve">Continuous compliance: </w:t>
      </w:r>
      <w:r>
        <w:rPr>
          <w:rFonts w:ascii="Calibri" w:cs="Calibri" w:eastAsia="Calibri" w:hAnsi="Calibri"/>
          <w:sz w:val="22"/>
          <w:szCs w:val="22"/>
        </w:rPr>
        <w:t xml:space="preserve">PCI DSS 4.0 expects year-round evidence of controls, not point-in-time audits. Vendor platforms should support automated compliance reporting.</w:t>
      </w:r>
    </w:p>
    <w:p>
      <w:pPr>
        <w:pStyle w:val="Heading2"/>
        <w:spacing w:after="120" w:before="240"/>
      </w:pPr>
      <w:r>
        <w:t xml:space="preserve">3.4 Australian Payment Trends for Insurance</w:t>
      </w:r>
    </w:p>
    <w:p>
      <w:pPr>
        <w:pStyle w:val="ListParagraph"/>
        <w:numPr>
          <w:ilvl w:val="0"/>
          <w:numId w:val="2"/>
        </w:numPr>
        <w:spacing w:after="60"/>
      </w:pPr>
      <w:r>
        <w:rPr>
          <w:rFonts w:ascii="Calibri" w:cs="Calibri" w:eastAsia="Calibri" w:hAnsi="Calibri"/>
          <w:b/>
          <w:bCs/>
          <w:sz w:val="22"/>
          <w:szCs w:val="22"/>
        </w:rPr>
        <w:t xml:space="preserve">PayTo adoption: </w:t>
      </w:r>
      <w:r>
        <w:rPr>
          <w:rFonts w:ascii="Calibri" w:cs="Calibri" w:eastAsia="Calibri" w:hAnsi="Calibri"/>
          <w:sz w:val="22"/>
          <w:szCs w:val="22"/>
        </w:rPr>
        <w:t xml:space="preserve">PayTo enables real-time recurring payment mandates with customer-controlled authorisation, replacing BECS direct debit. Over 18.5 million PayIDs registered as of mid-2026. Insurance premium collection is a prime use case.</w:t>
      </w:r>
    </w:p>
    <w:p>
      <w:pPr>
        <w:pStyle w:val="ListParagraph"/>
        <w:numPr>
          <w:ilvl w:val="0"/>
          <w:numId w:val="2"/>
        </w:numPr>
        <w:spacing w:after="60"/>
      </w:pPr>
      <w:r>
        <w:rPr>
          <w:rFonts w:ascii="Calibri" w:cs="Calibri" w:eastAsia="Calibri" w:hAnsi="Calibri"/>
          <w:b/>
          <w:bCs/>
          <w:sz w:val="22"/>
          <w:szCs w:val="22"/>
        </w:rPr>
        <w:t xml:space="preserve">NPP real-time payments: </w:t>
      </w:r>
      <w:r>
        <w:rPr>
          <w:rFonts w:ascii="Calibri" w:cs="Calibri" w:eastAsia="Calibri" w:hAnsi="Calibri"/>
          <w:sz w:val="22"/>
          <w:szCs w:val="22"/>
        </w:rPr>
        <w:t xml:space="preserve">The NPP processes ~$7 billion daily. Claims disbursement via NPP (instant payouts) is emerging as a competitive differentiator for insurers.</w:t>
      </w:r>
    </w:p>
    <w:p>
      <w:pPr>
        <w:pStyle w:val="ListParagraph"/>
        <w:numPr>
          <w:ilvl w:val="0"/>
          <w:numId w:val="2"/>
        </w:numPr>
        <w:spacing w:after="60"/>
      </w:pPr>
      <w:r>
        <w:rPr>
          <w:rFonts w:ascii="Calibri" w:cs="Calibri" w:eastAsia="Calibri" w:hAnsi="Calibri"/>
          <w:b/>
          <w:bCs/>
          <w:sz w:val="22"/>
          <w:szCs w:val="22"/>
        </w:rPr>
        <w:t xml:space="preserve">Digital wallet growth: </w:t>
      </w:r>
      <w:r>
        <w:rPr>
          <w:rFonts w:ascii="Calibri" w:cs="Calibri" w:eastAsia="Calibri" w:hAnsi="Calibri"/>
          <w:sz w:val="22"/>
          <w:szCs w:val="22"/>
        </w:rPr>
        <w:t xml:space="preserve">Australia's digital wallet market projected at $26 billion by 2025 (9.9% annual growth). Apple Pay, Google Pay, and Samsung Pay are table stakes for hosted payment pages.</w:t>
      </w:r>
    </w:p>
    <w:p>
      <w:pPr>
        <w:pStyle w:val="ListParagraph"/>
        <w:numPr>
          <w:ilvl w:val="0"/>
          <w:numId w:val="2"/>
        </w:numPr>
        <w:spacing w:after="60"/>
      </w:pPr>
      <w:r>
        <w:rPr>
          <w:rFonts w:ascii="Calibri" w:cs="Calibri" w:eastAsia="Calibri" w:hAnsi="Calibri"/>
          <w:b/>
          <w:bCs/>
          <w:sz w:val="22"/>
          <w:szCs w:val="22"/>
        </w:rPr>
        <w:t xml:space="preserve">Payment orchestration: </w:t>
      </w:r>
      <w:r>
        <w:rPr>
          <w:rFonts w:ascii="Calibri" w:cs="Calibri" w:eastAsia="Calibri" w:hAnsi="Calibri"/>
          <w:sz w:val="22"/>
          <w:szCs w:val="22"/>
        </w:rPr>
        <w:t xml:space="preserve">Enterprises with multi-acquirer estates are increasingly using orchestration layers (Gr4vy, Spreedly, ProcessOut, or native orchestration from Adyen/Stripe) for intelligent routing, failover, and provider-agnostic token vaults.</w:t>
      </w:r>
    </w:p>
    <w:p>
      <w:pPr>
        <w:pStyle w:val="ListParagraph"/>
        <w:numPr>
          <w:ilvl w:val="0"/>
          <w:numId w:val="2"/>
        </w:numPr>
        <w:spacing w:after="60"/>
      </w:pPr>
      <w:r>
        <w:rPr>
          <w:rFonts w:ascii="Calibri" w:cs="Calibri" w:eastAsia="Calibri" w:hAnsi="Calibri"/>
          <w:b/>
          <w:bCs/>
          <w:sz w:val="22"/>
          <w:szCs w:val="22"/>
        </w:rPr>
        <w:t xml:space="preserve">AI-powered fraud detection: </w:t>
      </w:r>
      <w:r>
        <w:rPr>
          <w:rFonts w:ascii="Calibri" w:cs="Calibri" w:eastAsia="Calibri" w:hAnsi="Calibri"/>
          <w:sz w:val="22"/>
          <w:szCs w:val="22"/>
        </w:rPr>
        <w:t xml:space="preserve">Machine learning models that adapt to QBE's specific transaction patterns outperform static rule engines for insurance payment fraud (e.g., duplicate premium payments, policy inception fraud).</w:t>
      </w:r>
    </w:p>
    <w:p>
      <w:r>
        <w:br w:type="page"/>
      </w:r>
    </w:p>
    <w:p>
      <w:pPr>
        <w:pStyle w:val="Heading1"/>
        <w:spacing w:after="120" w:before="400"/>
      </w:pPr>
      <w:r>
        <w:t xml:space="preserve">4. Recommended Functional Requirements</w:t>
      </w:r>
    </w:p>
    <w:p>
      <w:pPr>
        <w:spacing w:after="120"/>
        <w:jc w:val="left"/>
      </w:pPr>
      <w:r>
        <w:rPr>
          <w:rFonts w:ascii="Calibri" w:cs="Calibri" w:eastAsia="Calibri" w:hAnsi="Calibri"/>
          <w:sz w:val="22"/>
          <w:szCs w:val="22"/>
        </w:rPr>
        <w:t xml:space="preserve">The following table consolidates the existing RFI requirements with recommended additions and enhancements, organised by domain. Items in green are new additions; items in orange are enhancements to existing requirements.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4200"/>
        <w:gridCol w:w="1400"/>
      </w:tblGrid>
      <w:tr>
        <w:tc>
          <w:tcPr>
            <w:tcW w:type="dxa" w:w="2200"/>
            <w:shd w:fill="002244" w:val="clear"/>
            <w:vAlign w:val="center"/>
          </w:tcPr>
          <w:p>
            <w:pPr>
              <w:spacing w:after="40"/>
            </w:pPr>
            <w:r>
              <w:rPr>
                <w:rFonts w:ascii="Calibri" w:cs="Calibri" w:eastAsia="Calibri" w:hAnsi="Calibri"/>
                <w:b/>
                <w:bCs/>
                <w:color w:val="FFFFFF"/>
                <w:sz w:val="20"/>
                <w:szCs w:val="20"/>
              </w:rPr>
              <w:t xml:space="preserve">Domain</w:t>
            </w:r>
          </w:p>
        </w:tc>
        <w:tc>
          <w:tcPr>
            <w:tcW w:type="dxa" w:w="2000"/>
            <w:shd w:fill="002244" w:val="clear"/>
            <w:vAlign w:val="center"/>
          </w:tcPr>
          <w:p>
            <w:pPr>
              <w:spacing w:after="40"/>
            </w:pPr>
            <w:r>
              <w:rPr>
                <w:rFonts w:ascii="Calibri" w:cs="Calibri" w:eastAsia="Calibri" w:hAnsi="Calibri"/>
                <w:b/>
                <w:bCs/>
                <w:color w:val="FFFFFF"/>
                <w:sz w:val="20"/>
                <w:szCs w:val="20"/>
              </w:rPr>
              <w:t xml:space="preserve">Requirement</w:t>
            </w:r>
          </w:p>
        </w:tc>
        <w:tc>
          <w:tcPr>
            <w:tcW w:type="dxa" w:w="4200"/>
            <w:shd w:fill="002244" w:val="clear"/>
            <w:vAlign w:val="center"/>
          </w:tcPr>
          <w:p>
            <w:pPr>
              <w:spacing w:after="40"/>
            </w:pPr>
            <w:r>
              <w:rPr>
                <w:rFonts w:ascii="Calibri" w:cs="Calibri" w:eastAsia="Calibri" w:hAnsi="Calibri"/>
                <w:b/>
                <w:bCs/>
                <w:color w:val="FFFFFF"/>
                <w:sz w:val="20"/>
                <w:szCs w:val="20"/>
              </w:rPr>
              <w:t xml:space="preserve">Details</w:t>
            </w:r>
          </w:p>
        </w:tc>
        <w:tc>
          <w:tcPr>
            <w:tcW w:type="dxa" w:w="1400"/>
            <w:shd w:fill="002244" w:val="clear"/>
            <w:vAlign w:val="center"/>
          </w:tcPr>
          <w:p>
            <w:pPr>
              <w:spacing w:after="40"/>
            </w:pPr>
            <w:r>
              <w:rPr>
                <w:rFonts w:ascii="Calibri" w:cs="Calibri" w:eastAsia="Calibri" w:hAnsi="Calibri"/>
                <w:b/>
                <w:bCs/>
                <w:color w:val="FFFFFF"/>
                <w:sz w:val="20"/>
                <w:szCs w:val="20"/>
              </w:rPr>
              <w:t xml:space="preserve">Priority</w:t>
            </w:r>
          </w:p>
        </w:tc>
      </w:tr>
      <w:tr>
        <w:tc>
          <w:tcPr>
            <w:tcW w:type="dxa" w:w="2200"/>
            <w:vAlign w:val="center"/>
          </w:tcPr>
          <w:p>
            <w:pPr>
              <w:spacing w:after="120"/>
              <w:jc w:val="left"/>
            </w:pPr>
            <w:r>
              <w:rPr>
                <w:rFonts w:ascii="Calibri" w:cs="Calibri" w:eastAsia="Calibri" w:hAnsi="Calibri"/>
                <w:sz w:val="20"/>
                <w:szCs w:val="20"/>
              </w:rPr>
              <w:t xml:space="preserve">Payment Method Coverage</w:t>
            </w:r>
          </w:p>
        </w:tc>
        <w:tc>
          <w:tcPr>
            <w:tcW w:type="dxa" w:w="2000"/>
            <w:vAlign w:val="center"/>
          </w:tcPr>
          <w:p>
            <w:pPr>
              <w:spacing w:after="120"/>
              <w:jc w:val="left"/>
            </w:pPr>
            <w:r>
              <w:rPr>
                <w:rFonts w:ascii="Calibri" w:cs="Calibri" w:eastAsia="Calibri" w:hAnsi="Calibri"/>
                <w:sz w:val="20"/>
                <w:szCs w:val="20"/>
              </w:rPr>
              <w:t xml:space="preserve">Card schemes</w:t>
            </w:r>
          </w:p>
        </w:tc>
        <w:tc>
          <w:tcPr>
            <w:tcW w:type="dxa" w:w="4200"/>
            <w:vAlign w:val="center"/>
          </w:tcPr>
          <w:p>
            <w:pPr>
              <w:spacing w:after="120"/>
              <w:jc w:val="left"/>
            </w:pPr>
            <w:r>
              <w:rPr>
                <w:rFonts w:ascii="Calibri" w:cs="Calibri" w:eastAsia="Calibri" w:hAnsi="Calibri"/>
                <w:sz w:val="20"/>
                <w:szCs w:val="20"/>
              </w:rPr>
              <w:t xml:space="preserve">Visa, Mastercard, Amex, eftpos debit and credit card processing. Support for scheme tokenisation (Visa Token Service, MDES).</w:t>
            </w:r>
          </w:p>
        </w:tc>
        <w:tc>
          <w:tcPr>
            <w:tcW w:type="dxa" w:w="1400"/>
            <w:shd w:fill="E8F5E9" w:val="clear"/>
            <w:vAlign w:val="center"/>
          </w:tcPr>
          <w:p>
            <w:pPr>
              <w:spacing w:after="120"/>
              <w:jc w:val="left"/>
            </w:pPr>
            <w:r>
              <w:rPr>
                <w:rFonts w:ascii="Calibri" w:cs="Calibri" w:eastAsia="Calibri" w:hAnsi="Calibri"/>
                <w:sz w:val="20"/>
                <w:szCs w:val="20"/>
              </w:rPr>
              <w:t xml:space="preserve">Must</w:t>
            </w:r>
          </w:p>
        </w:tc>
      </w:tr>
      <w:tr>
        <w:tc>
          <w:tcPr>
            <w:tcW w:type="dxa" w:w="2200"/>
            <w:vAlign w:val="center"/>
          </w:tcPr>
          <w:p>
            <w:pPr>
              <w:spacing w:after="120"/>
              <w:jc w:val="left"/>
            </w:pPr>
            <w:r>
              <w:rPr>
                <w:rFonts w:ascii="Calibri" w:cs="Calibri" w:eastAsia="Calibri" w:hAnsi="Calibri"/>
                <w:sz w:val="20"/>
                <w:szCs w:val="20"/>
              </w:rPr>
              <w:t xml:space="preserve"/>
            </w:r>
          </w:p>
        </w:tc>
        <w:tc>
          <w:tcPr>
            <w:tcW w:type="dxa" w:w="2000"/>
            <w:vAlign w:val="center"/>
          </w:tcPr>
          <w:p>
            <w:pPr>
              <w:spacing w:after="120"/>
              <w:jc w:val="left"/>
            </w:pPr>
            <w:r>
              <w:rPr>
                <w:rFonts w:ascii="Calibri" w:cs="Calibri" w:eastAsia="Calibri" w:hAnsi="Calibri"/>
                <w:sz w:val="20"/>
                <w:szCs w:val="20"/>
              </w:rPr>
              <w:t xml:space="preserve">Digital wallets</w:t>
            </w:r>
          </w:p>
        </w:tc>
        <w:tc>
          <w:tcPr>
            <w:tcW w:type="dxa" w:w="4200"/>
            <w:vAlign w:val="center"/>
          </w:tcPr>
          <w:p>
            <w:pPr>
              <w:spacing w:after="120"/>
              <w:jc w:val="left"/>
            </w:pPr>
            <w:r>
              <w:rPr>
                <w:rFonts w:ascii="Calibri" w:cs="Calibri" w:eastAsia="Calibri" w:hAnsi="Calibri"/>
                <w:sz w:val="20"/>
                <w:szCs w:val="20"/>
              </w:rPr>
              <w:t xml:space="preserve">Apple Pay, Google Pay, Samsung Pay, Click to Pay. Native NFC passthrough for mobile-initiated payments.</w:t>
            </w:r>
          </w:p>
        </w:tc>
        <w:tc>
          <w:tcPr>
            <w:tcW w:type="dxa" w:w="1400"/>
            <w:shd w:fill="E8F5E9" w:val="clear"/>
            <w:vAlign w:val="center"/>
          </w:tcPr>
          <w:p>
            <w:pPr>
              <w:spacing w:after="120"/>
              <w:jc w:val="left"/>
            </w:pPr>
            <w:r>
              <w:rPr>
                <w:rFonts w:ascii="Calibri" w:cs="Calibri" w:eastAsia="Calibri" w:hAnsi="Calibri"/>
                <w:sz w:val="20"/>
                <w:szCs w:val="20"/>
              </w:rPr>
              <w:t xml:space="preserve">Must</w:t>
            </w:r>
          </w:p>
        </w:tc>
      </w:tr>
      <w:tr>
        <w:tc>
          <w:tcPr>
            <w:tcW w:type="dxa" w:w="2200"/>
            <w:vAlign w:val="center"/>
          </w:tcPr>
          <w:p>
            <w:pPr>
              <w:spacing w:after="120"/>
              <w:jc w:val="left"/>
            </w:pPr>
            <w:r>
              <w:rPr>
                <w:rFonts w:ascii="Calibri" w:cs="Calibri" w:eastAsia="Calibri" w:hAnsi="Calibri"/>
                <w:sz w:val="20"/>
                <w:szCs w:val="20"/>
              </w:rPr>
              <w:t xml:space="preserve"/>
            </w:r>
          </w:p>
        </w:tc>
        <w:tc>
          <w:tcPr>
            <w:tcW w:type="dxa" w:w="2000"/>
            <w:vAlign w:val="center"/>
          </w:tcPr>
          <w:p>
            <w:pPr>
              <w:spacing w:after="120"/>
              <w:jc w:val="left"/>
            </w:pPr>
            <w:r>
              <w:rPr>
                <w:rFonts w:ascii="Calibri" w:cs="Calibri" w:eastAsia="Calibri" w:hAnsi="Calibri"/>
                <w:sz w:val="20"/>
                <w:szCs w:val="20"/>
              </w:rPr>
              <w:t xml:space="preserve">PayPal / BNPL</w:t>
            </w:r>
          </w:p>
        </w:tc>
        <w:tc>
          <w:tcPr>
            <w:tcW w:type="dxa" w:w="4200"/>
            <w:vAlign w:val="center"/>
          </w:tcPr>
          <w:p>
            <w:pPr>
              <w:spacing w:after="120"/>
              <w:jc w:val="left"/>
            </w:pPr>
            <w:r>
              <w:rPr>
                <w:rFonts w:ascii="Calibri" w:cs="Calibri" w:eastAsia="Calibri" w:hAnsi="Calibri"/>
                <w:sz w:val="20"/>
                <w:szCs w:val="20"/>
              </w:rPr>
              <w:t xml:space="preserve">PayPal, PayPal Pay in 4. Evaluate Afterpay/Zip for instalment premiums where commercially viable.</w:t>
            </w:r>
          </w:p>
        </w:tc>
        <w:tc>
          <w:tcPr>
            <w:tcW w:type="dxa" w:w="1400"/>
            <w:shd w:fill="E3F2FD" w:val="clear"/>
            <w:vAlign w:val="center"/>
          </w:tcPr>
          <w:p>
            <w:pPr>
              <w:spacing w:after="120"/>
              <w:jc w:val="left"/>
            </w:pPr>
            <w:r>
              <w:rPr>
                <w:rFonts w:ascii="Calibri" w:cs="Calibri" w:eastAsia="Calibri" w:hAnsi="Calibri"/>
                <w:sz w:val="20"/>
                <w:szCs w:val="20"/>
              </w:rPr>
              <w:t xml:space="preserve">Should</w:t>
            </w:r>
          </w:p>
        </w:tc>
      </w:tr>
      <w:tr>
        <w:tc>
          <w:tcPr>
            <w:tcW w:type="dxa" w:w="2200"/>
            <w:vAlign w:val="center"/>
          </w:tcPr>
          <w:p>
            <w:pPr>
              <w:spacing w:after="120"/>
              <w:jc w:val="left"/>
            </w:pPr>
            <w:r>
              <w:rPr>
                <w:rFonts w:ascii="Calibri" w:cs="Calibri" w:eastAsia="Calibri" w:hAnsi="Calibri"/>
                <w:sz w:val="20"/>
                <w:szCs w:val="20"/>
              </w:rPr>
              <w:t xml:space="preserve"/>
            </w:r>
          </w:p>
        </w:tc>
        <w:tc>
          <w:tcPr>
            <w:tcW w:type="dxa" w:w="2000"/>
            <w:vAlign w:val="center"/>
          </w:tcPr>
          <w:p>
            <w:pPr>
              <w:spacing w:after="120"/>
              <w:jc w:val="left"/>
            </w:pPr>
            <w:r>
              <w:rPr>
                <w:rFonts w:ascii="Calibri" w:cs="Calibri" w:eastAsia="Calibri" w:hAnsi="Calibri"/>
                <w:sz w:val="20"/>
                <w:szCs w:val="20"/>
              </w:rPr>
              <w:t xml:space="preserve">UPI</w:t>
            </w:r>
          </w:p>
        </w:tc>
        <w:tc>
          <w:tcPr>
            <w:tcW w:type="dxa" w:w="4200"/>
            <w:vAlign w:val="center"/>
          </w:tcPr>
          <w:p>
            <w:pPr>
              <w:spacing w:after="120"/>
              <w:jc w:val="left"/>
            </w:pPr>
            <w:r>
              <w:rPr>
                <w:rFonts w:ascii="Calibri" w:cs="Calibri" w:eastAsia="Calibri" w:hAnsi="Calibri"/>
                <w:sz w:val="20"/>
                <w:szCs w:val="20"/>
              </w:rPr>
              <w:t xml:space="preserve">UPI acceptance if cross-border or diaspora premium collection is in scope.</w:t>
            </w:r>
          </w:p>
        </w:tc>
        <w:tc>
          <w:tcPr>
            <w:tcW w:type="dxa" w:w="1400"/>
            <w:vAlign w:val="center"/>
          </w:tcPr>
          <w:p>
            <w:pPr>
              <w:spacing w:after="120"/>
              <w:jc w:val="left"/>
            </w:pPr>
            <w:r>
              <w:rPr>
                <w:rFonts w:ascii="Calibri" w:cs="Calibri" w:eastAsia="Calibri" w:hAnsi="Calibri"/>
                <w:sz w:val="20"/>
                <w:szCs w:val="20"/>
              </w:rPr>
              <w:t xml:space="preserve">Could</w:t>
            </w:r>
          </w:p>
        </w:tc>
      </w:tr>
      <w:tr>
        <w:tc>
          <w:tcPr>
            <w:tcW w:type="dxa" w:w="2200"/>
            <w:shd w:fill="E8F5E9" w:val="clear"/>
            <w:vAlign w:val="center"/>
          </w:tcPr>
          <w:p>
            <w:pPr>
              <w:spacing w:after="120"/>
              <w:jc w:val="left"/>
            </w:pPr>
            <w:r>
              <w:rPr>
                <w:rFonts w:ascii="Calibri" w:cs="Calibri" w:eastAsia="Calibri" w:hAnsi="Calibri"/>
                <w:sz w:val="20"/>
                <w:szCs w:val="20"/>
              </w:rPr>
              <w:t xml:space="preserve">Account-to-Account &amp; NPP</w:t>
            </w:r>
          </w:p>
        </w:tc>
        <w:tc>
          <w:tcPr>
            <w:tcW w:type="dxa" w:w="2000"/>
            <w:vAlign w:val="center"/>
          </w:tcPr>
          <w:p>
            <w:pPr>
              <w:spacing w:after="120"/>
              <w:jc w:val="left"/>
            </w:pPr>
            <w:r>
              <w:rPr>
                <w:rFonts w:ascii="Calibri" w:cs="Calibri" w:eastAsia="Calibri" w:hAnsi="Calibri"/>
                <w:sz w:val="20"/>
                <w:szCs w:val="20"/>
              </w:rPr>
              <w:t xml:space="preserve">PayTo mandates</w:t>
            </w:r>
          </w:p>
        </w:tc>
        <w:tc>
          <w:tcPr>
            <w:tcW w:type="dxa" w:w="4200"/>
            <w:vAlign w:val="center"/>
          </w:tcPr>
          <w:p>
            <w:pPr>
              <w:spacing w:after="120"/>
              <w:jc w:val="left"/>
            </w:pPr>
            <w:r>
              <w:rPr>
                <w:rFonts w:ascii="Calibri" w:cs="Calibri" w:eastAsia="Calibri" w:hAnsi="Calibri"/>
                <w:sz w:val="20"/>
                <w:szCs w:val="20"/>
              </w:rPr>
              <w:t xml:space="preserve">Initiate and manage PayTo agreements for recurring premium collection. Real-time mandate creation, amendment, pause, and cancellation. Customer-controlled authorisation via their banking app.</w:t>
            </w:r>
          </w:p>
        </w:tc>
        <w:tc>
          <w:tcPr>
            <w:tcW w:type="dxa" w:w="1400"/>
            <w:shd w:fill="E8F5E9" w:val="clear"/>
            <w:vAlign w:val="center"/>
          </w:tcPr>
          <w:p>
            <w:pPr>
              <w:spacing w:after="120"/>
              <w:jc w:val="left"/>
            </w:pPr>
            <w:r>
              <w:rPr>
                <w:rFonts w:ascii="Calibri" w:cs="Calibri" w:eastAsia="Calibri" w:hAnsi="Calibri"/>
                <w:sz w:val="20"/>
                <w:szCs w:val="20"/>
              </w:rPr>
              <w:t xml:space="preserve">Must</w:t>
            </w:r>
          </w:p>
        </w:tc>
      </w:tr>
      <w:tr>
        <w:tc>
          <w:tcPr>
            <w:tcW w:type="dxa" w:w="2200"/>
            <w:vAlign w:val="center"/>
          </w:tcPr>
          <w:p>
            <w:pPr>
              <w:spacing w:after="120"/>
              <w:jc w:val="left"/>
            </w:pPr>
            <w:r>
              <w:rPr>
                <w:rFonts w:ascii="Calibri" w:cs="Calibri" w:eastAsia="Calibri" w:hAnsi="Calibri"/>
                <w:sz w:val="20"/>
                <w:szCs w:val="20"/>
              </w:rPr>
              <w:t xml:space="preserve"/>
            </w:r>
          </w:p>
        </w:tc>
        <w:tc>
          <w:tcPr>
            <w:tcW w:type="dxa" w:w="2000"/>
            <w:vAlign w:val="center"/>
          </w:tcPr>
          <w:p>
            <w:pPr>
              <w:spacing w:after="120"/>
              <w:jc w:val="left"/>
            </w:pPr>
            <w:r>
              <w:rPr>
                <w:rFonts w:ascii="Calibri" w:cs="Calibri" w:eastAsia="Calibri" w:hAnsi="Calibri"/>
                <w:sz w:val="20"/>
                <w:szCs w:val="20"/>
              </w:rPr>
              <w:t xml:space="preserve">BECS direct debit</w:t>
            </w:r>
          </w:p>
        </w:tc>
        <w:tc>
          <w:tcPr>
            <w:tcW w:type="dxa" w:w="4200"/>
            <w:vAlign w:val="center"/>
          </w:tcPr>
          <w:p>
            <w:pPr>
              <w:spacing w:after="120"/>
              <w:jc w:val="left"/>
            </w:pPr>
            <w:r>
              <w:rPr>
                <w:rFonts w:ascii="Calibri" w:cs="Calibri" w:eastAsia="Calibri" w:hAnsi="Calibri"/>
                <w:sz w:val="20"/>
                <w:szCs w:val="20"/>
              </w:rPr>
              <w:t xml:space="preserve">Continue BECS support with clear migration path to PayTo. Batch and single-item processing.</w:t>
            </w:r>
          </w:p>
        </w:tc>
        <w:tc>
          <w:tcPr>
            <w:tcW w:type="dxa" w:w="1400"/>
            <w:shd w:fill="E8F5E9" w:val="clear"/>
            <w:vAlign w:val="center"/>
          </w:tcPr>
          <w:p>
            <w:pPr>
              <w:spacing w:after="120"/>
              <w:jc w:val="left"/>
            </w:pPr>
            <w:r>
              <w:rPr>
                <w:rFonts w:ascii="Calibri" w:cs="Calibri" w:eastAsia="Calibri" w:hAnsi="Calibri"/>
                <w:sz w:val="20"/>
                <w:szCs w:val="20"/>
              </w:rPr>
              <w:t xml:space="preserve">Must</w:t>
            </w:r>
          </w:p>
        </w:tc>
      </w:tr>
      <w:tr>
        <w:tc>
          <w:tcPr>
            <w:tcW w:type="dxa" w:w="2200"/>
            <w:vAlign w:val="center"/>
          </w:tcPr>
          <w:p>
            <w:pPr>
              <w:spacing w:after="120"/>
              <w:jc w:val="left"/>
            </w:pPr>
            <w:r>
              <w:rPr>
                <w:rFonts w:ascii="Calibri" w:cs="Calibri" w:eastAsia="Calibri" w:hAnsi="Calibri"/>
                <w:sz w:val="20"/>
                <w:szCs w:val="20"/>
              </w:rPr>
              <w:t xml:space="preserve"/>
            </w:r>
          </w:p>
        </w:tc>
        <w:tc>
          <w:tcPr>
            <w:tcW w:type="dxa" w:w="2000"/>
            <w:vAlign w:val="center"/>
          </w:tcPr>
          <w:p>
            <w:pPr>
              <w:spacing w:after="120"/>
              <w:jc w:val="left"/>
            </w:pPr>
            <w:r>
              <w:rPr>
                <w:rFonts w:ascii="Calibri" w:cs="Calibri" w:eastAsia="Calibri" w:hAnsi="Calibri"/>
                <w:sz w:val="20"/>
                <w:szCs w:val="20"/>
              </w:rPr>
              <w:t xml:space="preserve">NPP payments (Osko)</w:t>
            </w:r>
          </w:p>
        </w:tc>
        <w:tc>
          <w:tcPr>
            <w:tcW w:type="dxa" w:w="4200"/>
            <w:vAlign w:val="center"/>
          </w:tcPr>
          <w:p>
            <w:pPr>
              <w:spacing w:after="120"/>
              <w:jc w:val="left"/>
            </w:pPr>
            <w:r>
              <w:rPr>
                <w:rFonts w:ascii="Calibri" w:cs="Calibri" w:eastAsia="Calibri" w:hAnsi="Calibri"/>
                <w:sz w:val="20"/>
                <w:szCs w:val="20"/>
              </w:rPr>
              <w:t xml:space="preserve">Real-time credit transfers via NPP for claims payouts, refunds, and broker payments. PayID resolution for payee verification.</w:t>
            </w:r>
          </w:p>
        </w:tc>
        <w:tc>
          <w:tcPr>
            <w:tcW w:type="dxa" w:w="1400"/>
            <w:shd w:fill="E8F5E9" w:val="clear"/>
            <w:vAlign w:val="center"/>
          </w:tcPr>
          <w:p>
            <w:pPr>
              <w:spacing w:after="120"/>
              <w:jc w:val="left"/>
            </w:pPr>
            <w:r>
              <w:rPr>
                <w:rFonts w:ascii="Calibri" w:cs="Calibri" w:eastAsia="Calibri" w:hAnsi="Calibri"/>
                <w:sz w:val="20"/>
                <w:szCs w:val="20"/>
              </w:rPr>
              <w:t xml:space="preserve">Must</w:t>
            </w:r>
          </w:p>
        </w:tc>
      </w:tr>
      <w:tr>
        <w:tc>
          <w:tcPr>
            <w:tcW w:type="dxa" w:w="2200"/>
            <w:vAlign w:val="center"/>
          </w:tcPr>
          <w:p>
            <w:pPr>
              <w:spacing w:after="120"/>
              <w:jc w:val="left"/>
            </w:pPr>
            <w:r>
              <w:rPr>
                <w:rFonts w:ascii="Calibri" w:cs="Calibri" w:eastAsia="Calibri" w:hAnsi="Calibri"/>
                <w:sz w:val="20"/>
                <w:szCs w:val="20"/>
              </w:rPr>
              <w:t xml:space="preserve"/>
            </w:r>
          </w:p>
        </w:tc>
        <w:tc>
          <w:tcPr>
            <w:tcW w:type="dxa" w:w="2000"/>
            <w:vAlign w:val="center"/>
          </w:tcPr>
          <w:p>
            <w:pPr>
              <w:spacing w:after="120"/>
              <w:jc w:val="left"/>
            </w:pPr>
            <w:r>
              <w:rPr>
                <w:rFonts w:ascii="Calibri" w:cs="Calibri" w:eastAsia="Calibri" w:hAnsi="Calibri"/>
                <w:sz w:val="20"/>
                <w:szCs w:val="20"/>
              </w:rPr>
              <w:t xml:space="preserve">BPAY</w:t>
            </w:r>
          </w:p>
        </w:tc>
        <w:tc>
          <w:tcPr>
            <w:tcW w:type="dxa" w:w="4200"/>
            <w:vAlign w:val="center"/>
          </w:tcPr>
          <w:p>
            <w:pPr>
              <w:spacing w:after="120"/>
              <w:jc w:val="left"/>
            </w:pPr>
            <w:r>
              <w:rPr>
                <w:rFonts w:ascii="Calibri" w:cs="Calibri" w:eastAsia="Calibri" w:hAnsi="Calibri"/>
                <w:sz w:val="20"/>
                <w:szCs w:val="20"/>
              </w:rPr>
              <w:t xml:space="preserve">BPAY biller capability for premium payments where applicable.</w:t>
            </w:r>
          </w:p>
        </w:tc>
        <w:tc>
          <w:tcPr>
            <w:tcW w:type="dxa" w:w="1400"/>
            <w:shd w:fill="E3F2FD" w:val="clear"/>
            <w:vAlign w:val="center"/>
          </w:tcPr>
          <w:p>
            <w:pPr>
              <w:spacing w:after="120"/>
              <w:jc w:val="left"/>
            </w:pPr>
            <w:r>
              <w:rPr>
                <w:rFonts w:ascii="Calibri" w:cs="Calibri" w:eastAsia="Calibri" w:hAnsi="Calibri"/>
                <w:sz w:val="20"/>
                <w:szCs w:val="20"/>
              </w:rPr>
              <w:t xml:space="preserve">Should</w:t>
            </w:r>
          </w:p>
        </w:tc>
      </w:tr>
      <w:tr>
        <w:tc>
          <w:tcPr>
            <w:tcW w:type="dxa" w:w="2200"/>
            <w:shd w:fill="FFF3E0" w:val="clear"/>
            <w:vAlign w:val="center"/>
          </w:tcPr>
          <w:p>
            <w:pPr>
              <w:spacing w:after="120"/>
              <w:jc w:val="left"/>
            </w:pPr>
            <w:r>
              <w:rPr>
                <w:rFonts w:ascii="Calibri" w:cs="Calibri" w:eastAsia="Calibri" w:hAnsi="Calibri"/>
                <w:sz w:val="20"/>
                <w:szCs w:val="20"/>
              </w:rPr>
              <w:t xml:space="preserve">Routing &amp; Orchestration</w:t>
            </w:r>
          </w:p>
        </w:tc>
        <w:tc>
          <w:tcPr>
            <w:tcW w:type="dxa" w:w="2000"/>
            <w:vAlign w:val="center"/>
          </w:tcPr>
          <w:p>
            <w:pPr>
              <w:spacing w:after="120"/>
              <w:jc w:val="left"/>
            </w:pPr>
            <w:r>
              <w:rPr>
                <w:rFonts w:ascii="Calibri" w:cs="Calibri" w:eastAsia="Calibri" w:hAnsi="Calibri"/>
                <w:sz w:val="20"/>
                <w:szCs w:val="20"/>
              </w:rPr>
              <w:t xml:space="preserve">Least-cost routing</w:t>
            </w:r>
          </w:p>
        </w:tc>
        <w:tc>
          <w:tcPr>
            <w:tcW w:type="dxa" w:w="4200"/>
            <w:vAlign w:val="center"/>
          </w:tcPr>
          <w:p>
            <w:pPr>
              <w:spacing w:after="120"/>
              <w:jc w:val="left"/>
            </w:pPr>
            <w:r>
              <w:rPr>
                <w:rFonts w:ascii="Calibri" w:cs="Calibri" w:eastAsia="Calibri" w:hAnsi="Calibri"/>
                <w:sz w:val="20"/>
                <w:szCs w:val="20"/>
              </w:rPr>
              <w:t xml:space="preserve">Automatic routing of dual-network debit cards (eftpos vs Visa/MC debit) to lowest-cost network. Must comply with RBA LCR mandate.</w:t>
            </w:r>
          </w:p>
        </w:tc>
        <w:tc>
          <w:tcPr>
            <w:tcW w:type="dxa" w:w="1400"/>
            <w:shd w:fill="E8F5E9" w:val="clear"/>
            <w:vAlign w:val="center"/>
          </w:tcPr>
          <w:p>
            <w:pPr>
              <w:spacing w:after="120"/>
              <w:jc w:val="left"/>
            </w:pPr>
            <w:r>
              <w:rPr>
                <w:rFonts w:ascii="Calibri" w:cs="Calibri" w:eastAsia="Calibri" w:hAnsi="Calibri"/>
                <w:sz w:val="20"/>
                <w:szCs w:val="20"/>
              </w:rPr>
              <w:t xml:space="preserve">Must</w:t>
            </w:r>
          </w:p>
        </w:tc>
      </w:tr>
      <w:tr>
        <w:tc>
          <w:tcPr>
            <w:tcW w:type="dxa" w:w="2200"/>
            <w:vAlign w:val="center"/>
          </w:tcPr>
          <w:p>
            <w:pPr>
              <w:spacing w:after="120"/>
              <w:jc w:val="left"/>
            </w:pPr>
            <w:r>
              <w:rPr>
                <w:rFonts w:ascii="Calibri" w:cs="Calibri" w:eastAsia="Calibri" w:hAnsi="Calibri"/>
                <w:sz w:val="20"/>
                <w:szCs w:val="20"/>
              </w:rPr>
              <w:t xml:space="preserve"/>
            </w:r>
          </w:p>
        </w:tc>
        <w:tc>
          <w:tcPr>
            <w:tcW w:type="dxa" w:w="2000"/>
            <w:vAlign w:val="center"/>
          </w:tcPr>
          <w:p>
            <w:pPr>
              <w:spacing w:after="120"/>
              <w:jc w:val="left"/>
            </w:pPr>
            <w:r>
              <w:rPr>
                <w:rFonts w:ascii="Calibri" w:cs="Calibri" w:eastAsia="Calibri" w:hAnsi="Calibri"/>
                <w:sz w:val="20"/>
                <w:szCs w:val="20"/>
              </w:rPr>
              <w:t xml:space="preserve">Smart routing</w:t>
            </w:r>
          </w:p>
        </w:tc>
        <w:tc>
          <w:tcPr>
            <w:tcW w:type="dxa" w:w="4200"/>
            <w:vAlign w:val="center"/>
          </w:tcPr>
          <w:p>
            <w:pPr>
              <w:spacing w:after="120"/>
              <w:jc w:val="left"/>
            </w:pPr>
            <w:r>
              <w:rPr>
                <w:rFonts w:ascii="Calibri" w:cs="Calibri" w:eastAsia="Calibri" w:hAnsi="Calibri"/>
                <w:sz w:val="20"/>
                <w:szCs w:val="20"/>
              </w:rPr>
              <w:t xml:space="preserve">BIN-level intelligent routing to optimise approval rates, cost, and scheme preference. Rules engine and/or ML-based decisioning.</w:t>
            </w:r>
          </w:p>
        </w:tc>
        <w:tc>
          <w:tcPr>
            <w:tcW w:type="dxa" w:w="1400"/>
            <w:shd w:fill="E8F5E9" w:val="clear"/>
            <w:vAlign w:val="center"/>
          </w:tcPr>
          <w:p>
            <w:pPr>
              <w:spacing w:after="120"/>
              <w:jc w:val="left"/>
            </w:pPr>
            <w:r>
              <w:rPr>
                <w:rFonts w:ascii="Calibri" w:cs="Calibri" w:eastAsia="Calibri" w:hAnsi="Calibri"/>
                <w:sz w:val="20"/>
                <w:szCs w:val="20"/>
              </w:rPr>
              <w:t xml:space="preserve">Must</w:t>
            </w:r>
          </w:p>
        </w:tc>
      </w:tr>
      <w:tr>
        <w:tc>
          <w:tcPr>
            <w:tcW w:type="dxa" w:w="2200"/>
            <w:vAlign w:val="center"/>
          </w:tcPr>
          <w:p>
            <w:pPr>
              <w:spacing w:after="120"/>
              <w:jc w:val="left"/>
            </w:pPr>
            <w:r>
              <w:rPr>
                <w:rFonts w:ascii="Calibri" w:cs="Calibri" w:eastAsia="Calibri" w:hAnsi="Calibri"/>
                <w:sz w:val="20"/>
                <w:szCs w:val="20"/>
              </w:rPr>
              <w:t xml:space="preserve"/>
            </w:r>
          </w:p>
        </w:tc>
        <w:tc>
          <w:tcPr>
            <w:tcW w:type="dxa" w:w="2000"/>
            <w:vAlign w:val="center"/>
          </w:tcPr>
          <w:p>
            <w:pPr>
              <w:spacing w:after="120"/>
              <w:jc w:val="left"/>
            </w:pPr>
            <w:r>
              <w:rPr>
                <w:rFonts w:ascii="Calibri" w:cs="Calibri" w:eastAsia="Calibri" w:hAnsi="Calibri"/>
                <w:sz w:val="20"/>
                <w:szCs w:val="20"/>
              </w:rPr>
              <w:t xml:space="preserve">Multi-acquirer failover</w:t>
            </w:r>
          </w:p>
        </w:tc>
        <w:tc>
          <w:tcPr>
            <w:tcW w:type="dxa" w:w="4200"/>
            <w:vAlign w:val="center"/>
          </w:tcPr>
          <w:p>
            <w:pPr>
              <w:spacing w:after="120"/>
              <w:jc w:val="left"/>
            </w:pPr>
            <w:r>
              <w:rPr>
                <w:rFonts w:ascii="Calibri" w:cs="Calibri" w:eastAsia="Calibri" w:hAnsi="Calibri"/>
                <w:sz w:val="20"/>
                <w:szCs w:val="20"/>
              </w:rPr>
              <w:t xml:space="preserve">Automatic failover to secondary acquirer if primary is unavailable. Configurable retry logic with idempotency.</w:t>
            </w:r>
          </w:p>
        </w:tc>
        <w:tc>
          <w:tcPr>
            <w:tcW w:type="dxa" w:w="1400"/>
            <w:shd w:fill="E8F5E9" w:val="clear"/>
            <w:vAlign w:val="center"/>
          </w:tcPr>
          <w:p>
            <w:pPr>
              <w:spacing w:after="120"/>
              <w:jc w:val="left"/>
            </w:pPr>
            <w:r>
              <w:rPr>
                <w:rFonts w:ascii="Calibri" w:cs="Calibri" w:eastAsia="Calibri" w:hAnsi="Calibri"/>
                <w:sz w:val="20"/>
                <w:szCs w:val="20"/>
              </w:rPr>
              <w:t xml:space="preserve">Must</w:t>
            </w:r>
          </w:p>
        </w:tc>
      </w:tr>
      <w:tr>
        <w:tc>
          <w:tcPr>
            <w:tcW w:type="dxa" w:w="2200"/>
            <w:vAlign w:val="center"/>
          </w:tcPr>
          <w:p>
            <w:pPr>
              <w:spacing w:after="120"/>
              <w:jc w:val="left"/>
            </w:pPr>
            <w:r>
              <w:rPr>
                <w:rFonts w:ascii="Calibri" w:cs="Calibri" w:eastAsia="Calibri" w:hAnsi="Calibri"/>
                <w:sz w:val="20"/>
                <w:szCs w:val="20"/>
              </w:rPr>
              <w:t xml:space="preserve"/>
            </w:r>
          </w:p>
        </w:tc>
        <w:tc>
          <w:tcPr>
            <w:tcW w:type="dxa" w:w="2000"/>
            <w:vAlign w:val="center"/>
          </w:tcPr>
          <w:p>
            <w:pPr>
              <w:spacing w:after="120"/>
              <w:jc w:val="left"/>
            </w:pPr>
            <w:r>
              <w:rPr>
                <w:rFonts w:ascii="Calibri" w:cs="Calibri" w:eastAsia="Calibri" w:hAnsi="Calibri"/>
                <w:sz w:val="20"/>
                <w:szCs w:val="20"/>
              </w:rPr>
              <w:t xml:space="preserve">Payment orchestration layer</w:t>
            </w:r>
          </w:p>
        </w:tc>
        <w:tc>
          <w:tcPr>
            <w:tcW w:type="dxa" w:w="4200"/>
            <w:vAlign w:val="center"/>
          </w:tcPr>
          <w:p>
            <w:pPr>
              <w:spacing w:after="120"/>
              <w:jc w:val="left"/>
            </w:pPr>
            <w:r>
              <w:rPr>
                <w:rFonts w:ascii="Calibri" w:cs="Calibri" w:eastAsia="Calibri" w:hAnsi="Calibri"/>
                <w:sz w:val="20"/>
                <w:szCs w:val="20"/>
              </w:rPr>
              <w:t xml:space="preserve">Vendor to describe whether they provide native orchestration or support third-party orchestrators (Gr4vy, Spreedly). Provider-agnostic token vault capability.</w:t>
            </w:r>
          </w:p>
        </w:tc>
        <w:tc>
          <w:tcPr>
            <w:tcW w:type="dxa" w:w="1400"/>
            <w:shd w:fill="E3F2FD" w:val="clear"/>
            <w:vAlign w:val="center"/>
          </w:tcPr>
          <w:p>
            <w:pPr>
              <w:spacing w:after="120"/>
              <w:jc w:val="left"/>
            </w:pPr>
            <w:r>
              <w:rPr>
                <w:rFonts w:ascii="Calibri" w:cs="Calibri" w:eastAsia="Calibri" w:hAnsi="Calibri"/>
                <w:sz w:val="20"/>
                <w:szCs w:val="20"/>
              </w:rPr>
              <w:t xml:space="preserve">Should</w:t>
            </w:r>
          </w:p>
        </w:tc>
      </w:tr>
      <w:tr>
        <w:tc>
          <w:tcPr>
            <w:tcW w:type="dxa" w:w="2200"/>
            <w:shd w:fill="FFF3E0" w:val="clear"/>
            <w:vAlign w:val="center"/>
          </w:tcPr>
          <w:p>
            <w:pPr>
              <w:spacing w:after="120"/>
              <w:jc w:val="left"/>
            </w:pPr>
            <w:r>
              <w:rPr>
                <w:rFonts w:ascii="Calibri" w:cs="Calibri" w:eastAsia="Calibri" w:hAnsi="Calibri"/>
                <w:sz w:val="20"/>
                <w:szCs w:val="20"/>
              </w:rPr>
              <w:t xml:space="preserve">Tokenisation</w:t>
            </w:r>
          </w:p>
        </w:tc>
        <w:tc>
          <w:tcPr>
            <w:tcW w:type="dxa" w:w="2000"/>
            <w:vAlign w:val="center"/>
          </w:tcPr>
          <w:p>
            <w:pPr>
              <w:spacing w:after="120"/>
              <w:jc w:val="left"/>
            </w:pPr>
            <w:r>
              <w:rPr>
                <w:rFonts w:ascii="Calibri" w:cs="Calibri" w:eastAsia="Calibri" w:hAnsi="Calibri"/>
                <w:sz w:val="20"/>
                <w:szCs w:val="20"/>
              </w:rPr>
              <w:t xml:space="preserve">Gateway tokens</w:t>
            </w:r>
          </w:p>
        </w:tc>
        <w:tc>
          <w:tcPr>
            <w:tcW w:type="dxa" w:w="4200"/>
            <w:vAlign w:val="center"/>
          </w:tcPr>
          <w:p>
            <w:pPr>
              <w:spacing w:after="120"/>
              <w:jc w:val="left"/>
            </w:pPr>
            <w:r>
              <w:rPr>
                <w:rFonts w:ascii="Calibri" w:cs="Calibri" w:eastAsia="Calibri" w:hAnsi="Calibri"/>
                <w:sz w:val="20"/>
                <w:szCs w:val="20"/>
              </w:rPr>
              <w:t xml:space="preserve">PCI-compliant token vault replacing PANs post-authorisation. Tokens must be portable across acquirers or vendor must support token migration on exit.</w:t>
            </w:r>
          </w:p>
        </w:tc>
        <w:tc>
          <w:tcPr>
            <w:tcW w:type="dxa" w:w="1400"/>
            <w:shd w:fill="E8F5E9" w:val="clear"/>
            <w:vAlign w:val="center"/>
          </w:tcPr>
          <w:p>
            <w:pPr>
              <w:spacing w:after="120"/>
              <w:jc w:val="left"/>
            </w:pPr>
            <w:r>
              <w:rPr>
                <w:rFonts w:ascii="Calibri" w:cs="Calibri" w:eastAsia="Calibri" w:hAnsi="Calibri"/>
                <w:sz w:val="20"/>
                <w:szCs w:val="20"/>
              </w:rPr>
              <w:t xml:space="preserve">Must</w:t>
            </w:r>
          </w:p>
        </w:tc>
      </w:tr>
      <w:tr>
        <w:tc>
          <w:tcPr>
            <w:tcW w:type="dxa" w:w="2200"/>
            <w:vAlign w:val="center"/>
          </w:tcPr>
          <w:p>
            <w:pPr>
              <w:spacing w:after="120"/>
              <w:jc w:val="left"/>
            </w:pPr>
            <w:r>
              <w:rPr>
                <w:rFonts w:ascii="Calibri" w:cs="Calibri" w:eastAsia="Calibri" w:hAnsi="Calibri"/>
                <w:sz w:val="20"/>
                <w:szCs w:val="20"/>
              </w:rPr>
              <w:t xml:space="preserve"/>
            </w:r>
          </w:p>
        </w:tc>
        <w:tc>
          <w:tcPr>
            <w:tcW w:type="dxa" w:w="2000"/>
            <w:vAlign w:val="center"/>
          </w:tcPr>
          <w:p>
            <w:pPr>
              <w:spacing w:after="120"/>
              <w:jc w:val="left"/>
            </w:pPr>
            <w:r>
              <w:rPr>
                <w:rFonts w:ascii="Calibri" w:cs="Calibri" w:eastAsia="Calibri" w:hAnsi="Calibri"/>
                <w:sz w:val="20"/>
                <w:szCs w:val="20"/>
              </w:rPr>
              <w:t xml:space="preserve">Network tokens</w:t>
            </w:r>
          </w:p>
        </w:tc>
        <w:tc>
          <w:tcPr>
            <w:tcW w:type="dxa" w:w="4200"/>
            <w:vAlign w:val="center"/>
          </w:tcPr>
          <w:p>
            <w:pPr>
              <w:spacing w:after="120"/>
              <w:jc w:val="left"/>
            </w:pPr>
            <w:r>
              <w:rPr>
                <w:rFonts w:ascii="Calibri" w:cs="Calibri" w:eastAsia="Calibri" w:hAnsi="Calibri"/>
                <w:sz w:val="20"/>
                <w:szCs w:val="20"/>
              </w:rPr>
              <w:t xml:space="preserve">Visa Token Service (VTS) and Mastercard Digital Enablement Service (MDES) provisioning. Automatic token lifecycle management (updates for reissued/expired cards).</w:t>
            </w:r>
          </w:p>
        </w:tc>
        <w:tc>
          <w:tcPr>
            <w:tcW w:type="dxa" w:w="1400"/>
            <w:shd w:fill="E8F5E9" w:val="clear"/>
            <w:vAlign w:val="center"/>
          </w:tcPr>
          <w:p>
            <w:pPr>
              <w:spacing w:after="120"/>
              <w:jc w:val="left"/>
            </w:pPr>
            <w:r>
              <w:rPr>
                <w:rFonts w:ascii="Calibri" w:cs="Calibri" w:eastAsia="Calibri" w:hAnsi="Calibri"/>
                <w:sz w:val="20"/>
                <w:szCs w:val="20"/>
              </w:rPr>
              <w:t xml:space="preserve">Must</w:t>
            </w:r>
          </w:p>
        </w:tc>
      </w:tr>
      <w:tr>
        <w:tc>
          <w:tcPr>
            <w:tcW w:type="dxa" w:w="2200"/>
            <w:vAlign w:val="center"/>
          </w:tcPr>
          <w:p>
            <w:pPr>
              <w:spacing w:after="120"/>
              <w:jc w:val="left"/>
            </w:pPr>
            <w:r>
              <w:rPr>
                <w:rFonts w:ascii="Calibri" w:cs="Calibri" w:eastAsia="Calibri" w:hAnsi="Calibri"/>
                <w:sz w:val="20"/>
                <w:szCs w:val="20"/>
              </w:rPr>
              <w:t xml:space="preserve"/>
            </w:r>
          </w:p>
        </w:tc>
        <w:tc>
          <w:tcPr>
            <w:tcW w:type="dxa" w:w="2000"/>
            <w:vAlign w:val="center"/>
          </w:tcPr>
          <w:p>
            <w:pPr>
              <w:spacing w:after="120"/>
              <w:jc w:val="left"/>
            </w:pPr>
            <w:r>
              <w:rPr>
                <w:rFonts w:ascii="Calibri" w:cs="Calibri" w:eastAsia="Calibri" w:hAnsi="Calibri"/>
                <w:sz w:val="20"/>
                <w:szCs w:val="20"/>
              </w:rPr>
              <w:t xml:space="preserve">Token portability</w:t>
            </w:r>
          </w:p>
        </w:tc>
        <w:tc>
          <w:tcPr>
            <w:tcW w:type="dxa" w:w="4200"/>
            <w:vAlign w:val="center"/>
          </w:tcPr>
          <w:p>
            <w:pPr>
              <w:spacing w:after="120"/>
              <w:jc w:val="left"/>
            </w:pPr>
            <w:r>
              <w:rPr>
                <w:rFonts w:ascii="Calibri" w:cs="Calibri" w:eastAsia="Calibri" w:hAnsi="Calibri"/>
                <w:sz w:val="20"/>
                <w:szCs w:val="20"/>
              </w:rPr>
              <w:t xml:space="preserve">On contract exit, describe process and timeline for migrating tokens to a successor provider. No vendor lock-in on stored credentials.</w:t>
            </w:r>
          </w:p>
        </w:tc>
        <w:tc>
          <w:tcPr>
            <w:tcW w:type="dxa" w:w="1400"/>
            <w:shd w:fill="E8F5E9" w:val="clear"/>
            <w:vAlign w:val="center"/>
          </w:tcPr>
          <w:p>
            <w:pPr>
              <w:spacing w:after="120"/>
              <w:jc w:val="left"/>
            </w:pPr>
            <w:r>
              <w:rPr>
                <w:rFonts w:ascii="Calibri" w:cs="Calibri" w:eastAsia="Calibri" w:hAnsi="Calibri"/>
                <w:sz w:val="20"/>
                <w:szCs w:val="20"/>
              </w:rPr>
              <w:t xml:space="preserve">Must</w:t>
            </w:r>
          </w:p>
        </w:tc>
      </w:tr>
      <w:tr>
        <w:tc>
          <w:tcPr>
            <w:tcW w:type="dxa" w:w="2200"/>
            <w:shd w:fill="FFF3E0" w:val="clear"/>
            <w:vAlign w:val="center"/>
          </w:tcPr>
          <w:p>
            <w:pPr>
              <w:spacing w:after="120"/>
              <w:jc w:val="left"/>
            </w:pPr>
            <w:r>
              <w:rPr>
                <w:rFonts w:ascii="Calibri" w:cs="Calibri" w:eastAsia="Calibri" w:hAnsi="Calibri"/>
                <w:sz w:val="20"/>
                <w:szCs w:val="20"/>
              </w:rPr>
              <w:t xml:space="preserve">Hosted Payment Experience</w:t>
            </w:r>
          </w:p>
        </w:tc>
        <w:tc>
          <w:tcPr>
            <w:tcW w:type="dxa" w:w="2000"/>
            <w:vAlign w:val="center"/>
          </w:tcPr>
          <w:p>
            <w:pPr>
              <w:spacing w:after="120"/>
              <w:jc w:val="left"/>
            </w:pPr>
            <w:r>
              <w:rPr>
                <w:rFonts w:ascii="Calibri" w:cs="Calibri" w:eastAsia="Calibri" w:hAnsi="Calibri"/>
                <w:sz w:val="20"/>
                <w:szCs w:val="20"/>
              </w:rPr>
              <w:t xml:space="preserve">Hosted fields / iframe</w:t>
            </w:r>
          </w:p>
        </w:tc>
        <w:tc>
          <w:tcPr>
            <w:tcW w:type="dxa" w:w="4200"/>
            <w:vAlign w:val="center"/>
          </w:tcPr>
          <w:p>
            <w:pPr>
              <w:spacing w:after="120"/>
              <w:jc w:val="left"/>
            </w:pPr>
            <w:r>
              <w:rPr>
                <w:rFonts w:ascii="Calibri" w:cs="Calibri" w:eastAsia="Calibri" w:hAnsi="Calibri"/>
                <w:sz w:val="20"/>
                <w:szCs w:val="20"/>
              </w:rPr>
              <w:t xml:space="preserve">SAQ-A compliant hosted payment fields or full-page redirect. QBE branding and white-label capability. Must support PCI DSS 4.0 Req 6.4.3 script integrity checks.</w:t>
            </w:r>
          </w:p>
        </w:tc>
        <w:tc>
          <w:tcPr>
            <w:tcW w:type="dxa" w:w="1400"/>
            <w:shd w:fill="E8F5E9" w:val="clear"/>
            <w:vAlign w:val="center"/>
          </w:tcPr>
          <w:p>
            <w:pPr>
              <w:spacing w:after="120"/>
              <w:jc w:val="left"/>
            </w:pPr>
            <w:r>
              <w:rPr>
                <w:rFonts w:ascii="Calibri" w:cs="Calibri" w:eastAsia="Calibri" w:hAnsi="Calibri"/>
                <w:sz w:val="20"/>
                <w:szCs w:val="20"/>
              </w:rPr>
              <w:t xml:space="preserve">Must</w:t>
            </w:r>
          </w:p>
        </w:tc>
      </w:tr>
      <w:tr>
        <w:tc>
          <w:tcPr>
            <w:tcW w:type="dxa" w:w="2200"/>
            <w:vAlign w:val="center"/>
          </w:tcPr>
          <w:p>
            <w:pPr>
              <w:spacing w:after="120"/>
              <w:jc w:val="left"/>
            </w:pPr>
            <w:r>
              <w:rPr>
                <w:rFonts w:ascii="Calibri" w:cs="Calibri" w:eastAsia="Calibri" w:hAnsi="Calibri"/>
                <w:sz w:val="20"/>
                <w:szCs w:val="20"/>
              </w:rPr>
              <w:t xml:space="preserve"/>
            </w:r>
          </w:p>
        </w:tc>
        <w:tc>
          <w:tcPr>
            <w:tcW w:type="dxa" w:w="2000"/>
            <w:vAlign w:val="center"/>
          </w:tcPr>
          <w:p>
            <w:pPr>
              <w:spacing w:after="120"/>
              <w:jc w:val="left"/>
            </w:pPr>
            <w:r>
              <w:rPr>
                <w:rFonts w:ascii="Calibri" w:cs="Calibri" w:eastAsia="Calibri" w:hAnsi="Calibri"/>
                <w:sz w:val="20"/>
                <w:szCs w:val="20"/>
              </w:rPr>
              <w:t xml:space="preserve">Mobile optimisation</w:t>
            </w:r>
          </w:p>
        </w:tc>
        <w:tc>
          <w:tcPr>
            <w:tcW w:type="dxa" w:w="4200"/>
            <w:vAlign w:val="center"/>
          </w:tcPr>
          <w:p>
            <w:pPr>
              <w:spacing w:after="120"/>
              <w:jc w:val="left"/>
            </w:pPr>
            <w:r>
              <w:rPr>
                <w:rFonts w:ascii="Calibri" w:cs="Calibri" w:eastAsia="Calibri" w:hAnsi="Calibri"/>
                <w:sz w:val="20"/>
                <w:szCs w:val="20"/>
              </w:rPr>
              <w:t xml:space="preserve">Responsive design, native mobile SDK (iOS/Android), biometric authentication passthrough (FaceID/TouchID).</w:t>
            </w:r>
          </w:p>
        </w:tc>
        <w:tc>
          <w:tcPr>
            <w:tcW w:type="dxa" w:w="1400"/>
            <w:shd w:fill="E8F5E9" w:val="clear"/>
            <w:vAlign w:val="center"/>
          </w:tcPr>
          <w:p>
            <w:pPr>
              <w:spacing w:after="120"/>
              <w:jc w:val="left"/>
            </w:pPr>
            <w:r>
              <w:rPr>
                <w:rFonts w:ascii="Calibri" w:cs="Calibri" w:eastAsia="Calibri" w:hAnsi="Calibri"/>
                <w:sz w:val="20"/>
                <w:szCs w:val="20"/>
              </w:rPr>
              <w:t xml:space="preserve">Must</w:t>
            </w:r>
          </w:p>
        </w:tc>
      </w:tr>
      <w:tr>
        <w:tc>
          <w:tcPr>
            <w:tcW w:type="dxa" w:w="2200"/>
            <w:vAlign w:val="center"/>
          </w:tcPr>
          <w:p>
            <w:pPr>
              <w:spacing w:after="120"/>
              <w:jc w:val="left"/>
            </w:pPr>
            <w:r>
              <w:rPr>
                <w:rFonts w:ascii="Calibri" w:cs="Calibri" w:eastAsia="Calibri" w:hAnsi="Calibri"/>
                <w:sz w:val="20"/>
                <w:szCs w:val="20"/>
              </w:rPr>
              <w:t xml:space="preserve"/>
            </w:r>
          </w:p>
        </w:tc>
        <w:tc>
          <w:tcPr>
            <w:tcW w:type="dxa" w:w="2000"/>
            <w:vAlign w:val="center"/>
          </w:tcPr>
          <w:p>
            <w:pPr>
              <w:spacing w:after="120"/>
              <w:jc w:val="left"/>
            </w:pPr>
            <w:r>
              <w:rPr>
                <w:rFonts w:ascii="Calibri" w:cs="Calibri" w:eastAsia="Calibri" w:hAnsi="Calibri"/>
                <w:sz w:val="20"/>
                <w:szCs w:val="20"/>
              </w:rPr>
              <w:t xml:space="preserve">WCAG 2.2 AA</w:t>
            </w:r>
          </w:p>
        </w:tc>
        <w:tc>
          <w:tcPr>
            <w:tcW w:type="dxa" w:w="4200"/>
            <w:vAlign w:val="center"/>
          </w:tcPr>
          <w:p>
            <w:pPr>
              <w:spacing w:after="120"/>
              <w:jc w:val="left"/>
            </w:pPr>
            <w:r>
              <w:rPr>
                <w:rFonts w:ascii="Calibri" w:cs="Calibri" w:eastAsia="Calibri" w:hAnsi="Calibri"/>
                <w:sz w:val="20"/>
                <w:szCs w:val="20"/>
              </w:rPr>
              <w:t xml:space="preserve">Hosted payment pages must meet WCAG 2.2 Level AA accessibility standards. Provide a VPAT or accessibility conformance report.</w:t>
            </w:r>
          </w:p>
        </w:tc>
        <w:tc>
          <w:tcPr>
            <w:tcW w:type="dxa" w:w="1400"/>
            <w:shd w:fill="E8F5E9" w:val="clear"/>
            <w:vAlign w:val="center"/>
          </w:tcPr>
          <w:p>
            <w:pPr>
              <w:spacing w:after="120"/>
              <w:jc w:val="left"/>
            </w:pPr>
            <w:r>
              <w:rPr>
                <w:rFonts w:ascii="Calibri" w:cs="Calibri" w:eastAsia="Calibri" w:hAnsi="Calibri"/>
                <w:sz w:val="20"/>
                <w:szCs w:val="20"/>
              </w:rPr>
              <w:t xml:space="preserve">Must</w:t>
            </w:r>
          </w:p>
        </w:tc>
      </w:tr>
      <w:tr>
        <w:tc>
          <w:tcPr>
            <w:tcW w:type="dxa" w:w="2200"/>
            <w:vAlign w:val="center"/>
          </w:tcPr>
          <w:p>
            <w:pPr>
              <w:spacing w:after="120"/>
              <w:jc w:val="left"/>
            </w:pPr>
            <w:r>
              <w:rPr>
                <w:rFonts w:ascii="Calibri" w:cs="Calibri" w:eastAsia="Calibri" w:hAnsi="Calibri"/>
                <w:sz w:val="20"/>
                <w:szCs w:val="20"/>
              </w:rPr>
              <w:t xml:space="preserve"/>
            </w:r>
          </w:p>
        </w:tc>
        <w:tc>
          <w:tcPr>
            <w:tcW w:type="dxa" w:w="2000"/>
            <w:vAlign w:val="center"/>
          </w:tcPr>
          <w:p>
            <w:pPr>
              <w:spacing w:after="120"/>
              <w:jc w:val="left"/>
            </w:pPr>
            <w:r>
              <w:rPr>
                <w:rFonts w:ascii="Calibri" w:cs="Calibri" w:eastAsia="Calibri" w:hAnsi="Calibri"/>
                <w:sz w:val="20"/>
                <w:szCs w:val="20"/>
              </w:rPr>
              <w:t xml:space="preserve">IVR payments</w:t>
            </w:r>
          </w:p>
        </w:tc>
        <w:tc>
          <w:tcPr>
            <w:tcW w:type="dxa" w:w="4200"/>
            <w:vAlign w:val="center"/>
          </w:tcPr>
          <w:p>
            <w:pPr>
              <w:spacing w:after="120"/>
              <w:jc w:val="left"/>
            </w:pPr>
            <w:r>
              <w:rPr>
                <w:rFonts w:ascii="Calibri" w:cs="Calibri" w:eastAsia="Calibri" w:hAnsi="Calibri"/>
                <w:sz w:val="20"/>
                <w:szCs w:val="20"/>
              </w:rPr>
              <w:t xml:space="preserve">DTMF/voice-based card capture for call-centre premium payments. PCI scope isolation for the contact centre environment.</w:t>
            </w:r>
          </w:p>
        </w:tc>
        <w:tc>
          <w:tcPr>
            <w:tcW w:type="dxa" w:w="1400"/>
            <w:shd w:fill="E3F2FD" w:val="clear"/>
            <w:vAlign w:val="center"/>
          </w:tcPr>
          <w:p>
            <w:pPr>
              <w:spacing w:after="120"/>
              <w:jc w:val="left"/>
            </w:pPr>
            <w:r>
              <w:rPr>
                <w:rFonts w:ascii="Calibri" w:cs="Calibri" w:eastAsia="Calibri" w:hAnsi="Calibri"/>
                <w:sz w:val="20"/>
                <w:szCs w:val="20"/>
              </w:rPr>
              <w:t xml:space="preserve">Should</w:t>
            </w:r>
          </w:p>
        </w:tc>
      </w:tr>
      <w:tr>
        <w:tc>
          <w:tcPr>
            <w:tcW w:type="dxa" w:w="2200"/>
            <w:shd w:fill="FFF3E0" w:val="clear"/>
            <w:vAlign w:val="center"/>
          </w:tcPr>
          <w:p>
            <w:pPr>
              <w:spacing w:after="120"/>
              <w:jc w:val="left"/>
            </w:pPr>
            <w:r>
              <w:rPr>
                <w:rFonts w:ascii="Calibri" w:cs="Calibri" w:eastAsia="Calibri" w:hAnsi="Calibri"/>
                <w:sz w:val="20"/>
                <w:szCs w:val="20"/>
              </w:rPr>
              <w:t xml:space="preserve">Recurring &amp; Subscription</w:t>
            </w:r>
          </w:p>
        </w:tc>
        <w:tc>
          <w:tcPr>
            <w:tcW w:type="dxa" w:w="2000"/>
            <w:vAlign w:val="center"/>
          </w:tcPr>
          <w:p>
            <w:pPr>
              <w:spacing w:after="120"/>
              <w:jc w:val="left"/>
            </w:pPr>
            <w:r>
              <w:rPr>
                <w:rFonts w:ascii="Calibri" w:cs="Calibri" w:eastAsia="Calibri" w:hAnsi="Calibri"/>
                <w:sz w:val="20"/>
                <w:szCs w:val="20"/>
              </w:rPr>
              <w:t xml:space="preserve">Recurring billing engine</w:t>
            </w:r>
          </w:p>
        </w:tc>
        <w:tc>
          <w:tcPr>
            <w:tcW w:type="dxa" w:w="4200"/>
            <w:vAlign w:val="center"/>
          </w:tcPr>
          <w:p>
            <w:pPr>
              <w:spacing w:after="120"/>
              <w:jc w:val="left"/>
            </w:pPr>
            <w:r>
              <w:rPr>
                <w:rFonts w:ascii="Calibri" w:cs="Calibri" w:eastAsia="Calibri" w:hAnsi="Calibri"/>
                <w:sz w:val="20"/>
                <w:szCs w:val="20"/>
              </w:rPr>
              <w:t xml:space="preserve">Flexible schedules (monthly, quarterly, annual). Automatic retry on soft declines with configurable rules. Card account updater integration.</w:t>
            </w:r>
          </w:p>
        </w:tc>
        <w:tc>
          <w:tcPr>
            <w:tcW w:type="dxa" w:w="1400"/>
            <w:shd w:fill="E8F5E9" w:val="clear"/>
            <w:vAlign w:val="center"/>
          </w:tcPr>
          <w:p>
            <w:pPr>
              <w:spacing w:after="120"/>
              <w:jc w:val="left"/>
            </w:pPr>
            <w:r>
              <w:rPr>
                <w:rFonts w:ascii="Calibri" w:cs="Calibri" w:eastAsia="Calibri" w:hAnsi="Calibri"/>
                <w:sz w:val="20"/>
                <w:szCs w:val="20"/>
              </w:rPr>
              <w:t xml:space="preserve">Must</w:t>
            </w:r>
          </w:p>
        </w:tc>
      </w:tr>
      <w:tr>
        <w:tc>
          <w:tcPr>
            <w:tcW w:type="dxa" w:w="2200"/>
            <w:vAlign w:val="center"/>
          </w:tcPr>
          <w:p>
            <w:pPr>
              <w:spacing w:after="120"/>
              <w:jc w:val="left"/>
            </w:pPr>
            <w:r>
              <w:rPr>
                <w:rFonts w:ascii="Calibri" w:cs="Calibri" w:eastAsia="Calibri" w:hAnsi="Calibri"/>
                <w:sz w:val="20"/>
                <w:szCs w:val="20"/>
              </w:rPr>
              <w:t xml:space="preserve"/>
            </w:r>
          </w:p>
        </w:tc>
        <w:tc>
          <w:tcPr>
            <w:tcW w:type="dxa" w:w="2000"/>
            <w:vAlign w:val="center"/>
          </w:tcPr>
          <w:p>
            <w:pPr>
              <w:spacing w:after="120"/>
              <w:jc w:val="left"/>
            </w:pPr>
            <w:r>
              <w:rPr>
                <w:rFonts w:ascii="Calibri" w:cs="Calibri" w:eastAsia="Calibri" w:hAnsi="Calibri"/>
                <w:sz w:val="20"/>
                <w:szCs w:val="20"/>
              </w:rPr>
              <w:t xml:space="preserve">Dunning management</w:t>
            </w:r>
          </w:p>
        </w:tc>
        <w:tc>
          <w:tcPr>
            <w:tcW w:type="dxa" w:w="4200"/>
            <w:vAlign w:val="center"/>
          </w:tcPr>
          <w:p>
            <w:pPr>
              <w:spacing w:after="120"/>
              <w:jc w:val="left"/>
            </w:pPr>
            <w:r>
              <w:rPr>
                <w:rFonts w:ascii="Calibri" w:cs="Calibri" w:eastAsia="Calibri" w:hAnsi="Calibri"/>
                <w:sz w:val="20"/>
                <w:szCs w:val="20"/>
              </w:rPr>
              <w:t xml:space="preserve">Automated communication and retry workflows for failed recurring payments. Integration with QBE's customer correspondence platform.</w:t>
            </w:r>
          </w:p>
        </w:tc>
        <w:tc>
          <w:tcPr>
            <w:tcW w:type="dxa" w:w="1400"/>
            <w:shd w:fill="E3F2FD" w:val="clear"/>
            <w:vAlign w:val="center"/>
          </w:tcPr>
          <w:p>
            <w:pPr>
              <w:spacing w:after="120"/>
              <w:jc w:val="left"/>
            </w:pPr>
            <w:r>
              <w:rPr>
                <w:rFonts w:ascii="Calibri" w:cs="Calibri" w:eastAsia="Calibri" w:hAnsi="Calibri"/>
                <w:sz w:val="20"/>
                <w:szCs w:val="20"/>
              </w:rPr>
              <w:t xml:space="preserve">Should</w:t>
            </w:r>
          </w:p>
        </w:tc>
      </w:tr>
      <w:tr>
        <w:tc>
          <w:tcPr>
            <w:tcW w:type="dxa" w:w="2200"/>
            <w:vAlign w:val="center"/>
          </w:tcPr>
          <w:p>
            <w:pPr>
              <w:spacing w:after="120"/>
              <w:jc w:val="left"/>
            </w:pPr>
            <w:r>
              <w:rPr>
                <w:rFonts w:ascii="Calibri" w:cs="Calibri" w:eastAsia="Calibri" w:hAnsi="Calibri"/>
                <w:sz w:val="20"/>
                <w:szCs w:val="20"/>
              </w:rPr>
              <w:t xml:space="preserve"/>
            </w:r>
          </w:p>
        </w:tc>
        <w:tc>
          <w:tcPr>
            <w:tcW w:type="dxa" w:w="2000"/>
            <w:vAlign w:val="center"/>
          </w:tcPr>
          <w:p>
            <w:pPr>
              <w:spacing w:after="120"/>
              <w:jc w:val="left"/>
            </w:pPr>
            <w:r>
              <w:rPr>
                <w:rFonts w:ascii="Calibri" w:cs="Calibri" w:eastAsia="Calibri" w:hAnsi="Calibri"/>
                <w:sz w:val="20"/>
                <w:szCs w:val="20"/>
              </w:rPr>
              <w:t xml:space="preserve">Batch file processing</w:t>
            </w:r>
          </w:p>
        </w:tc>
        <w:tc>
          <w:tcPr>
            <w:tcW w:type="dxa" w:w="4200"/>
            <w:vAlign w:val="center"/>
          </w:tcPr>
          <w:p>
            <w:pPr>
              <w:spacing w:after="120"/>
              <w:jc w:val="left"/>
            </w:pPr>
            <w:r>
              <w:rPr>
                <w:rFonts w:ascii="Calibri" w:cs="Calibri" w:eastAsia="Calibri" w:hAnsi="Calibri"/>
                <w:sz w:val="20"/>
                <w:szCs w:val="20"/>
              </w:rPr>
              <w:t xml:space="preserve">Manual BCP file uploads (CSV/ISO 20022). Batch processing with detailed result reporting.</w:t>
            </w:r>
          </w:p>
        </w:tc>
        <w:tc>
          <w:tcPr>
            <w:tcW w:type="dxa" w:w="1400"/>
            <w:shd w:fill="E8F5E9" w:val="clear"/>
            <w:vAlign w:val="center"/>
          </w:tcPr>
          <w:p>
            <w:pPr>
              <w:spacing w:after="120"/>
              <w:jc w:val="left"/>
            </w:pPr>
            <w:r>
              <w:rPr>
                <w:rFonts w:ascii="Calibri" w:cs="Calibri" w:eastAsia="Calibri" w:hAnsi="Calibri"/>
                <w:sz w:val="20"/>
                <w:szCs w:val="20"/>
              </w:rPr>
              <w:t xml:space="preserve">Must</w:t>
            </w:r>
          </w:p>
        </w:tc>
      </w:tr>
      <w:tr>
        <w:tc>
          <w:tcPr>
            <w:tcW w:type="dxa" w:w="2200"/>
            <w:shd w:fill="E8F5E9" w:val="clear"/>
            <w:vAlign w:val="center"/>
          </w:tcPr>
          <w:p>
            <w:pPr>
              <w:spacing w:after="120"/>
              <w:jc w:val="left"/>
            </w:pPr>
            <w:r>
              <w:rPr>
                <w:rFonts w:ascii="Calibri" w:cs="Calibri" w:eastAsia="Calibri" w:hAnsi="Calibri"/>
                <w:sz w:val="20"/>
                <w:szCs w:val="20"/>
              </w:rPr>
              <w:t xml:space="preserve">Claims Disbursement (NEW)</w:t>
            </w:r>
          </w:p>
        </w:tc>
        <w:tc>
          <w:tcPr>
            <w:tcW w:type="dxa" w:w="2000"/>
            <w:vAlign w:val="center"/>
          </w:tcPr>
          <w:p>
            <w:pPr>
              <w:spacing w:after="120"/>
              <w:jc w:val="left"/>
            </w:pPr>
            <w:r>
              <w:rPr>
                <w:rFonts w:ascii="Calibri" w:cs="Calibri" w:eastAsia="Calibri" w:hAnsi="Calibri"/>
                <w:sz w:val="20"/>
                <w:szCs w:val="20"/>
              </w:rPr>
              <w:t xml:space="preserve">Push-to-card</w:t>
            </w:r>
          </w:p>
        </w:tc>
        <w:tc>
          <w:tcPr>
            <w:tcW w:type="dxa" w:w="4200"/>
            <w:vAlign w:val="center"/>
          </w:tcPr>
          <w:p>
            <w:pPr>
              <w:spacing w:after="120"/>
              <w:jc w:val="left"/>
            </w:pPr>
            <w:r>
              <w:rPr>
                <w:rFonts w:ascii="Calibri" w:cs="Calibri" w:eastAsia="Calibri" w:hAnsi="Calibri"/>
                <w:sz w:val="20"/>
                <w:szCs w:val="20"/>
              </w:rPr>
              <w:t xml:space="preserve">Visa Direct / Mastercard Send for real-time claims payments to policyholder cards.</w:t>
            </w:r>
          </w:p>
        </w:tc>
        <w:tc>
          <w:tcPr>
            <w:tcW w:type="dxa" w:w="1400"/>
            <w:shd w:fill="E3F2FD" w:val="clear"/>
            <w:vAlign w:val="center"/>
          </w:tcPr>
          <w:p>
            <w:pPr>
              <w:spacing w:after="120"/>
              <w:jc w:val="left"/>
            </w:pPr>
            <w:r>
              <w:rPr>
                <w:rFonts w:ascii="Calibri" w:cs="Calibri" w:eastAsia="Calibri" w:hAnsi="Calibri"/>
                <w:sz w:val="20"/>
                <w:szCs w:val="20"/>
              </w:rPr>
              <w:t xml:space="preserve">Should</w:t>
            </w:r>
          </w:p>
        </w:tc>
      </w:tr>
      <w:tr>
        <w:tc>
          <w:tcPr>
            <w:tcW w:type="dxa" w:w="2200"/>
            <w:vAlign w:val="center"/>
          </w:tcPr>
          <w:p>
            <w:pPr>
              <w:spacing w:after="120"/>
              <w:jc w:val="left"/>
            </w:pPr>
            <w:r>
              <w:rPr>
                <w:rFonts w:ascii="Calibri" w:cs="Calibri" w:eastAsia="Calibri" w:hAnsi="Calibri"/>
                <w:sz w:val="20"/>
                <w:szCs w:val="20"/>
              </w:rPr>
              <w:t xml:space="preserve"/>
            </w:r>
          </w:p>
        </w:tc>
        <w:tc>
          <w:tcPr>
            <w:tcW w:type="dxa" w:w="2000"/>
            <w:vAlign w:val="center"/>
          </w:tcPr>
          <w:p>
            <w:pPr>
              <w:spacing w:after="120"/>
              <w:jc w:val="left"/>
            </w:pPr>
            <w:r>
              <w:rPr>
                <w:rFonts w:ascii="Calibri" w:cs="Calibri" w:eastAsia="Calibri" w:hAnsi="Calibri"/>
                <w:sz w:val="20"/>
                <w:szCs w:val="20"/>
              </w:rPr>
              <w:t xml:space="preserve">NPP payouts</w:t>
            </w:r>
          </w:p>
        </w:tc>
        <w:tc>
          <w:tcPr>
            <w:tcW w:type="dxa" w:w="4200"/>
            <w:vAlign w:val="center"/>
          </w:tcPr>
          <w:p>
            <w:pPr>
              <w:spacing w:after="120"/>
              <w:jc w:val="left"/>
            </w:pPr>
            <w:r>
              <w:rPr>
                <w:rFonts w:ascii="Calibri" w:cs="Calibri" w:eastAsia="Calibri" w:hAnsi="Calibri"/>
                <w:sz w:val="20"/>
                <w:szCs w:val="20"/>
              </w:rPr>
              <w:t xml:space="preserve">Real-time claims and refund payments via NPP with PayID resolution and Confirmation of Payee.</w:t>
            </w:r>
          </w:p>
        </w:tc>
        <w:tc>
          <w:tcPr>
            <w:tcW w:type="dxa" w:w="1400"/>
            <w:shd w:fill="E3F2FD" w:val="clear"/>
            <w:vAlign w:val="center"/>
          </w:tcPr>
          <w:p>
            <w:pPr>
              <w:spacing w:after="120"/>
              <w:jc w:val="left"/>
            </w:pPr>
            <w:r>
              <w:rPr>
                <w:rFonts w:ascii="Calibri" w:cs="Calibri" w:eastAsia="Calibri" w:hAnsi="Calibri"/>
                <w:sz w:val="20"/>
                <w:szCs w:val="20"/>
              </w:rPr>
              <w:t xml:space="preserve">Should</w:t>
            </w:r>
          </w:p>
        </w:tc>
      </w:tr>
      <w:tr>
        <w:tc>
          <w:tcPr>
            <w:tcW w:type="dxa" w:w="2200"/>
            <w:vAlign w:val="center"/>
          </w:tcPr>
          <w:p>
            <w:pPr>
              <w:spacing w:after="120"/>
              <w:jc w:val="left"/>
            </w:pPr>
            <w:r>
              <w:rPr>
                <w:rFonts w:ascii="Calibri" w:cs="Calibri" w:eastAsia="Calibri" w:hAnsi="Calibri"/>
                <w:sz w:val="20"/>
                <w:szCs w:val="20"/>
              </w:rPr>
              <w:t xml:space="preserve"/>
            </w:r>
          </w:p>
        </w:tc>
        <w:tc>
          <w:tcPr>
            <w:tcW w:type="dxa" w:w="2000"/>
            <w:vAlign w:val="center"/>
          </w:tcPr>
          <w:p>
            <w:pPr>
              <w:spacing w:after="120"/>
              <w:jc w:val="left"/>
            </w:pPr>
            <w:r>
              <w:rPr>
                <w:rFonts w:ascii="Calibri" w:cs="Calibri" w:eastAsia="Calibri" w:hAnsi="Calibri"/>
                <w:sz w:val="20"/>
                <w:szCs w:val="20"/>
              </w:rPr>
              <w:t xml:space="preserve">Payee choice</w:t>
            </w:r>
          </w:p>
        </w:tc>
        <w:tc>
          <w:tcPr>
            <w:tcW w:type="dxa" w:w="4200"/>
            <w:vAlign w:val="center"/>
          </w:tcPr>
          <w:p>
            <w:pPr>
              <w:spacing w:after="120"/>
              <w:jc w:val="left"/>
            </w:pPr>
            <w:r>
              <w:rPr>
                <w:rFonts w:ascii="Calibri" w:cs="Calibri" w:eastAsia="Calibri" w:hAnsi="Calibri"/>
                <w:sz w:val="20"/>
                <w:szCs w:val="20"/>
              </w:rPr>
              <w:t xml:space="preserve">Allow claimants to select preferred disbursement method (bank transfer, card, digital wallet).</w:t>
            </w:r>
          </w:p>
        </w:tc>
        <w:tc>
          <w:tcPr>
            <w:tcW w:type="dxa" w:w="1400"/>
            <w:vAlign w:val="center"/>
          </w:tcPr>
          <w:p>
            <w:pPr>
              <w:spacing w:after="120"/>
              <w:jc w:val="left"/>
            </w:pPr>
            <w:r>
              <w:rPr>
                <w:rFonts w:ascii="Calibri" w:cs="Calibri" w:eastAsia="Calibri" w:hAnsi="Calibri"/>
                <w:sz w:val="20"/>
                <w:szCs w:val="20"/>
              </w:rPr>
              <w:t xml:space="preserve">Could</w:t>
            </w:r>
          </w:p>
        </w:tc>
      </w:tr>
      <w:tr>
        <w:tc>
          <w:tcPr>
            <w:tcW w:type="dxa" w:w="2200"/>
            <w:shd w:fill="FFF3E0" w:val="clear"/>
            <w:vAlign w:val="center"/>
          </w:tcPr>
          <w:p>
            <w:pPr>
              <w:spacing w:after="120"/>
              <w:jc w:val="left"/>
            </w:pPr>
            <w:r>
              <w:rPr>
                <w:rFonts w:ascii="Calibri" w:cs="Calibri" w:eastAsia="Calibri" w:hAnsi="Calibri"/>
                <w:sz w:val="20"/>
                <w:szCs w:val="20"/>
              </w:rPr>
              <w:t xml:space="preserve">Fraud &amp; Security</w:t>
            </w:r>
          </w:p>
        </w:tc>
        <w:tc>
          <w:tcPr>
            <w:tcW w:type="dxa" w:w="2000"/>
            <w:vAlign w:val="center"/>
          </w:tcPr>
          <w:p>
            <w:pPr>
              <w:spacing w:after="120"/>
              <w:jc w:val="left"/>
            </w:pPr>
            <w:r>
              <w:rPr>
                <w:rFonts w:ascii="Calibri" w:cs="Calibri" w:eastAsia="Calibri" w:hAnsi="Calibri"/>
                <w:sz w:val="20"/>
                <w:szCs w:val="20"/>
              </w:rPr>
              <w:t xml:space="preserve">3D Secure 2.x</w:t>
            </w:r>
          </w:p>
        </w:tc>
        <w:tc>
          <w:tcPr>
            <w:tcW w:type="dxa" w:w="4200"/>
            <w:vAlign w:val="center"/>
          </w:tcPr>
          <w:p>
            <w:pPr>
              <w:spacing w:after="120"/>
              <w:jc w:val="left"/>
            </w:pPr>
            <w:r>
              <w:rPr>
                <w:rFonts w:ascii="Calibri" w:cs="Calibri" w:eastAsia="Calibri" w:hAnsi="Calibri"/>
                <w:sz w:val="20"/>
                <w:szCs w:val="20"/>
              </w:rPr>
              <w:t xml:space="preserve">3DS2 with frictionless flow support. Exemption management (TRA, low-value, recurring). SCA compliance for any future regulatory requirement.</w:t>
            </w:r>
          </w:p>
        </w:tc>
        <w:tc>
          <w:tcPr>
            <w:tcW w:type="dxa" w:w="1400"/>
            <w:shd w:fill="E8F5E9" w:val="clear"/>
            <w:vAlign w:val="center"/>
          </w:tcPr>
          <w:p>
            <w:pPr>
              <w:spacing w:after="120"/>
              <w:jc w:val="left"/>
            </w:pPr>
            <w:r>
              <w:rPr>
                <w:rFonts w:ascii="Calibri" w:cs="Calibri" w:eastAsia="Calibri" w:hAnsi="Calibri"/>
                <w:sz w:val="20"/>
                <w:szCs w:val="20"/>
              </w:rPr>
              <w:t xml:space="preserve">Must</w:t>
            </w:r>
          </w:p>
        </w:tc>
      </w:tr>
      <w:tr>
        <w:tc>
          <w:tcPr>
            <w:tcW w:type="dxa" w:w="2200"/>
            <w:vAlign w:val="center"/>
          </w:tcPr>
          <w:p>
            <w:pPr>
              <w:spacing w:after="120"/>
              <w:jc w:val="left"/>
            </w:pPr>
            <w:r>
              <w:rPr>
                <w:rFonts w:ascii="Calibri" w:cs="Calibri" w:eastAsia="Calibri" w:hAnsi="Calibri"/>
                <w:sz w:val="20"/>
                <w:szCs w:val="20"/>
              </w:rPr>
              <w:t xml:space="preserve"/>
            </w:r>
          </w:p>
        </w:tc>
        <w:tc>
          <w:tcPr>
            <w:tcW w:type="dxa" w:w="2000"/>
            <w:vAlign w:val="center"/>
          </w:tcPr>
          <w:p>
            <w:pPr>
              <w:spacing w:after="120"/>
              <w:jc w:val="left"/>
            </w:pPr>
            <w:r>
              <w:rPr>
                <w:rFonts w:ascii="Calibri" w:cs="Calibri" w:eastAsia="Calibri" w:hAnsi="Calibri"/>
                <w:sz w:val="20"/>
                <w:szCs w:val="20"/>
              </w:rPr>
              <w:t xml:space="preserve">ML fraud detection</w:t>
            </w:r>
          </w:p>
        </w:tc>
        <w:tc>
          <w:tcPr>
            <w:tcW w:type="dxa" w:w="4200"/>
            <w:vAlign w:val="center"/>
          </w:tcPr>
          <w:p>
            <w:pPr>
              <w:spacing w:after="120"/>
              <w:jc w:val="left"/>
            </w:pPr>
            <w:r>
              <w:rPr>
                <w:rFonts w:ascii="Calibri" w:cs="Calibri" w:eastAsia="Calibri" w:hAnsi="Calibri"/>
                <w:sz w:val="20"/>
                <w:szCs w:val="20"/>
              </w:rPr>
              <w:t xml:space="preserve">Adaptive machine learning fraud models. Configurable rules engine alongside ML scoring. Real-time transaction risk scoring with accept/decline/review actions.</w:t>
            </w:r>
          </w:p>
        </w:tc>
        <w:tc>
          <w:tcPr>
            <w:tcW w:type="dxa" w:w="1400"/>
            <w:shd w:fill="E8F5E9" w:val="clear"/>
            <w:vAlign w:val="center"/>
          </w:tcPr>
          <w:p>
            <w:pPr>
              <w:spacing w:after="120"/>
              <w:jc w:val="left"/>
            </w:pPr>
            <w:r>
              <w:rPr>
                <w:rFonts w:ascii="Calibri" w:cs="Calibri" w:eastAsia="Calibri" w:hAnsi="Calibri"/>
                <w:sz w:val="20"/>
                <w:szCs w:val="20"/>
              </w:rPr>
              <w:t xml:space="preserve">Must</w:t>
            </w:r>
          </w:p>
        </w:tc>
      </w:tr>
      <w:tr>
        <w:tc>
          <w:tcPr>
            <w:tcW w:type="dxa" w:w="2200"/>
            <w:vAlign w:val="center"/>
          </w:tcPr>
          <w:p>
            <w:pPr>
              <w:spacing w:after="120"/>
              <w:jc w:val="left"/>
            </w:pPr>
            <w:r>
              <w:rPr>
                <w:rFonts w:ascii="Calibri" w:cs="Calibri" w:eastAsia="Calibri" w:hAnsi="Calibri"/>
                <w:sz w:val="20"/>
                <w:szCs w:val="20"/>
              </w:rPr>
              <w:t xml:space="preserve"/>
            </w:r>
          </w:p>
        </w:tc>
        <w:tc>
          <w:tcPr>
            <w:tcW w:type="dxa" w:w="2000"/>
            <w:vAlign w:val="center"/>
          </w:tcPr>
          <w:p>
            <w:pPr>
              <w:spacing w:after="120"/>
              <w:jc w:val="left"/>
            </w:pPr>
            <w:r>
              <w:rPr>
                <w:rFonts w:ascii="Calibri" w:cs="Calibri" w:eastAsia="Calibri" w:hAnsi="Calibri"/>
                <w:sz w:val="20"/>
                <w:szCs w:val="20"/>
              </w:rPr>
              <w:t xml:space="preserve">Chargeback management</w:t>
            </w:r>
          </w:p>
        </w:tc>
        <w:tc>
          <w:tcPr>
            <w:tcW w:type="dxa" w:w="4200"/>
            <w:vAlign w:val="center"/>
          </w:tcPr>
          <w:p>
            <w:pPr>
              <w:spacing w:after="120"/>
              <w:jc w:val="left"/>
            </w:pPr>
            <w:r>
              <w:rPr>
                <w:rFonts w:ascii="Calibri" w:cs="Calibri" w:eastAsia="Calibri" w:hAnsi="Calibri"/>
                <w:sz w:val="20"/>
                <w:szCs w:val="20"/>
              </w:rPr>
              <w:t xml:space="preserve">Automated chargeback alerts (Verifi, Ethoca), representment workflow, and analytics.</w:t>
            </w:r>
          </w:p>
        </w:tc>
        <w:tc>
          <w:tcPr>
            <w:tcW w:type="dxa" w:w="1400"/>
            <w:shd w:fill="E3F2FD" w:val="clear"/>
            <w:vAlign w:val="center"/>
          </w:tcPr>
          <w:p>
            <w:pPr>
              <w:spacing w:after="120"/>
              <w:jc w:val="left"/>
            </w:pPr>
            <w:r>
              <w:rPr>
                <w:rFonts w:ascii="Calibri" w:cs="Calibri" w:eastAsia="Calibri" w:hAnsi="Calibri"/>
                <w:sz w:val="20"/>
                <w:szCs w:val="20"/>
              </w:rPr>
              <w:t xml:space="preserve">Should</w:t>
            </w:r>
          </w:p>
        </w:tc>
      </w:tr>
      <w:tr>
        <w:tc>
          <w:tcPr>
            <w:tcW w:type="dxa" w:w="2200"/>
            <w:shd w:fill="FFF3E0" w:val="clear"/>
            <w:vAlign w:val="center"/>
          </w:tcPr>
          <w:p>
            <w:pPr>
              <w:spacing w:after="120"/>
              <w:jc w:val="left"/>
            </w:pPr>
            <w:r>
              <w:rPr>
                <w:rFonts w:ascii="Calibri" w:cs="Calibri" w:eastAsia="Calibri" w:hAnsi="Calibri"/>
                <w:sz w:val="20"/>
                <w:szCs w:val="20"/>
              </w:rPr>
              <w:t xml:space="preserve">Integration</w:t>
            </w:r>
          </w:p>
        </w:tc>
        <w:tc>
          <w:tcPr>
            <w:tcW w:type="dxa" w:w="2000"/>
            <w:vAlign w:val="center"/>
          </w:tcPr>
          <w:p>
            <w:pPr>
              <w:spacing w:after="120"/>
              <w:jc w:val="left"/>
            </w:pPr>
            <w:r>
              <w:rPr>
                <w:rFonts w:ascii="Calibri" w:cs="Calibri" w:eastAsia="Calibri" w:hAnsi="Calibri"/>
                <w:sz w:val="20"/>
                <w:szCs w:val="20"/>
              </w:rPr>
              <w:t xml:space="preserve">REST APIs</w:t>
            </w:r>
          </w:p>
        </w:tc>
        <w:tc>
          <w:tcPr>
            <w:tcW w:type="dxa" w:w="4200"/>
            <w:vAlign w:val="center"/>
          </w:tcPr>
          <w:p>
            <w:pPr>
              <w:spacing w:after="120"/>
              <w:jc w:val="left"/>
            </w:pPr>
            <w:r>
              <w:rPr>
                <w:rFonts w:ascii="Calibri" w:cs="Calibri" w:eastAsia="Calibri" w:hAnsi="Calibri"/>
                <w:sz w:val="20"/>
                <w:szCs w:val="20"/>
              </w:rPr>
              <w:t xml:space="preserve">RESTful APIs with OpenAPI/Swagger specs. Server-side SDKs (Java, .NET, Node.js, Python). Webhooks for real-time event notification (payment confirmed, failed, refunded).</w:t>
            </w:r>
          </w:p>
        </w:tc>
        <w:tc>
          <w:tcPr>
            <w:tcW w:type="dxa" w:w="1400"/>
            <w:shd w:fill="E8F5E9" w:val="clear"/>
            <w:vAlign w:val="center"/>
          </w:tcPr>
          <w:p>
            <w:pPr>
              <w:spacing w:after="120"/>
              <w:jc w:val="left"/>
            </w:pPr>
            <w:r>
              <w:rPr>
                <w:rFonts w:ascii="Calibri" w:cs="Calibri" w:eastAsia="Calibri" w:hAnsi="Calibri"/>
                <w:sz w:val="20"/>
                <w:szCs w:val="20"/>
              </w:rPr>
              <w:t xml:space="preserve">Must</w:t>
            </w:r>
          </w:p>
        </w:tc>
      </w:tr>
      <w:tr>
        <w:tc>
          <w:tcPr>
            <w:tcW w:type="dxa" w:w="2200"/>
            <w:vAlign w:val="center"/>
          </w:tcPr>
          <w:p>
            <w:pPr>
              <w:spacing w:after="120"/>
              <w:jc w:val="left"/>
            </w:pPr>
            <w:r>
              <w:rPr>
                <w:rFonts w:ascii="Calibri" w:cs="Calibri" w:eastAsia="Calibri" w:hAnsi="Calibri"/>
                <w:sz w:val="20"/>
                <w:szCs w:val="20"/>
              </w:rPr>
              <w:t xml:space="preserve"/>
            </w:r>
          </w:p>
        </w:tc>
        <w:tc>
          <w:tcPr>
            <w:tcW w:type="dxa" w:w="2000"/>
            <w:vAlign w:val="center"/>
          </w:tcPr>
          <w:p>
            <w:pPr>
              <w:spacing w:after="120"/>
              <w:jc w:val="left"/>
            </w:pPr>
            <w:r>
              <w:rPr>
                <w:rFonts w:ascii="Calibri" w:cs="Calibri" w:eastAsia="Calibri" w:hAnsi="Calibri"/>
                <w:sz w:val="20"/>
                <w:szCs w:val="20"/>
              </w:rPr>
              <w:t xml:space="preserve">Guidewire integration</w:t>
            </w:r>
          </w:p>
        </w:tc>
        <w:tc>
          <w:tcPr>
            <w:tcW w:type="dxa" w:w="4200"/>
            <w:vAlign w:val="center"/>
          </w:tcPr>
          <w:p>
            <w:pPr>
              <w:spacing w:after="120"/>
              <w:jc w:val="left"/>
            </w:pPr>
            <w:r>
              <w:rPr>
                <w:rFonts w:ascii="Calibri" w:cs="Calibri" w:eastAsia="Calibri" w:hAnsi="Calibri"/>
                <w:sz w:val="20"/>
                <w:szCs w:val="20"/>
              </w:rPr>
              <w:t xml:space="preserve">Pre-built or documented integration with Guidewire BillingCenter and ClaimCenter. Support for Guidewire Cloud or self-managed.</w:t>
            </w:r>
          </w:p>
        </w:tc>
        <w:tc>
          <w:tcPr>
            <w:tcW w:type="dxa" w:w="1400"/>
            <w:shd w:fill="E8F5E9" w:val="clear"/>
            <w:vAlign w:val="center"/>
          </w:tcPr>
          <w:p>
            <w:pPr>
              <w:spacing w:after="120"/>
              <w:jc w:val="left"/>
            </w:pPr>
            <w:r>
              <w:rPr>
                <w:rFonts w:ascii="Calibri" w:cs="Calibri" w:eastAsia="Calibri" w:hAnsi="Calibri"/>
                <w:sz w:val="20"/>
                <w:szCs w:val="20"/>
              </w:rPr>
              <w:t xml:space="preserve">Must</w:t>
            </w:r>
          </w:p>
        </w:tc>
      </w:tr>
      <w:tr>
        <w:tc>
          <w:tcPr>
            <w:tcW w:type="dxa" w:w="2200"/>
            <w:vAlign w:val="center"/>
          </w:tcPr>
          <w:p>
            <w:pPr>
              <w:spacing w:after="120"/>
              <w:jc w:val="left"/>
            </w:pPr>
            <w:r>
              <w:rPr>
                <w:rFonts w:ascii="Calibri" w:cs="Calibri" w:eastAsia="Calibri" w:hAnsi="Calibri"/>
                <w:sz w:val="20"/>
                <w:szCs w:val="20"/>
              </w:rPr>
              <w:t xml:space="preserve"/>
            </w:r>
          </w:p>
        </w:tc>
        <w:tc>
          <w:tcPr>
            <w:tcW w:type="dxa" w:w="2000"/>
            <w:vAlign w:val="center"/>
          </w:tcPr>
          <w:p>
            <w:pPr>
              <w:spacing w:after="120"/>
              <w:jc w:val="left"/>
            </w:pPr>
            <w:r>
              <w:rPr>
                <w:rFonts w:ascii="Calibri" w:cs="Calibri" w:eastAsia="Calibri" w:hAnsi="Calibri"/>
                <w:sz w:val="20"/>
                <w:szCs w:val="20"/>
              </w:rPr>
              <w:t xml:space="preserve">MuleSoft connectors</w:t>
            </w:r>
          </w:p>
        </w:tc>
        <w:tc>
          <w:tcPr>
            <w:tcW w:type="dxa" w:w="4200"/>
            <w:vAlign w:val="center"/>
          </w:tcPr>
          <w:p>
            <w:pPr>
              <w:spacing w:after="120"/>
              <w:jc w:val="left"/>
            </w:pPr>
            <w:r>
              <w:rPr>
                <w:rFonts w:ascii="Calibri" w:cs="Calibri" w:eastAsia="Calibri" w:hAnsi="Calibri"/>
                <w:sz w:val="20"/>
                <w:szCs w:val="20"/>
              </w:rPr>
              <w:t xml:space="preserve">Anypoint Exchange connectors or documented API patterns for MuleSoft integration. Support for QBE's existing integration layer.</w:t>
            </w:r>
          </w:p>
        </w:tc>
        <w:tc>
          <w:tcPr>
            <w:tcW w:type="dxa" w:w="1400"/>
            <w:shd w:fill="E3F2FD" w:val="clear"/>
            <w:vAlign w:val="center"/>
          </w:tcPr>
          <w:p>
            <w:pPr>
              <w:spacing w:after="120"/>
              <w:jc w:val="left"/>
            </w:pPr>
            <w:r>
              <w:rPr>
                <w:rFonts w:ascii="Calibri" w:cs="Calibri" w:eastAsia="Calibri" w:hAnsi="Calibri"/>
                <w:sz w:val="20"/>
                <w:szCs w:val="20"/>
              </w:rPr>
              <w:t xml:space="preserve">Should</w:t>
            </w:r>
          </w:p>
        </w:tc>
      </w:tr>
      <w:tr>
        <w:tc>
          <w:tcPr>
            <w:tcW w:type="dxa" w:w="2200"/>
            <w:vAlign w:val="center"/>
          </w:tcPr>
          <w:p>
            <w:pPr>
              <w:spacing w:after="120"/>
              <w:jc w:val="left"/>
            </w:pPr>
            <w:r>
              <w:rPr>
                <w:rFonts w:ascii="Calibri" w:cs="Calibri" w:eastAsia="Calibri" w:hAnsi="Calibri"/>
                <w:sz w:val="20"/>
                <w:szCs w:val="20"/>
              </w:rPr>
              <w:t xml:space="preserve"/>
            </w:r>
          </w:p>
        </w:tc>
        <w:tc>
          <w:tcPr>
            <w:tcW w:type="dxa" w:w="2000"/>
            <w:vAlign w:val="center"/>
          </w:tcPr>
          <w:p>
            <w:pPr>
              <w:spacing w:after="120"/>
              <w:jc w:val="left"/>
            </w:pPr>
            <w:r>
              <w:rPr>
                <w:rFonts w:ascii="Calibri" w:cs="Calibri" w:eastAsia="Calibri" w:hAnsi="Calibri"/>
                <w:sz w:val="20"/>
                <w:szCs w:val="20"/>
              </w:rPr>
              <w:t xml:space="preserve">ERP / finance integration</w:t>
            </w:r>
          </w:p>
        </w:tc>
        <w:tc>
          <w:tcPr>
            <w:tcW w:type="dxa" w:w="4200"/>
            <w:vAlign w:val="center"/>
          </w:tcPr>
          <w:p>
            <w:pPr>
              <w:spacing w:after="120"/>
              <w:jc w:val="left"/>
            </w:pPr>
            <w:r>
              <w:rPr>
                <w:rFonts w:ascii="Calibri" w:cs="Calibri" w:eastAsia="Calibri" w:hAnsi="Calibri"/>
                <w:sz w:val="20"/>
                <w:szCs w:val="20"/>
              </w:rPr>
              <w:t xml:space="preserve">Automated reconciliation feeds. GL posting integration. ISO 20022 structured remittance data.</w:t>
            </w:r>
          </w:p>
        </w:tc>
        <w:tc>
          <w:tcPr>
            <w:tcW w:type="dxa" w:w="1400"/>
            <w:shd w:fill="E3F2FD" w:val="clear"/>
            <w:vAlign w:val="center"/>
          </w:tcPr>
          <w:p>
            <w:pPr>
              <w:spacing w:after="120"/>
              <w:jc w:val="left"/>
            </w:pPr>
            <w:r>
              <w:rPr>
                <w:rFonts w:ascii="Calibri" w:cs="Calibri" w:eastAsia="Calibri" w:hAnsi="Calibri"/>
                <w:sz w:val="20"/>
                <w:szCs w:val="20"/>
              </w:rPr>
              <w:t xml:space="preserve">Should</w:t>
            </w:r>
          </w:p>
        </w:tc>
      </w:tr>
      <w:tr>
        <w:tc>
          <w:tcPr>
            <w:tcW w:type="dxa" w:w="2200"/>
            <w:shd w:fill="FFF3E0" w:val="clear"/>
            <w:vAlign w:val="center"/>
          </w:tcPr>
          <w:p>
            <w:pPr>
              <w:spacing w:after="120"/>
              <w:jc w:val="left"/>
            </w:pPr>
            <w:r>
              <w:rPr>
                <w:rFonts w:ascii="Calibri" w:cs="Calibri" w:eastAsia="Calibri" w:hAnsi="Calibri"/>
                <w:sz w:val="20"/>
                <w:szCs w:val="20"/>
              </w:rPr>
              <w:t xml:space="preserve">Operational Management</w:t>
            </w:r>
          </w:p>
        </w:tc>
        <w:tc>
          <w:tcPr>
            <w:tcW w:type="dxa" w:w="2000"/>
            <w:vAlign w:val="center"/>
          </w:tcPr>
          <w:p>
            <w:pPr>
              <w:spacing w:after="120"/>
              <w:jc w:val="left"/>
            </w:pPr>
            <w:r>
              <w:rPr>
                <w:rFonts w:ascii="Calibri" w:cs="Calibri" w:eastAsia="Calibri" w:hAnsi="Calibri"/>
                <w:sz w:val="20"/>
                <w:szCs w:val="20"/>
              </w:rPr>
              <w:t xml:space="preserve">Merchant portal</w:t>
            </w:r>
          </w:p>
        </w:tc>
        <w:tc>
          <w:tcPr>
            <w:tcW w:type="dxa" w:w="4200"/>
            <w:vAlign w:val="center"/>
          </w:tcPr>
          <w:p>
            <w:pPr>
              <w:spacing w:after="120"/>
              <w:jc w:val="left"/>
            </w:pPr>
            <w:r>
              <w:rPr>
                <w:rFonts w:ascii="Calibri" w:cs="Calibri" w:eastAsia="Calibri" w:hAnsi="Calibri"/>
                <w:sz w:val="20"/>
                <w:szCs w:val="20"/>
              </w:rPr>
              <w:t xml:space="preserve">Self-service portal for transaction search, refund processing, reporting, and user management. Role-based access control.</w:t>
            </w:r>
          </w:p>
        </w:tc>
        <w:tc>
          <w:tcPr>
            <w:tcW w:type="dxa" w:w="1400"/>
            <w:shd w:fill="E8F5E9" w:val="clear"/>
            <w:vAlign w:val="center"/>
          </w:tcPr>
          <w:p>
            <w:pPr>
              <w:spacing w:after="120"/>
              <w:jc w:val="left"/>
            </w:pPr>
            <w:r>
              <w:rPr>
                <w:rFonts w:ascii="Calibri" w:cs="Calibri" w:eastAsia="Calibri" w:hAnsi="Calibri"/>
                <w:sz w:val="20"/>
                <w:szCs w:val="20"/>
              </w:rPr>
              <w:t xml:space="preserve">Must</w:t>
            </w:r>
          </w:p>
        </w:tc>
      </w:tr>
      <w:tr>
        <w:tc>
          <w:tcPr>
            <w:tcW w:type="dxa" w:w="2200"/>
            <w:vAlign w:val="center"/>
          </w:tcPr>
          <w:p>
            <w:pPr>
              <w:spacing w:after="120"/>
              <w:jc w:val="left"/>
            </w:pPr>
            <w:r>
              <w:rPr>
                <w:rFonts w:ascii="Calibri" w:cs="Calibri" w:eastAsia="Calibri" w:hAnsi="Calibri"/>
                <w:sz w:val="20"/>
                <w:szCs w:val="20"/>
              </w:rPr>
              <w:t xml:space="preserve"/>
            </w:r>
          </w:p>
        </w:tc>
        <w:tc>
          <w:tcPr>
            <w:tcW w:type="dxa" w:w="2000"/>
            <w:vAlign w:val="center"/>
          </w:tcPr>
          <w:p>
            <w:pPr>
              <w:spacing w:after="120"/>
              <w:jc w:val="left"/>
            </w:pPr>
            <w:r>
              <w:rPr>
                <w:rFonts w:ascii="Calibri" w:cs="Calibri" w:eastAsia="Calibri" w:hAnsi="Calibri"/>
                <w:sz w:val="20"/>
                <w:szCs w:val="20"/>
              </w:rPr>
              <w:t xml:space="preserve">Real-time dashboards</w:t>
            </w:r>
          </w:p>
        </w:tc>
        <w:tc>
          <w:tcPr>
            <w:tcW w:type="dxa" w:w="4200"/>
            <w:vAlign w:val="center"/>
          </w:tcPr>
          <w:p>
            <w:pPr>
              <w:spacing w:after="120"/>
              <w:jc w:val="left"/>
            </w:pPr>
            <w:r>
              <w:rPr>
                <w:rFonts w:ascii="Calibri" w:cs="Calibri" w:eastAsia="Calibri" w:hAnsi="Calibri"/>
                <w:sz w:val="20"/>
                <w:szCs w:val="20"/>
              </w:rPr>
              <w:t xml:space="preserve">Transaction volume, approval rates, decline reasons, fee breakdown, and fraud metrics in real time.</w:t>
            </w:r>
          </w:p>
        </w:tc>
        <w:tc>
          <w:tcPr>
            <w:tcW w:type="dxa" w:w="1400"/>
            <w:shd w:fill="E8F5E9" w:val="clear"/>
            <w:vAlign w:val="center"/>
          </w:tcPr>
          <w:p>
            <w:pPr>
              <w:spacing w:after="120"/>
              <w:jc w:val="left"/>
            </w:pPr>
            <w:r>
              <w:rPr>
                <w:rFonts w:ascii="Calibri" w:cs="Calibri" w:eastAsia="Calibri" w:hAnsi="Calibri"/>
                <w:sz w:val="20"/>
                <w:szCs w:val="20"/>
              </w:rPr>
              <w:t xml:space="preserve">Must</w:t>
            </w:r>
          </w:p>
        </w:tc>
      </w:tr>
      <w:tr>
        <w:tc>
          <w:tcPr>
            <w:tcW w:type="dxa" w:w="2200"/>
            <w:vAlign w:val="center"/>
          </w:tcPr>
          <w:p>
            <w:pPr>
              <w:spacing w:after="120"/>
              <w:jc w:val="left"/>
            </w:pPr>
            <w:r>
              <w:rPr>
                <w:rFonts w:ascii="Calibri" w:cs="Calibri" w:eastAsia="Calibri" w:hAnsi="Calibri"/>
                <w:sz w:val="20"/>
                <w:szCs w:val="20"/>
              </w:rPr>
              <w:t xml:space="preserve"/>
            </w:r>
          </w:p>
        </w:tc>
        <w:tc>
          <w:tcPr>
            <w:tcW w:type="dxa" w:w="2000"/>
            <w:vAlign w:val="center"/>
          </w:tcPr>
          <w:p>
            <w:pPr>
              <w:spacing w:after="120"/>
              <w:jc w:val="left"/>
            </w:pPr>
            <w:r>
              <w:rPr>
                <w:rFonts w:ascii="Calibri" w:cs="Calibri" w:eastAsia="Calibri" w:hAnsi="Calibri"/>
                <w:sz w:val="20"/>
                <w:szCs w:val="20"/>
              </w:rPr>
              <w:t xml:space="preserve">Automated reconciliation</w:t>
            </w:r>
          </w:p>
        </w:tc>
        <w:tc>
          <w:tcPr>
            <w:tcW w:type="dxa" w:w="4200"/>
            <w:vAlign w:val="center"/>
          </w:tcPr>
          <w:p>
            <w:pPr>
              <w:spacing w:after="120"/>
              <w:jc w:val="left"/>
            </w:pPr>
            <w:r>
              <w:rPr>
                <w:rFonts w:ascii="Calibri" w:cs="Calibri" w:eastAsia="Calibri" w:hAnsi="Calibri"/>
                <w:sz w:val="20"/>
                <w:szCs w:val="20"/>
              </w:rPr>
              <w:t xml:space="preserve">Daily automated reconciliation of gateway transactions vs acquirer settlements vs bank deposits. Exception flagging.</w:t>
            </w:r>
          </w:p>
        </w:tc>
        <w:tc>
          <w:tcPr>
            <w:tcW w:type="dxa" w:w="1400"/>
            <w:shd w:fill="E8F5E9" w:val="clear"/>
            <w:vAlign w:val="center"/>
          </w:tcPr>
          <w:p>
            <w:pPr>
              <w:spacing w:after="120"/>
              <w:jc w:val="left"/>
            </w:pPr>
            <w:r>
              <w:rPr>
                <w:rFonts w:ascii="Calibri" w:cs="Calibri" w:eastAsia="Calibri" w:hAnsi="Calibri"/>
                <w:sz w:val="20"/>
                <w:szCs w:val="20"/>
              </w:rPr>
              <w:t xml:space="preserve">Must</w:t>
            </w:r>
          </w:p>
        </w:tc>
      </w:tr>
      <w:tr>
        <w:tc>
          <w:tcPr>
            <w:tcW w:type="dxa" w:w="2200"/>
            <w:vAlign w:val="center"/>
          </w:tcPr>
          <w:p>
            <w:pPr>
              <w:spacing w:after="120"/>
              <w:jc w:val="left"/>
            </w:pPr>
            <w:r>
              <w:rPr>
                <w:rFonts w:ascii="Calibri" w:cs="Calibri" w:eastAsia="Calibri" w:hAnsi="Calibri"/>
                <w:sz w:val="20"/>
                <w:szCs w:val="20"/>
              </w:rPr>
              <w:t xml:space="preserve"/>
            </w:r>
          </w:p>
        </w:tc>
        <w:tc>
          <w:tcPr>
            <w:tcW w:type="dxa" w:w="2000"/>
            <w:vAlign w:val="center"/>
          </w:tcPr>
          <w:p>
            <w:pPr>
              <w:spacing w:after="120"/>
              <w:jc w:val="left"/>
            </w:pPr>
            <w:r>
              <w:rPr>
                <w:rFonts w:ascii="Calibri" w:cs="Calibri" w:eastAsia="Calibri" w:hAnsi="Calibri"/>
                <w:sz w:val="20"/>
                <w:szCs w:val="20"/>
              </w:rPr>
              <w:t xml:space="preserve">Reporting &amp; data export</w:t>
            </w:r>
          </w:p>
        </w:tc>
        <w:tc>
          <w:tcPr>
            <w:tcW w:type="dxa" w:w="4200"/>
            <w:vAlign w:val="center"/>
          </w:tcPr>
          <w:p>
            <w:pPr>
              <w:spacing w:after="120"/>
              <w:jc w:val="left"/>
            </w:pPr>
            <w:r>
              <w:rPr>
                <w:rFonts w:ascii="Calibri" w:cs="Calibri" w:eastAsia="Calibri" w:hAnsi="Calibri"/>
                <w:sz w:val="20"/>
                <w:szCs w:val="20"/>
              </w:rPr>
              <w:t xml:space="preserve">Scheduled and ad-hoc reports. API-based data extraction. CSV, JSON, and ISO 20022 export formats.</w:t>
            </w:r>
          </w:p>
        </w:tc>
        <w:tc>
          <w:tcPr>
            <w:tcW w:type="dxa" w:w="1400"/>
            <w:shd w:fill="E3F2FD" w:val="clear"/>
            <w:vAlign w:val="center"/>
          </w:tcPr>
          <w:p>
            <w:pPr>
              <w:spacing w:after="120"/>
              <w:jc w:val="left"/>
            </w:pPr>
            <w:r>
              <w:rPr>
                <w:rFonts w:ascii="Calibri" w:cs="Calibri" w:eastAsia="Calibri" w:hAnsi="Calibri"/>
                <w:sz w:val="20"/>
                <w:szCs w:val="20"/>
              </w:rPr>
              <w:t xml:space="preserve">Should</w:t>
            </w:r>
          </w:p>
        </w:tc>
      </w:tr>
    </w:tbl>
    <w:p>
      <w:r>
        <w:br w:type="page"/>
      </w:r>
    </w:p>
    <w:p>
      <w:pPr>
        <w:pStyle w:val="Heading1"/>
        <w:spacing w:after="120" w:before="400"/>
      </w:pPr>
      <w:r>
        <w:t xml:space="preserve">5. Recommended Non-Functional Requirements</w:t>
      </w:r>
    </w:p>
    <w:p>
      <w:pPr>
        <w:spacing w:after="120"/>
        <w:jc w:val="left"/>
      </w:pPr>
      <w:r>
        <w:rPr>
          <w:rFonts w:ascii="Calibri" w:cs="Calibri" w:eastAsia="Calibri" w:hAnsi="Calibri"/>
          <w:sz w:val="22"/>
          <w:szCs w:val="22"/>
        </w:rPr>
        <w:t xml:space="preserve">Non-functional requirements are currently absent from the RFI. The following should be included as mandatory evaluation criteria.</w:t>
      </w:r>
    </w:p>
    <w:p>
      <w:pPr>
        <w:pStyle w:val="Heading2"/>
        <w:spacing w:after="120" w:before="240"/>
      </w:pPr>
      <w:r>
        <w:t xml:space="preserve">5.1 Availability &amp; Performance</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800"/>
        <w:gridCol w:w="5000"/>
        <w:gridCol w:w="2000"/>
      </w:tblGrid>
      <w:tr>
        <w:tc>
          <w:tcPr>
            <w:tcW w:type="dxa" w:w="2800"/>
            <w:shd w:fill="002244" w:val="clear"/>
            <w:vAlign w:val="center"/>
          </w:tcPr>
          <w:p>
            <w:pPr>
              <w:spacing w:after="40"/>
            </w:pPr>
            <w:r>
              <w:rPr>
                <w:rFonts w:ascii="Calibri" w:cs="Calibri" w:eastAsia="Calibri" w:hAnsi="Calibri"/>
                <w:b/>
                <w:bCs/>
                <w:color w:val="FFFFFF"/>
                <w:sz w:val="20"/>
                <w:szCs w:val="20"/>
              </w:rPr>
              <w:t xml:space="preserve">Requirement</w:t>
            </w:r>
          </w:p>
        </w:tc>
        <w:tc>
          <w:tcPr>
            <w:tcW w:type="dxa" w:w="5000"/>
            <w:shd w:fill="002244" w:val="clear"/>
            <w:vAlign w:val="center"/>
          </w:tcPr>
          <w:p>
            <w:pPr>
              <w:spacing w:after="40"/>
            </w:pPr>
            <w:r>
              <w:rPr>
                <w:rFonts w:ascii="Calibri" w:cs="Calibri" w:eastAsia="Calibri" w:hAnsi="Calibri"/>
                <w:b/>
                <w:bCs/>
                <w:color w:val="FFFFFF"/>
                <w:sz w:val="20"/>
                <w:szCs w:val="20"/>
              </w:rPr>
              <w:t xml:space="preserve">Specification</w:t>
            </w:r>
          </w:p>
        </w:tc>
        <w:tc>
          <w:tcPr>
            <w:tcW w:type="dxa" w:w="2000"/>
            <w:shd w:fill="002244" w:val="clear"/>
            <w:vAlign w:val="center"/>
          </w:tcPr>
          <w:p>
            <w:pPr>
              <w:spacing w:after="40"/>
            </w:pPr>
            <w:r>
              <w:rPr>
                <w:rFonts w:ascii="Calibri" w:cs="Calibri" w:eastAsia="Calibri" w:hAnsi="Calibri"/>
                <w:b/>
                <w:bCs/>
                <w:color w:val="FFFFFF"/>
                <w:sz w:val="20"/>
                <w:szCs w:val="20"/>
              </w:rPr>
              <w:t xml:space="preserve">Priority</w:t>
            </w:r>
          </w:p>
        </w:tc>
      </w:tr>
      <w:tr>
        <w:tc>
          <w:tcPr>
            <w:tcW w:type="dxa" w:w="2800"/>
            <w:vAlign w:val="center"/>
          </w:tcPr>
          <w:p>
            <w:pPr>
              <w:spacing w:after="120"/>
              <w:jc w:val="left"/>
            </w:pPr>
            <w:r>
              <w:rPr>
                <w:rFonts w:ascii="Calibri" w:cs="Calibri" w:eastAsia="Calibri" w:hAnsi="Calibri"/>
                <w:sz w:val="20"/>
                <w:szCs w:val="20"/>
              </w:rPr>
              <w:t xml:space="preserve">Platform availability</w:t>
            </w:r>
          </w:p>
        </w:tc>
        <w:tc>
          <w:tcPr>
            <w:tcW w:type="dxa" w:w="5000"/>
            <w:vAlign w:val="center"/>
          </w:tcPr>
          <w:p>
            <w:pPr>
              <w:spacing w:after="120"/>
              <w:jc w:val="left"/>
            </w:pPr>
            <w:r>
              <w:rPr>
                <w:rFonts w:ascii="Calibri" w:cs="Calibri" w:eastAsia="Calibri" w:hAnsi="Calibri"/>
                <w:sz w:val="20"/>
                <w:szCs w:val="20"/>
              </w:rPr>
              <w:t xml:space="preserve">99.99% uptime SLA (≤52.6 minutes unplanned downtime per year). Measured monthly with financial credits for breach.</w:t>
            </w:r>
          </w:p>
        </w:tc>
        <w:tc>
          <w:tcPr>
            <w:tcW w:type="dxa" w:w="2000"/>
            <w:shd w:fill="E8F5E9" w:val="clear"/>
            <w:vAlign w:val="center"/>
          </w:tcPr>
          <w:p>
            <w:pPr>
              <w:spacing w:after="120"/>
              <w:jc w:val="left"/>
            </w:pPr>
            <w:r>
              <w:rPr>
                <w:rFonts w:ascii="Calibri" w:cs="Calibri" w:eastAsia="Calibri" w:hAnsi="Calibri"/>
                <w:sz w:val="20"/>
                <w:szCs w:val="20"/>
              </w:rPr>
              <w:t xml:space="preserve">Must</w:t>
            </w:r>
          </w:p>
        </w:tc>
      </w:tr>
      <w:tr>
        <w:tc>
          <w:tcPr>
            <w:tcW w:type="dxa" w:w="2800"/>
            <w:vAlign w:val="center"/>
          </w:tcPr>
          <w:p>
            <w:pPr>
              <w:spacing w:after="120"/>
              <w:jc w:val="left"/>
            </w:pPr>
            <w:r>
              <w:rPr>
                <w:rFonts w:ascii="Calibri" w:cs="Calibri" w:eastAsia="Calibri" w:hAnsi="Calibri"/>
                <w:sz w:val="20"/>
                <w:szCs w:val="20"/>
              </w:rPr>
              <w:t xml:space="preserve">Transaction latency</w:t>
            </w:r>
          </w:p>
        </w:tc>
        <w:tc>
          <w:tcPr>
            <w:tcW w:type="dxa" w:w="5000"/>
            <w:vAlign w:val="center"/>
          </w:tcPr>
          <w:p>
            <w:pPr>
              <w:spacing w:after="120"/>
              <w:jc w:val="left"/>
            </w:pPr>
            <w:r>
              <w:rPr>
                <w:rFonts w:ascii="Calibri" w:cs="Calibri" w:eastAsia="Calibri" w:hAnsi="Calibri"/>
                <w:sz w:val="20"/>
                <w:szCs w:val="20"/>
              </w:rPr>
              <w:t xml:space="preserve">P95 authorisation response time ≤ 2 seconds end-to-end. P99 ≤ 3 seconds.</w:t>
            </w:r>
          </w:p>
        </w:tc>
        <w:tc>
          <w:tcPr>
            <w:tcW w:type="dxa" w:w="2000"/>
            <w:shd w:fill="E8F5E9" w:val="clear"/>
            <w:vAlign w:val="center"/>
          </w:tcPr>
          <w:p>
            <w:pPr>
              <w:spacing w:after="120"/>
              <w:jc w:val="left"/>
            </w:pPr>
            <w:r>
              <w:rPr>
                <w:rFonts w:ascii="Calibri" w:cs="Calibri" w:eastAsia="Calibri" w:hAnsi="Calibri"/>
                <w:sz w:val="20"/>
                <w:szCs w:val="20"/>
              </w:rPr>
              <w:t xml:space="preserve">Must</w:t>
            </w:r>
          </w:p>
        </w:tc>
      </w:tr>
      <w:tr>
        <w:tc>
          <w:tcPr>
            <w:tcW w:type="dxa" w:w="2800"/>
            <w:vAlign w:val="center"/>
          </w:tcPr>
          <w:p>
            <w:pPr>
              <w:spacing w:after="120"/>
              <w:jc w:val="left"/>
            </w:pPr>
            <w:r>
              <w:rPr>
                <w:rFonts w:ascii="Calibri" w:cs="Calibri" w:eastAsia="Calibri" w:hAnsi="Calibri"/>
                <w:sz w:val="20"/>
                <w:szCs w:val="20"/>
              </w:rPr>
              <w:t xml:space="preserve">Throughput</w:t>
            </w:r>
          </w:p>
        </w:tc>
        <w:tc>
          <w:tcPr>
            <w:tcW w:type="dxa" w:w="5000"/>
            <w:vAlign w:val="center"/>
          </w:tcPr>
          <w:p>
            <w:pPr>
              <w:spacing w:after="120"/>
              <w:jc w:val="left"/>
            </w:pPr>
            <w:r>
              <w:rPr>
                <w:rFonts w:ascii="Calibri" w:cs="Calibri" w:eastAsia="Calibri" w:hAnsi="Calibri"/>
                <w:sz w:val="20"/>
                <w:szCs w:val="20"/>
              </w:rPr>
              <w:t xml:space="preserve">Support peak transaction rate of 5x average daily volume without degradation. Provide capacity planning data.</w:t>
            </w:r>
          </w:p>
        </w:tc>
        <w:tc>
          <w:tcPr>
            <w:tcW w:type="dxa" w:w="2000"/>
            <w:shd w:fill="E8F5E9" w:val="clear"/>
            <w:vAlign w:val="center"/>
          </w:tcPr>
          <w:p>
            <w:pPr>
              <w:spacing w:after="120"/>
              <w:jc w:val="left"/>
            </w:pPr>
            <w:r>
              <w:rPr>
                <w:rFonts w:ascii="Calibri" w:cs="Calibri" w:eastAsia="Calibri" w:hAnsi="Calibri"/>
                <w:sz w:val="20"/>
                <w:szCs w:val="20"/>
              </w:rPr>
              <w:t xml:space="preserve">Must</w:t>
            </w:r>
          </w:p>
        </w:tc>
      </w:tr>
      <w:tr>
        <w:tc>
          <w:tcPr>
            <w:tcW w:type="dxa" w:w="2800"/>
            <w:vAlign w:val="center"/>
          </w:tcPr>
          <w:p>
            <w:pPr>
              <w:spacing w:after="120"/>
              <w:jc w:val="left"/>
            </w:pPr>
            <w:r>
              <w:rPr>
                <w:rFonts w:ascii="Calibri" w:cs="Calibri" w:eastAsia="Calibri" w:hAnsi="Calibri"/>
                <w:sz w:val="20"/>
                <w:szCs w:val="20"/>
              </w:rPr>
              <w:t xml:space="preserve">Planned maintenance windows</w:t>
            </w:r>
          </w:p>
        </w:tc>
        <w:tc>
          <w:tcPr>
            <w:tcW w:type="dxa" w:w="5000"/>
            <w:vAlign w:val="center"/>
          </w:tcPr>
          <w:p>
            <w:pPr>
              <w:spacing w:after="120"/>
              <w:jc w:val="left"/>
            </w:pPr>
            <w:r>
              <w:rPr>
                <w:rFonts w:ascii="Calibri" w:cs="Calibri" w:eastAsia="Calibri" w:hAnsi="Calibri"/>
                <w:sz w:val="20"/>
                <w:szCs w:val="20"/>
              </w:rPr>
              <w:t xml:space="preserve">Zero-downtime deployments preferred. If maintenance windows required, maximum 4 hours per quarter in off-peak AEST.</w:t>
            </w:r>
          </w:p>
        </w:tc>
        <w:tc>
          <w:tcPr>
            <w:tcW w:type="dxa" w:w="2000"/>
            <w:shd w:fill="E3F2FD" w:val="clear"/>
            <w:vAlign w:val="center"/>
          </w:tcPr>
          <w:p>
            <w:pPr>
              <w:spacing w:after="120"/>
              <w:jc w:val="left"/>
            </w:pPr>
            <w:r>
              <w:rPr>
                <w:rFonts w:ascii="Calibri" w:cs="Calibri" w:eastAsia="Calibri" w:hAnsi="Calibri"/>
                <w:sz w:val="20"/>
                <w:szCs w:val="20"/>
              </w:rPr>
              <w:t xml:space="preserve">Should</w:t>
            </w:r>
          </w:p>
        </w:tc>
      </w:tr>
      <w:tr>
        <w:tc>
          <w:tcPr>
            <w:tcW w:type="dxa" w:w="2800"/>
            <w:vAlign w:val="center"/>
          </w:tcPr>
          <w:p>
            <w:pPr>
              <w:spacing w:after="120"/>
              <w:jc w:val="left"/>
            </w:pPr>
            <w:r>
              <w:rPr>
                <w:rFonts w:ascii="Calibri" w:cs="Calibri" w:eastAsia="Calibri" w:hAnsi="Calibri"/>
                <w:sz w:val="20"/>
                <w:szCs w:val="20"/>
              </w:rPr>
              <w:t xml:space="preserve">Disaster recovery</w:t>
            </w:r>
          </w:p>
        </w:tc>
        <w:tc>
          <w:tcPr>
            <w:tcW w:type="dxa" w:w="5000"/>
            <w:vAlign w:val="center"/>
          </w:tcPr>
          <w:p>
            <w:pPr>
              <w:spacing w:after="120"/>
              <w:jc w:val="left"/>
            </w:pPr>
            <w:r>
              <w:rPr>
                <w:rFonts w:ascii="Calibri" w:cs="Calibri" w:eastAsia="Calibri" w:hAnsi="Calibri"/>
                <w:sz w:val="20"/>
                <w:szCs w:val="20"/>
              </w:rPr>
              <w:t xml:space="preserve">Active-active or active-passive DR with RTO ≤ 1 hour, RPO ≤ 0 (zero data loss). Geographically separated data centres.</w:t>
            </w:r>
          </w:p>
        </w:tc>
        <w:tc>
          <w:tcPr>
            <w:tcW w:type="dxa" w:w="2000"/>
            <w:shd w:fill="E8F5E9" w:val="clear"/>
            <w:vAlign w:val="center"/>
          </w:tcPr>
          <w:p>
            <w:pPr>
              <w:spacing w:after="120"/>
              <w:jc w:val="left"/>
            </w:pPr>
            <w:r>
              <w:rPr>
                <w:rFonts w:ascii="Calibri" w:cs="Calibri" w:eastAsia="Calibri" w:hAnsi="Calibri"/>
                <w:sz w:val="20"/>
                <w:szCs w:val="20"/>
              </w:rPr>
              <w:t xml:space="preserve">Must</w:t>
            </w:r>
          </w:p>
        </w:tc>
      </w:tr>
    </w:tbl>
    <w:p>
      <w:pPr>
        <w:pStyle w:val="Heading2"/>
        <w:spacing w:after="120" w:before="240"/>
      </w:pPr>
      <w:r>
        <w:t xml:space="preserve">5.2 Security &amp; Compliance</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800"/>
        <w:gridCol w:w="5000"/>
        <w:gridCol w:w="2000"/>
      </w:tblGrid>
      <w:tr>
        <w:tc>
          <w:tcPr>
            <w:tcW w:type="dxa" w:w="2800"/>
            <w:shd w:fill="002244" w:val="clear"/>
            <w:vAlign w:val="center"/>
          </w:tcPr>
          <w:p>
            <w:pPr>
              <w:spacing w:after="40"/>
            </w:pPr>
            <w:r>
              <w:rPr>
                <w:rFonts w:ascii="Calibri" w:cs="Calibri" w:eastAsia="Calibri" w:hAnsi="Calibri"/>
                <w:b/>
                <w:bCs/>
                <w:color w:val="FFFFFF"/>
                <w:sz w:val="20"/>
                <w:szCs w:val="20"/>
              </w:rPr>
              <w:t xml:space="preserve">Requirement</w:t>
            </w:r>
          </w:p>
        </w:tc>
        <w:tc>
          <w:tcPr>
            <w:tcW w:type="dxa" w:w="5000"/>
            <w:shd w:fill="002244" w:val="clear"/>
            <w:vAlign w:val="center"/>
          </w:tcPr>
          <w:p>
            <w:pPr>
              <w:spacing w:after="40"/>
            </w:pPr>
            <w:r>
              <w:rPr>
                <w:rFonts w:ascii="Calibri" w:cs="Calibri" w:eastAsia="Calibri" w:hAnsi="Calibri"/>
                <w:b/>
                <w:bCs/>
                <w:color w:val="FFFFFF"/>
                <w:sz w:val="20"/>
                <w:szCs w:val="20"/>
              </w:rPr>
              <w:t xml:space="preserve">Specification</w:t>
            </w:r>
          </w:p>
        </w:tc>
        <w:tc>
          <w:tcPr>
            <w:tcW w:type="dxa" w:w="2000"/>
            <w:shd w:fill="002244" w:val="clear"/>
            <w:vAlign w:val="center"/>
          </w:tcPr>
          <w:p>
            <w:pPr>
              <w:spacing w:after="40"/>
            </w:pPr>
            <w:r>
              <w:rPr>
                <w:rFonts w:ascii="Calibri" w:cs="Calibri" w:eastAsia="Calibri" w:hAnsi="Calibri"/>
                <w:b/>
                <w:bCs/>
                <w:color w:val="FFFFFF"/>
                <w:sz w:val="20"/>
                <w:szCs w:val="20"/>
              </w:rPr>
              <w:t xml:space="preserve">Priority</w:t>
            </w:r>
          </w:p>
        </w:tc>
      </w:tr>
      <w:tr>
        <w:tc>
          <w:tcPr>
            <w:tcW w:type="dxa" w:w="2800"/>
            <w:vAlign w:val="center"/>
          </w:tcPr>
          <w:p>
            <w:pPr>
              <w:spacing w:after="120"/>
              <w:jc w:val="left"/>
            </w:pPr>
            <w:r>
              <w:rPr>
                <w:rFonts w:ascii="Calibri" w:cs="Calibri" w:eastAsia="Calibri" w:hAnsi="Calibri"/>
                <w:sz w:val="20"/>
                <w:szCs w:val="20"/>
              </w:rPr>
              <w:t xml:space="preserve">PCI DSS</w:t>
            </w:r>
          </w:p>
        </w:tc>
        <w:tc>
          <w:tcPr>
            <w:tcW w:type="dxa" w:w="5000"/>
            <w:vAlign w:val="center"/>
          </w:tcPr>
          <w:p>
            <w:pPr>
              <w:spacing w:after="120"/>
              <w:jc w:val="left"/>
            </w:pPr>
            <w:r>
              <w:rPr>
                <w:rFonts w:ascii="Calibri" w:cs="Calibri" w:eastAsia="Calibri" w:hAnsi="Calibri"/>
                <w:sz w:val="20"/>
                <w:szCs w:val="20"/>
              </w:rPr>
              <w:t xml:space="preserve">PCI DSS v4.0.1 Level 1 Service Provider certification. Provide current AOC and ROC. Support QBE achieving SAQ-A scope reduction.</w:t>
            </w:r>
          </w:p>
        </w:tc>
        <w:tc>
          <w:tcPr>
            <w:tcW w:type="dxa" w:w="2000"/>
            <w:shd w:fill="E8F5E9" w:val="clear"/>
            <w:vAlign w:val="center"/>
          </w:tcPr>
          <w:p>
            <w:pPr>
              <w:spacing w:after="120"/>
              <w:jc w:val="left"/>
            </w:pPr>
            <w:r>
              <w:rPr>
                <w:rFonts w:ascii="Calibri" w:cs="Calibri" w:eastAsia="Calibri" w:hAnsi="Calibri"/>
                <w:sz w:val="20"/>
                <w:szCs w:val="20"/>
              </w:rPr>
              <w:t xml:space="preserve">Must</w:t>
            </w:r>
          </w:p>
        </w:tc>
      </w:tr>
      <w:tr>
        <w:tc>
          <w:tcPr>
            <w:tcW w:type="dxa" w:w="2800"/>
            <w:vAlign w:val="center"/>
          </w:tcPr>
          <w:p>
            <w:pPr>
              <w:spacing w:after="120"/>
              <w:jc w:val="left"/>
            </w:pPr>
            <w:r>
              <w:rPr>
                <w:rFonts w:ascii="Calibri" w:cs="Calibri" w:eastAsia="Calibri" w:hAnsi="Calibri"/>
                <w:sz w:val="20"/>
                <w:szCs w:val="20"/>
              </w:rPr>
              <w:t xml:space="preserve">SOC 2 Type II</w:t>
            </w:r>
          </w:p>
        </w:tc>
        <w:tc>
          <w:tcPr>
            <w:tcW w:type="dxa" w:w="5000"/>
            <w:vAlign w:val="center"/>
          </w:tcPr>
          <w:p>
            <w:pPr>
              <w:spacing w:after="120"/>
              <w:jc w:val="left"/>
            </w:pPr>
            <w:r>
              <w:rPr>
                <w:rFonts w:ascii="Calibri" w:cs="Calibri" w:eastAsia="Calibri" w:hAnsi="Calibri"/>
                <w:sz w:val="20"/>
                <w:szCs w:val="20"/>
              </w:rPr>
              <w:t xml:space="preserve">Current SOC 2 Type II report covering Security, Availability, and Confidentiality trust service criteria.</w:t>
            </w:r>
          </w:p>
        </w:tc>
        <w:tc>
          <w:tcPr>
            <w:tcW w:type="dxa" w:w="2000"/>
            <w:shd w:fill="E8F5E9" w:val="clear"/>
            <w:vAlign w:val="center"/>
          </w:tcPr>
          <w:p>
            <w:pPr>
              <w:spacing w:after="120"/>
              <w:jc w:val="left"/>
            </w:pPr>
            <w:r>
              <w:rPr>
                <w:rFonts w:ascii="Calibri" w:cs="Calibri" w:eastAsia="Calibri" w:hAnsi="Calibri"/>
                <w:sz w:val="20"/>
                <w:szCs w:val="20"/>
              </w:rPr>
              <w:t xml:space="preserve">Must</w:t>
            </w:r>
          </w:p>
        </w:tc>
      </w:tr>
      <w:tr>
        <w:tc>
          <w:tcPr>
            <w:tcW w:type="dxa" w:w="2800"/>
            <w:vAlign w:val="center"/>
          </w:tcPr>
          <w:p>
            <w:pPr>
              <w:spacing w:after="120"/>
              <w:jc w:val="left"/>
            </w:pPr>
            <w:r>
              <w:rPr>
                <w:rFonts w:ascii="Calibri" w:cs="Calibri" w:eastAsia="Calibri" w:hAnsi="Calibri"/>
                <w:sz w:val="20"/>
                <w:szCs w:val="20"/>
              </w:rPr>
              <w:t xml:space="preserve">ISO 27001</w:t>
            </w:r>
          </w:p>
        </w:tc>
        <w:tc>
          <w:tcPr>
            <w:tcW w:type="dxa" w:w="5000"/>
            <w:vAlign w:val="center"/>
          </w:tcPr>
          <w:p>
            <w:pPr>
              <w:spacing w:after="120"/>
              <w:jc w:val="left"/>
            </w:pPr>
            <w:r>
              <w:rPr>
                <w:rFonts w:ascii="Calibri" w:cs="Calibri" w:eastAsia="Calibri" w:hAnsi="Calibri"/>
                <w:sz w:val="20"/>
                <w:szCs w:val="20"/>
              </w:rPr>
              <w:t xml:space="preserve">Current ISO 27001:2022 certification. Provide certificate and scope statement.</w:t>
            </w:r>
          </w:p>
        </w:tc>
        <w:tc>
          <w:tcPr>
            <w:tcW w:type="dxa" w:w="2000"/>
            <w:shd w:fill="E8F5E9" w:val="clear"/>
            <w:vAlign w:val="center"/>
          </w:tcPr>
          <w:p>
            <w:pPr>
              <w:spacing w:after="120"/>
              <w:jc w:val="left"/>
            </w:pPr>
            <w:r>
              <w:rPr>
                <w:rFonts w:ascii="Calibri" w:cs="Calibri" w:eastAsia="Calibri" w:hAnsi="Calibri"/>
                <w:sz w:val="20"/>
                <w:szCs w:val="20"/>
              </w:rPr>
              <w:t xml:space="preserve">Must</w:t>
            </w:r>
          </w:p>
        </w:tc>
      </w:tr>
      <w:tr>
        <w:tc>
          <w:tcPr>
            <w:tcW w:type="dxa" w:w="2800"/>
            <w:vAlign w:val="center"/>
          </w:tcPr>
          <w:p>
            <w:pPr>
              <w:spacing w:after="120"/>
              <w:jc w:val="left"/>
            </w:pPr>
            <w:r>
              <w:rPr>
                <w:rFonts w:ascii="Calibri" w:cs="Calibri" w:eastAsia="Calibri" w:hAnsi="Calibri"/>
                <w:sz w:val="20"/>
                <w:szCs w:val="20"/>
              </w:rPr>
              <w:t xml:space="preserve">APRA CPS 230 compliance</w:t>
            </w:r>
          </w:p>
        </w:tc>
        <w:tc>
          <w:tcPr>
            <w:tcW w:type="dxa" w:w="5000"/>
            <w:vAlign w:val="center"/>
          </w:tcPr>
          <w:p>
            <w:pPr>
              <w:spacing w:after="120"/>
              <w:jc w:val="left"/>
            </w:pPr>
            <w:r>
              <w:rPr>
                <w:rFonts w:ascii="Calibri" w:cs="Calibri" w:eastAsia="Calibri" w:hAnsi="Calibri"/>
                <w:sz w:val="20"/>
                <w:szCs w:val="20"/>
              </w:rPr>
              <w:t xml:space="preserve">Contractual commitment to APRA audit rights, 24-hour disruption notification, BCP alignment with QBE RTO/RPO, fourth-party transparency, and annual material service provider reporting requirements.</w:t>
            </w:r>
          </w:p>
        </w:tc>
        <w:tc>
          <w:tcPr>
            <w:tcW w:type="dxa" w:w="2000"/>
            <w:shd w:fill="E8F5E9" w:val="clear"/>
            <w:vAlign w:val="center"/>
          </w:tcPr>
          <w:p>
            <w:pPr>
              <w:spacing w:after="120"/>
              <w:jc w:val="left"/>
            </w:pPr>
            <w:r>
              <w:rPr>
                <w:rFonts w:ascii="Calibri" w:cs="Calibri" w:eastAsia="Calibri" w:hAnsi="Calibri"/>
                <w:sz w:val="20"/>
                <w:szCs w:val="20"/>
              </w:rPr>
              <w:t xml:space="preserve">Must</w:t>
            </w:r>
          </w:p>
        </w:tc>
      </w:tr>
      <w:tr>
        <w:tc>
          <w:tcPr>
            <w:tcW w:type="dxa" w:w="2800"/>
            <w:vAlign w:val="center"/>
          </w:tcPr>
          <w:p>
            <w:pPr>
              <w:spacing w:after="120"/>
              <w:jc w:val="left"/>
            </w:pPr>
            <w:r>
              <w:rPr>
                <w:rFonts w:ascii="Calibri" w:cs="Calibri" w:eastAsia="Calibri" w:hAnsi="Calibri"/>
                <w:sz w:val="20"/>
                <w:szCs w:val="20"/>
              </w:rPr>
              <w:t xml:space="preserve">APRA CPS 234 compliance</w:t>
            </w:r>
          </w:p>
        </w:tc>
        <w:tc>
          <w:tcPr>
            <w:tcW w:type="dxa" w:w="5000"/>
            <w:vAlign w:val="center"/>
          </w:tcPr>
          <w:p>
            <w:pPr>
              <w:spacing w:after="120"/>
              <w:jc w:val="left"/>
            </w:pPr>
            <w:r>
              <w:rPr>
                <w:rFonts w:ascii="Calibri" w:cs="Calibri" w:eastAsia="Calibri" w:hAnsi="Calibri"/>
                <w:sz w:val="20"/>
                <w:szCs w:val="20"/>
              </w:rPr>
              <w:t xml:space="preserve">Demonstrate information security controls commensurate with QBE's risk profile. 72-hour security incident notification to QBE. Regular independent security testing.</w:t>
            </w:r>
          </w:p>
        </w:tc>
        <w:tc>
          <w:tcPr>
            <w:tcW w:type="dxa" w:w="2000"/>
            <w:shd w:fill="E8F5E9" w:val="clear"/>
            <w:vAlign w:val="center"/>
          </w:tcPr>
          <w:p>
            <w:pPr>
              <w:spacing w:after="120"/>
              <w:jc w:val="left"/>
            </w:pPr>
            <w:r>
              <w:rPr>
                <w:rFonts w:ascii="Calibri" w:cs="Calibri" w:eastAsia="Calibri" w:hAnsi="Calibri"/>
                <w:sz w:val="20"/>
                <w:szCs w:val="20"/>
              </w:rPr>
              <w:t xml:space="preserve">Must</w:t>
            </w:r>
          </w:p>
        </w:tc>
      </w:tr>
      <w:tr>
        <w:tc>
          <w:tcPr>
            <w:tcW w:type="dxa" w:w="2800"/>
            <w:vAlign w:val="center"/>
          </w:tcPr>
          <w:p>
            <w:pPr>
              <w:spacing w:after="120"/>
              <w:jc w:val="left"/>
            </w:pPr>
            <w:r>
              <w:rPr>
                <w:rFonts w:ascii="Calibri" w:cs="Calibri" w:eastAsia="Calibri" w:hAnsi="Calibri"/>
                <w:sz w:val="20"/>
                <w:szCs w:val="20"/>
              </w:rPr>
              <w:t xml:space="preserve">Data sovereignty</w:t>
            </w:r>
          </w:p>
        </w:tc>
        <w:tc>
          <w:tcPr>
            <w:tcW w:type="dxa" w:w="5000"/>
            <w:vAlign w:val="center"/>
          </w:tcPr>
          <w:p>
            <w:pPr>
              <w:spacing w:after="120"/>
              <w:jc w:val="left"/>
            </w:pPr>
            <w:r>
              <w:rPr>
                <w:rFonts w:ascii="Calibri" w:cs="Calibri" w:eastAsia="Calibri" w:hAnsi="Calibri"/>
                <w:sz w:val="20"/>
                <w:szCs w:val="20"/>
              </w:rPr>
              <w:t xml:space="preserve">All transaction data and PII processed and stored within Australia. If offshore processing occurs, full transparency and APRA notification.</w:t>
            </w:r>
          </w:p>
        </w:tc>
        <w:tc>
          <w:tcPr>
            <w:tcW w:type="dxa" w:w="2000"/>
            <w:shd w:fill="E8F5E9" w:val="clear"/>
            <w:vAlign w:val="center"/>
          </w:tcPr>
          <w:p>
            <w:pPr>
              <w:spacing w:after="120"/>
              <w:jc w:val="left"/>
            </w:pPr>
            <w:r>
              <w:rPr>
                <w:rFonts w:ascii="Calibri" w:cs="Calibri" w:eastAsia="Calibri" w:hAnsi="Calibri"/>
                <w:sz w:val="20"/>
                <w:szCs w:val="20"/>
              </w:rPr>
              <w:t xml:space="preserve">Must</w:t>
            </w:r>
          </w:p>
        </w:tc>
      </w:tr>
      <w:tr>
        <w:tc>
          <w:tcPr>
            <w:tcW w:type="dxa" w:w="2800"/>
            <w:vAlign w:val="center"/>
          </w:tcPr>
          <w:p>
            <w:pPr>
              <w:spacing w:after="120"/>
              <w:jc w:val="left"/>
            </w:pPr>
            <w:r>
              <w:rPr>
                <w:rFonts w:ascii="Calibri" w:cs="Calibri" w:eastAsia="Calibri" w:hAnsi="Calibri"/>
                <w:sz w:val="20"/>
                <w:szCs w:val="20"/>
              </w:rPr>
              <w:t xml:space="preserve">Encryption</w:t>
            </w:r>
          </w:p>
        </w:tc>
        <w:tc>
          <w:tcPr>
            <w:tcW w:type="dxa" w:w="5000"/>
            <w:vAlign w:val="center"/>
          </w:tcPr>
          <w:p>
            <w:pPr>
              <w:spacing w:after="120"/>
              <w:jc w:val="left"/>
            </w:pPr>
            <w:r>
              <w:rPr>
                <w:rFonts w:ascii="Calibri" w:cs="Calibri" w:eastAsia="Calibri" w:hAnsi="Calibri"/>
                <w:sz w:val="20"/>
                <w:szCs w:val="20"/>
              </w:rPr>
              <w:t xml:space="preserve">TLS 1.3 for data in transit. AES-256 for data at rest. Key management practices aligned with PCI DSS and APRA expectations.</w:t>
            </w:r>
          </w:p>
        </w:tc>
        <w:tc>
          <w:tcPr>
            <w:tcW w:type="dxa" w:w="2000"/>
            <w:shd w:fill="E8F5E9" w:val="clear"/>
            <w:vAlign w:val="center"/>
          </w:tcPr>
          <w:p>
            <w:pPr>
              <w:spacing w:after="120"/>
              <w:jc w:val="left"/>
            </w:pPr>
            <w:r>
              <w:rPr>
                <w:rFonts w:ascii="Calibri" w:cs="Calibri" w:eastAsia="Calibri" w:hAnsi="Calibri"/>
                <w:sz w:val="20"/>
                <w:szCs w:val="20"/>
              </w:rPr>
              <w:t xml:space="preserve">Must</w:t>
            </w:r>
          </w:p>
        </w:tc>
      </w:tr>
      <w:tr>
        <w:tc>
          <w:tcPr>
            <w:tcW w:type="dxa" w:w="2800"/>
            <w:vAlign w:val="center"/>
          </w:tcPr>
          <w:p>
            <w:pPr>
              <w:spacing w:after="120"/>
              <w:jc w:val="left"/>
            </w:pPr>
            <w:r>
              <w:rPr>
                <w:rFonts w:ascii="Calibri" w:cs="Calibri" w:eastAsia="Calibri" w:hAnsi="Calibri"/>
                <w:sz w:val="20"/>
                <w:szCs w:val="20"/>
              </w:rPr>
              <w:t xml:space="preserve">Penetration testing</w:t>
            </w:r>
          </w:p>
        </w:tc>
        <w:tc>
          <w:tcPr>
            <w:tcW w:type="dxa" w:w="5000"/>
            <w:vAlign w:val="center"/>
          </w:tcPr>
          <w:p>
            <w:pPr>
              <w:spacing w:after="120"/>
              <w:jc w:val="left"/>
            </w:pPr>
            <w:r>
              <w:rPr>
                <w:rFonts w:ascii="Calibri" w:cs="Calibri" w:eastAsia="Calibri" w:hAnsi="Calibri"/>
                <w:sz w:val="20"/>
                <w:szCs w:val="20"/>
              </w:rPr>
              <w:t xml:space="preserve">Annual third-party penetration test of payment infrastructure. Share summary findings with QBE.</w:t>
            </w:r>
          </w:p>
        </w:tc>
        <w:tc>
          <w:tcPr>
            <w:tcW w:type="dxa" w:w="2000"/>
            <w:shd w:fill="E8F5E9" w:val="clear"/>
            <w:vAlign w:val="center"/>
          </w:tcPr>
          <w:p>
            <w:pPr>
              <w:spacing w:after="120"/>
              <w:jc w:val="left"/>
            </w:pPr>
            <w:r>
              <w:rPr>
                <w:rFonts w:ascii="Calibri" w:cs="Calibri" w:eastAsia="Calibri" w:hAnsi="Calibri"/>
                <w:sz w:val="20"/>
                <w:szCs w:val="20"/>
              </w:rPr>
              <w:t xml:space="preserve">Must</w:t>
            </w:r>
          </w:p>
        </w:tc>
      </w:tr>
      <w:tr>
        <w:tc>
          <w:tcPr>
            <w:tcW w:type="dxa" w:w="2800"/>
            <w:vAlign w:val="center"/>
          </w:tcPr>
          <w:p>
            <w:pPr>
              <w:spacing w:after="120"/>
              <w:jc w:val="left"/>
            </w:pPr>
            <w:r>
              <w:rPr>
                <w:rFonts w:ascii="Calibri" w:cs="Calibri" w:eastAsia="Calibri" w:hAnsi="Calibri"/>
                <w:sz w:val="20"/>
                <w:szCs w:val="20"/>
              </w:rPr>
              <w:t xml:space="preserve">Privacy Act (Cth)</w:t>
            </w:r>
          </w:p>
        </w:tc>
        <w:tc>
          <w:tcPr>
            <w:tcW w:type="dxa" w:w="5000"/>
            <w:vAlign w:val="center"/>
          </w:tcPr>
          <w:p>
            <w:pPr>
              <w:spacing w:after="120"/>
              <w:jc w:val="left"/>
            </w:pPr>
            <w:r>
              <w:rPr>
                <w:rFonts w:ascii="Calibri" w:cs="Calibri" w:eastAsia="Calibri" w:hAnsi="Calibri"/>
                <w:sz w:val="20"/>
                <w:szCs w:val="20"/>
              </w:rPr>
              <w:t xml:space="preserve">Compliance with Australian Privacy Principles. Data breach notification under NDB scheme.</w:t>
            </w:r>
          </w:p>
        </w:tc>
        <w:tc>
          <w:tcPr>
            <w:tcW w:type="dxa" w:w="2000"/>
            <w:shd w:fill="E8F5E9" w:val="clear"/>
            <w:vAlign w:val="center"/>
          </w:tcPr>
          <w:p>
            <w:pPr>
              <w:spacing w:after="120"/>
              <w:jc w:val="left"/>
            </w:pPr>
            <w:r>
              <w:rPr>
                <w:rFonts w:ascii="Calibri" w:cs="Calibri" w:eastAsia="Calibri" w:hAnsi="Calibri"/>
                <w:sz w:val="20"/>
                <w:szCs w:val="20"/>
              </w:rPr>
              <w:t xml:space="preserve">Must</w:t>
            </w:r>
          </w:p>
        </w:tc>
      </w:tr>
    </w:tbl>
    <w:p>
      <w:pPr>
        <w:pStyle w:val="Heading2"/>
        <w:spacing w:after="120" w:before="240"/>
      </w:pPr>
      <w:r>
        <w:t xml:space="preserve">5.3 Operational &amp; Contractual</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800"/>
        <w:gridCol w:w="5000"/>
        <w:gridCol w:w="2000"/>
      </w:tblGrid>
      <w:tr>
        <w:tc>
          <w:tcPr>
            <w:tcW w:type="dxa" w:w="2800"/>
            <w:shd w:fill="002244" w:val="clear"/>
            <w:vAlign w:val="center"/>
          </w:tcPr>
          <w:p>
            <w:pPr>
              <w:spacing w:after="40"/>
            </w:pPr>
            <w:r>
              <w:rPr>
                <w:rFonts w:ascii="Calibri" w:cs="Calibri" w:eastAsia="Calibri" w:hAnsi="Calibri"/>
                <w:b/>
                <w:bCs/>
                <w:color w:val="FFFFFF"/>
                <w:sz w:val="20"/>
                <w:szCs w:val="20"/>
              </w:rPr>
              <w:t xml:space="preserve">Requirement</w:t>
            </w:r>
          </w:p>
        </w:tc>
        <w:tc>
          <w:tcPr>
            <w:tcW w:type="dxa" w:w="5000"/>
            <w:shd w:fill="002244" w:val="clear"/>
            <w:vAlign w:val="center"/>
          </w:tcPr>
          <w:p>
            <w:pPr>
              <w:spacing w:after="40"/>
            </w:pPr>
            <w:r>
              <w:rPr>
                <w:rFonts w:ascii="Calibri" w:cs="Calibri" w:eastAsia="Calibri" w:hAnsi="Calibri"/>
                <w:b/>
                <w:bCs/>
                <w:color w:val="FFFFFF"/>
                <w:sz w:val="20"/>
                <w:szCs w:val="20"/>
              </w:rPr>
              <w:t xml:space="preserve">Specification</w:t>
            </w:r>
          </w:p>
        </w:tc>
        <w:tc>
          <w:tcPr>
            <w:tcW w:type="dxa" w:w="2000"/>
            <w:shd w:fill="002244" w:val="clear"/>
            <w:vAlign w:val="center"/>
          </w:tcPr>
          <w:p>
            <w:pPr>
              <w:spacing w:after="40"/>
            </w:pPr>
            <w:r>
              <w:rPr>
                <w:rFonts w:ascii="Calibri" w:cs="Calibri" w:eastAsia="Calibri" w:hAnsi="Calibri"/>
                <w:b/>
                <w:bCs/>
                <w:color w:val="FFFFFF"/>
                <w:sz w:val="20"/>
                <w:szCs w:val="20"/>
              </w:rPr>
              <w:t xml:space="preserve">Priority</w:t>
            </w:r>
          </w:p>
        </w:tc>
      </w:tr>
      <w:tr>
        <w:tc>
          <w:tcPr>
            <w:tcW w:type="dxa" w:w="2800"/>
            <w:vAlign w:val="center"/>
          </w:tcPr>
          <w:p>
            <w:pPr>
              <w:spacing w:after="120"/>
              <w:jc w:val="left"/>
            </w:pPr>
            <w:r>
              <w:rPr>
                <w:rFonts w:ascii="Calibri" w:cs="Calibri" w:eastAsia="Calibri" w:hAnsi="Calibri"/>
                <w:sz w:val="20"/>
                <w:szCs w:val="20"/>
              </w:rPr>
              <w:t xml:space="preserve">Support model</w:t>
            </w:r>
          </w:p>
        </w:tc>
        <w:tc>
          <w:tcPr>
            <w:tcW w:type="dxa" w:w="5000"/>
            <w:vAlign w:val="center"/>
          </w:tcPr>
          <w:p>
            <w:pPr>
              <w:spacing w:after="120"/>
              <w:jc w:val="left"/>
            </w:pPr>
            <w:r>
              <w:rPr>
                <w:rFonts w:ascii="Calibri" w:cs="Calibri" w:eastAsia="Calibri" w:hAnsi="Calibri"/>
                <w:sz w:val="20"/>
                <w:szCs w:val="20"/>
              </w:rPr>
              <w:t xml:space="preserve">24/7 technical support with named account manager. P1 response ≤ 15 minutes, resolution ≤ 4 hours. Australian business hours for P2/P3.</w:t>
            </w:r>
          </w:p>
        </w:tc>
        <w:tc>
          <w:tcPr>
            <w:tcW w:type="dxa" w:w="2000"/>
            <w:shd w:fill="E8F5E9" w:val="clear"/>
            <w:vAlign w:val="center"/>
          </w:tcPr>
          <w:p>
            <w:pPr>
              <w:spacing w:after="120"/>
              <w:jc w:val="left"/>
            </w:pPr>
            <w:r>
              <w:rPr>
                <w:rFonts w:ascii="Calibri" w:cs="Calibri" w:eastAsia="Calibri" w:hAnsi="Calibri"/>
                <w:sz w:val="20"/>
                <w:szCs w:val="20"/>
              </w:rPr>
              <w:t xml:space="preserve">Must</w:t>
            </w:r>
          </w:p>
        </w:tc>
      </w:tr>
      <w:tr>
        <w:tc>
          <w:tcPr>
            <w:tcW w:type="dxa" w:w="2800"/>
            <w:vAlign w:val="center"/>
          </w:tcPr>
          <w:p>
            <w:pPr>
              <w:spacing w:after="120"/>
              <w:jc w:val="left"/>
            </w:pPr>
            <w:r>
              <w:rPr>
                <w:rFonts w:ascii="Calibri" w:cs="Calibri" w:eastAsia="Calibri" w:hAnsi="Calibri"/>
                <w:sz w:val="20"/>
                <w:szCs w:val="20"/>
              </w:rPr>
              <w:t xml:space="preserve">Onboarding &amp; migration</w:t>
            </w:r>
          </w:p>
        </w:tc>
        <w:tc>
          <w:tcPr>
            <w:tcW w:type="dxa" w:w="5000"/>
            <w:vAlign w:val="center"/>
          </w:tcPr>
          <w:p>
            <w:pPr>
              <w:spacing w:after="120"/>
              <w:jc w:val="left"/>
            </w:pPr>
            <w:r>
              <w:rPr>
                <w:rFonts w:ascii="Calibri" w:cs="Calibri" w:eastAsia="Calibri" w:hAnsi="Calibri"/>
                <w:sz w:val="20"/>
                <w:szCs w:val="20"/>
              </w:rPr>
              <w:t xml:space="preserve">Dedicated implementation team. Phased migration plan supporting dual-running. Token migration from existing vaults (CyberSource, Windcave).</w:t>
            </w:r>
          </w:p>
        </w:tc>
        <w:tc>
          <w:tcPr>
            <w:tcW w:type="dxa" w:w="2000"/>
            <w:shd w:fill="E8F5E9" w:val="clear"/>
            <w:vAlign w:val="center"/>
          </w:tcPr>
          <w:p>
            <w:pPr>
              <w:spacing w:after="120"/>
              <w:jc w:val="left"/>
            </w:pPr>
            <w:r>
              <w:rPr>
                <w:rFonts w:ascii="Calibri" w:cs="Calibri" w:eastAsia="Calibri" w:hAnsi="Calibri"/>
                <w:sz w:val="20"/>
                <w:szCs w:val="20"/>
              </w:rPr>
              <w:t xml:space="preserve">Must</w:t>
            </w:r>
          </w:p>
        </w:tc>
      </w:tr>
      <w:tr>
        <w:tc>
          <w:tcPr>
            <w:tcW w:type="dxa" w:w="2800"/>
            <w:vAlign w:val="center"/>
          </w:tcPr>
          <w:p>
            <w:pPr>
              <w:spacing w:after="120"/>
              <w:jc w:val="left"/>
            </w:pPr>
            <w:r>
              <w:rPr>
                <w:rFonts w:ascii="Calibri" w:cs="Calibri" w:eastAsia="Calibri" w:hAnsi="Calibri"/>
                <w:sz w:val="20"/>
                <w:szCs w:val="20"/>
              </w:rPr>
              <w:t xml:space="preserve">SLA governance</w:t>
            </w:r>
          </w:p>
        </w:tc>
        <w:tc>
          <w:tcPr>
            <w:tcW w:type="dxa" w:w="5000"/>
            <w:vAlign w:val="center"/>
          </w:tcPr>
          <w:p>
            <w:pPr>
              <w:spacing w:after="120"/>
              <w:jc w:val="left"/>
            </w:pPr>
            <w:r>
              <w:rPr>
                <w:rFonts w:ascii="Calibri" w:cs="Calibri" w:eastAsia="Calibri" w:hAnsi="Calibri"/>
                <w:sz w:val="20"/>
                <w:szCs w:val="20"/>
              </w:rPr>
              <w:t xml:space="preserve">Monthly SLA reporting. Quarterly business reviews. Annual strategic roadmap review. Service credits for SLA breaches.</w:t>
            </w:r>
          </w:p>
        </w:tc>
        <w:tc>
          <w:tcPr>
            <w:tcW w:type="dxa" w:w="2000"/>
            <w:shd w:fill="E8F5E9" w:val="clear"/>
            <w:vAlign w:val="center"/>
          </w:tcPr>
          <w:p>
            <w:pPr>
              <w:spacing w:after="120"/>
              <w:jc w:val="left"/>
            </w:pPr>
            <w:r>
              <w:rPr>
                <w:rFonts w:ascii="Calibri" w:cs="Calibri" w:eastAsia="Calibri" w:hAnsi="Calibri"/>
                <w:sz w:val="20"/>
                <w:szCs w:val="20"/>
              </w:rPr>
              <w:t xml:space="preserve">Must</w:t>
            </w:r>
          </w:p>
        </w:tc>
      </w:tr>
      <w:tr>
        <w:tc>
          <w:tcPr>
            <w:tcW w:type="dxa" w:w="2800"/>
            <w:vAlign w:val="center"/>
          </w:tcPr>
          <w:p>
            <w:pPr>
              <w:spacing w:after="120"/>
              <w:jc w:val="left"/>
            </w:pPr>
            <w:r>
              <w:rPr>
                <w:rFonts w:ascii="Calibri" w:cs="Calibri" w:eastAsia="Calibri" w:hAnsi="Calibri"/>
                <w:sz w:val="20"/>
                <w:szCs w:val="20"/>
              </w:rPr>
              <w:t xml:space="preserve">Exit provisions</w:t>
            </w:r>
          </w:p>
        </w:tc>
        <w:tc>
          <w:tcPr>
            <w:tcW w:type="dxa" w:w="5000"/>
            <w:vAlign w:val="center"/>
          </w:tcPr>
          <w:p>
            <w:pPr>
              <w:spacing w:after="120"/>
              <w:jc w:val="left"/>
            </w:pPr>
            <w:r>
              <w:rPr>
                <w:rFonts w:ascii="Calibri" w:cs="Calibri" w:eastAsia="Calibri" w:hAnsi="Calibri"/>
                <w:sz w:val="20"/>
                <w:szCs w:val="20"/>
              </w:rPr>
              <w:t xml:space="preserve">12-month transition assistance on contract exit. Data extraction in standard formats. Token migration support. No punitive exit fees.</w:t>
            </w:r>
          </w:p>
        </w:tc>
        <w:tc>
          <w:tcPr>
            <w:tcW w:type="dxa" w:w="2000"/>
            <w:shd w:fill="E8F5E9" w:val="clear"/>
            <w:vAlign w:val="center"/>
          </w:tcPr>
          <w:p>
            <w:pPr>
              <w:spacing w:after="120"/>
              <w:jc w:val="left"/>
            </w:pPr>
            <w:r>
              <w:rPr>
                <w:rFonts w:ascii="Calibri" w:cs="Calibri" w:eastAsia="Calibri" w:hAnsi="Calibri"/>
                <w:sz w:val="20"/>
                <w:szCs w:val="20"/>
              </w:rPr>
              <w:t xml:space="preserve">Must</w:t>
            </w:r>
          </w:p>
        </w:tc>
      </w:tr>
      <w:tr>
        <w:tc>
          <w:tcPr>
            <w:tcW w:type="dxa" w:w="2800"/>
            <w:vAlign w:val="center"/>
          </w:tcPr>
          <w:p>
            <w:pPr>
              <w:spacing w:after="120"/>
              <w:jc w:val="left"/>
            </w:pPr>
            <w:r>
              <w:rPr>
                <w:rFonts w:ascii="Calibri" w:cs="Calibri" w:eastAsia="Calibri" w:hAnsi="Calibri"/>
                <w:sz w:val="20"/>
                <w:szCs w:val="20"/>
              </w:rPr>
              <w:t xml:space="preserve">Change management</w:t>
            </w:r>
          </w:p>
        </w:tc>
        <w:tc>
          <w:tcPr>
            <w:tcW w:type="dxa" w:w="5000"/>
            <w:vAlign w:val="center"/>
          </w:tcPr>
          <w:p>
            <w:pPr>
              <w:spacing w:after="120"/>
              <w:jc w:val="left"/>
            </w:pPr>
            <w:r>
              <w:rPr>
                <w:rFonts w:ascii="Calibri" w:cs="Calibri" w:eastAsia="Calibri" w:hAnsi="Calibri"/>
                <w:sz w:val="20"/>
                <w:szCs w:val="20"/>
              </w:rPr>
              <w:t xml:space="preserve">30-day advance notice for API changes. 12-month backward compatibility for deprecated features. Sandbox/UAT environment.</w:t>
            </w:r>
          </w:p>
        </w:tc>
        <w:tc>
          <w:tcPr>
            <w:tcW w:type="dxa" w:w="2000"/>
            <w:shd w:fill="E3F2FD" w:val="clear"/>
            <w:vAlign w:val="center"/>
          </w:tcPr>
          <w:p>
            <w:pPr>
              <w:spacing w:after="120"/>
              <w:jc w:val="left"/>
            </w:pPr>
            <w:r>
              <w:rPr>
                <w:rFonts w:ascii="Calibri" w:cs="Calibri" w:eastAsia="Calibri" w:hAnsi="Calibri"/>
                <w:sz w:val="20"/>
                <w:szCs w:val="20"/>
              </w:rPr>
              <w:t xml:space="preserve">Should</w:t>
            </w:r>
          </w:p>
        </w:tc>
      </w:tr>
      <w:tr>
        <w:tc>
          <w:tcPr>
            <w:tcW w:type="dxa" w:w="2800"/>
            <w:vAlign w:val="center"/>
          </w:tcPr>
          <w:p>
            <w:pPr>
              <w:spacing w:after="120"/>
              <w:jc w:val="left"/>
            </w:pPr>
            <w:r>
              <w:rPr>
                <w:rFonts w:ascii="Calibri" w:cs="Calibri" w:eastAsia="Calibri" w:hAnsi="Calibri"/>
                <w:sz w:val="20"/>
                <w:szCs w:val="20"/>
              </w:rPr>
              <w:t xml:space="preserve">Scalability roadmap</w:t>
            </w:r>
          </w:p>
        </w:tc>
        <w:tc>
          <w:tcPr>
            <w:tcW w:type="dxa" w:w="5000"/>
            <w:vAlign w:val="center"/>
          </w:tcPr>
          <w:p>
            <w:pPr>
              <w:spacing w:after="120"/>
              <w:jc w:val="left"/>
            </w:pPr>
            <w:r>
              <w:rPr>
                <w:rFonts w:ascii="Calibri" w:cs="Calibri" w:eastAsia="Calibri" w:hAnsi="Calibri"/>
                <w:sz w:val="20"/>
                <w:szCs w:val="20"/>
              </w:rPr>
              <w:t xml:space="preserve">Vendor to share 3-year product roadmap covering new payment methods, scheme changes, and regulatory adaptation.</w:t>
            </w:r>
          </w:p>
        </w:tc>
        <w:tc>
          <w:tcPr>
            <w:tcW w:type="dxa" w:w="2000"/>
            <w:shd w:fill="E3F2FD" w:val="clear"/>
            <w:vAlign w:val="center"/>
          </w:tcPr>
          <w:p>
            <w:pPr>
              <w:spacing w:after="120"/>
              <w:jc w:val="left"/>
            </w:pPr>
            <w:r>
              <w:rPr>
                <w:rFonts w:ascii="Calibri" w:cs="Calibri" w:eastAsia="Calibri" w:hAnsi="Calibri"/>
                <w:sz w:val="20"/>
                <w:szCs w:val="20"/>
              </w:rPr>
              <w:t xml:space="preserve">Should</w:t>
            </w:r>
          </w:p>
        </w:tc>
      </w:tr>
    </w:tbl>
    <w:p>
      <w:r>
        <w:br w:type="page"/>
      </w:r>
    </w:p>
    <w:p>
      <w:pPr>
        <w:pStyle w:val="Heading1"/>
        <w:spacing w:after="120" w:before="400"/>
      </w:pPr>
      <w:r>
        <w:t xml:space="preserve">6. Vendor Landscape Assessment</w:t>
      </w:r>
    </w:p>
    <w:p>
      <w:pPr>
        <w:spacing w:after="120"/>
        <w:jc w:val="left"/>
      </w:pPr>
      <w:r>
        <w:rPr>
          <w:rFonts w:ascii="Calibri" w:cs="Calibri" w:eastAsia="Calibri" w:hAnsi="Calibri"/>
          <w:sz w:val="22"/>
          <w:szCs w:val="22"/>
        </w:rPr>
        <w:t xml:space="preserve">Based on QBE's volume profile (~2.1m transactions, ~$1.1b, mixed consumer/commercial, insurance-specific), regulatory environment (APRA, PCI DSS), and strategic goals (cost reduction, consolidation, modernisation), the following vendor tiers are recommended:</w:t>
      </w:r>
    </w:p>
    <w:p>
      <w:pPr>
        <w:pStyle w:val="Heading2"/>
        <w:spacing w:after="120" w:before="240"/>
      </w:pPr>
      <w:r>
        <w:t xml:space="preserve">6.1 Tier 1 — Strategic Fit (Recommend Engagement)</w:t>
      </w:r>
    </w:p>
    <w:p>
      <w:pPr>
        <w:pStyle w:val="ListParagraph"/>
        <w:numPr>
          <w:ilvl w:val="0"/>
          <w:numId w:val="2"/>
        </w:numPr>
        <w:spacing w:after="60"/>
      </w:pPr>
      <w:r>
        <w:rPr>
          <w:rFonts w:ascii="Calibri" w:cs="Calibri" w:eastAsia="Calibri" w:hAnsi="Calibri"/>
          <w:b/>
          <w:bCs/>
          <w:sz w:val="22"/>
          <w:szCs w:val="22"/>
        </w:rPr>
        <w:t xml:space="preserve">Adyen: </w:t>
      </w:r>
      <w:r>
        <w:rPr>
          <w:rFonts w:ascii="Calibri" w:cs="Calibri" w:eastAsia="Calibri" w:hAnsi="Calibri"/>
          <w:sz w:val="22"/>
          <w:szCs w:val="22"/>
        </w:rPr>
        <w:t xml:space="preserve">Single-platform gateway + acquiring + orchestration. Interchange++ pricing. Strong Australian acquiring licence. Native least-cost routing, network tokenisation, 3DS2, and real-time reporting. Best-in-class for enterprises processing $250m+. Insurance clients include AXA and Allianz globally. Supports PayTo via NPP integration. Consideration: requires dedicated implementation resources and Adyen's model is designed for scale, which suits QBE.</w:t>
      </w:r>
    </w:p>
    <w:p>
      <w:pPr>
        <w:pStyle w:val="ListParagraph"/>
        <w:numPr>
          <w:ilvl w:val="0"/>
          <w:numId w:val="2"/>
        </w:numPr>
        <w:spacing w:after="60"/>
      </w:pPr>
      <w:r>
        <w:rPr>
          <w:rFonts w:ascii="Calibri" w:cs="Calibri" w:eastAsia="Calibri" w:hAnsi="Calibri"/>
          <w:b/>
          <w:bCs/>
          <w:sz w:val="22"/>
          <w:szCs w:val="22"/>
        </w:rPr>
        <w:t xml:space="preserve">Stripe: </w:t>
      </w:r>
      <w:r>
        <w:rPr>
          <w:rFonts w:ascii="Calibri" w:cs="Calibri" w:eastAsia="Calibri" w:hAnsi="Calibri"/>
          <w:sz w:val="22"/>
          <w:szCs w:val="22"/>
        </w:rPr>
        <w:t xml:space="preserve">Developer-first platform with Stripe Billing (recurring), Stripe Connect, and recently acquired Metronome for usage-based billing. Processed $1.9T in 2025. Strong API/SDK ecosystem. Australian entity and acquiring. Interchange++ available at enterprise volumes. Consideration: historically e-commerce focused, but enterprise capability has improved significantly. Evaluate Guidewire integration maturity.</w:t>
      </w:r>
    </w:p>
    <w:p>
      <w:pPr>
        <w:pStyle w:val="ListParagraph"/>
        <w:numPr>
          <w:ilvl w:val="0"/>
          <w:numId w:val="2"/>
        </w:numPr>
        <w:spacing w:after="60"/>
      </w:pPr>
      <w:r>
        <w:rPr>
          <w:rFonts w:ascii="Calibri" w:cs="Calibri" w:eastAsia="Calibri" w:hAnsi="Calibri"/>
          <w:b/>
          <w:bCs/>
          <w:sz w:val="22"/>
          <w:szCs w:val="22"/>
        </w:rPr>
        <w:t xml:space="preserve">CyberSource (Visa): </w:t>
      </w:r>
      <w:r>
        <w:rPr>
          <w:rFonts w:ascii="Calibri" w:cs="Calibri" w:eastAsia="Calibri" w:hAnsi="Calibri"/>
          <w:sz w:val="22"/>
          <w:szCs w:val="22"/>
        </w:rPr>
        <w:t xml:space="preserve">QBE's incumbent for Omni/Worldline and Elders. Decision Manager for fraud. Token Management Service. Consideration: incumbent advantage (token vault continuity, known integration), but evaluate whether pricing is competitive post-RBA reforms and whether orchestration capability matches newer entrants.</w:t>
      </w:r>
    </w:p>
    <w:p>
      <w:pPr>
        <w:pStyle w:val="Heading2"/>
        <w:spacing w:after="120" w:before="240"/>
      </w:pPr>
      <w:r>
        <w:t xml:space="preserve">6.2 Tier 2 — Strong Consideration</w:t>
      </w:r>
    </w:p>
    <w:p>
      <w:pPr>
        <w:pStyle w:val="ListParagraph"/>
        <w:numPr>
          <w:ilvl w:val="0"/>
          <w:numId w:val="2"/>
        </w:numPr>
        <w:spacing w:after="60"/>
      </w:pPr>
      <w:r>
        <w:rPr>
          <w:rFonts w:ascii="Calibri" w:cs="Calibri" w:eastAsia="Calibri" w:hAnsi="Calibri"/>
          <w:b/>
          <w:bCs/>
          <w:sz w:val="22"/>
          <w:szCs w:val="22"/>
        </w:rPr>
        <w:t xml:space="preserve">Checkout.com: </w:t>
      </w:r>
      <w:r>
        <w:rPr>
          <w:rFonts w:ascii="Calibri" w:cs="Calibri" w:eastAsia="Calibri" w:hAnsi="Calibri"/>
          <w:sz w:val="22"/>
          <w:szCs w:val="22"/>
        </w:rPr>
        <w:t xml:space="preserve">Full-stack payments with Australian acquiring. Competitive interchange++ pricing. Native orchestration with Flow (smart routing). Good fraud detection. Growing insurance vertical presence.</w:t>
      </w:r>
    </w:p>
    <w:p>
      <w:pPr>
        <w:pStyle w:val="ListParagraph"/>
        <w:numPr>
          <w:ilvl w:val="0"/>
          <w:numId w:val="2"/>
        </w:numPr>
        <w:spacing w:after="60"/>
      </w:pPr>
      <w:r>
        <w:rPr>
          <w:rFonts w:ascii="Calibri" w:cs="Calibri" w:eastAsia="Calibri" w:hAnsi="Calibri"/>
          <w:b/>
          <w:bCs/>
          <w:sz w:val="22"/>
          <w:szCs w:val="22"/>
        </w:rPr>
        <w:t xml:space="preserve">Windcave: </w:t>
      </w:r>
      <w:r>
        <w:rPr>
          <w:rFonts w:ascii="Calibri" w:cs="Calibri" w:eastAsia="Calibri" w:hAnsi="Calibri"/>
          <w:sz w:val="22"/>
          <w:szCs w:val="22"/>
        </w:rPr>
        <w:t xml:space="preserve">QBE's incumbent for CTP. Strong in ANZ market. HPP and API integration. PayTo support. Consideration: evaluate whether Windcave's product roadmap and scale match QBE's 3-year ambitions for a consolidated platform.</w:t>
      </w:r>
    </w:p>
    <w:p>
      <w:pPr>
        <w:pStyle w:val="ListParagraph"/>
        <w:numPr>
          <w:ilvl w:val="0"/>
          <w:numId w:val="2"/>
        </w:numPr>
        <w:spacing w:after="60"/>
      </w:pPr>
      <w:r>
        <w:rPr>
          <w:rFonts w:ascii="Calibri" w:cs="Calibri" w:eastAsia="Calibri" w:hAnsi="Calibri"/>
          <w:b/>
          <w:bCs/>
          <w:sz w:val="22"/>
          <w:szCs w:val="22"/>
        </w:rPr>
        <w:t xml:space="preserve">ANZ / CBA / Westpac (bank acquirers): </w:t>
      </w:r>
      <w:r>
        <w:rPr>
          <w:rFonts w:ascii="Calibri" w:cs="Calibri" w:eastAsia="Calibri" w:hAnsi="Calibri"/>
          <w:sz w:val="22"/>
          <w:szCs w:val="22"/>
        </w:rPr>
        <w:t xml:space="preserve">CBA has the lowest current scheme and acquirer fees at 0.17%. Useful as acquiring partners in a multi-acquirer orchestration model, particularly for least-cost eftpos routing. May not offer the full gateway/orchestration/tokenisation stack as a standalone solution.</w:t>
      </w:r>
    </w:p>
    <w:p>
      <w:pPr>
        <w:pStyle w:val="Heading2"/>
        <w:spacing w:after="120" w:before="240"/>
      </w:pPr>
      <w:r>
        <w:t xml:space="preserve">6.3 Tier 3 — Evaluate for Niche</w:t>
      </w:r>
    </w:p>
    <w:p>
      <w:pPr>
        <w:pStyle w:val="ListParagraph"/>
        <w:numPr>
          <w:ilvl w:val="0"/>
          <w:numId w:val="2"/>
        </w:numPr>
        <w:spacing w:after="60"/>
      </w:pPr>
      <w:r>
        <w:rPr>
          <w:rFonts w:ascii="Calibri" w:cs="Calibri" w:eastAsia="Calibri" w:hAnsi="Calibri"/>
          <w:b/>
          <w:bCs/>
          <w:sz w:val="22"/>
          <w:szCs w:val="22"/>
        </w:rPr>
        <w:t xml:space="preserve">FatZebra: </w:t>
      </w:r>
      <w:r>
        <w:rPr>
          <w:rFonts w:ascii="Calibri" w:cs="Calibri" w:eastAsia="Calibri" w:hAnsi="Calibri"/>
          <w:sz w:val="22"/>
          <w:szCs w:val="22"/>
        </w:rPr>
        <w:t xml:space="preserve">Australian-built gateway. Strong in insurance vertical (claims disbursement, PayTo, NPP payouts). Consider for outbound payment specialisation or as a complement to a Tier 1 inbound gateway.</w:t>
      </w:r>
    </w:p>
    <w:p>
      <w:pPr>
        <w:pStyle w:val="ListParagraph"/>
        <w:numPr>
          <w:ilvl w:val="0"/>
          <w:numId w:val="2"/>
        </w:numPr>
        <w:spacing w:after="60"/>
      </w:pPr>
      <w:r>
        <w:rPr>
          <w:rFonts w:ascii="Calibri" w:cs="Calibri" w:eastAsia="Calibri" w:hAnsi="Calibri"/>
          <w:b/>
          <w:bCs/>
          <w:sz w:val="22"/>
          <w:szCs w:val="22"/>
        </w:rPr>
        <w:t xml:space="preserve">PayPal/Braintree: </w:t>
      </w:r>
      <w:r>
        <w:rPr>
          <w:rFonts w:ascii="Calibri" w:cs="Calibri" w:eastAsia="Calibri" w:hAnsi="Calibri"/>
          <w:sz w:val="22"/>
          <w:szCs w:val="22"/>
        </w:rPr>
        <w:t xml:space="preserve">Primarily for PayPal wallet acceptance. Unlikely to be primary gateway but important as a payment method integration.</w:t>
      </w:r>
    </w:p>
    <w:p>
      <w:pPr>
        <w:pStyle w:val="ListParagraph"/>
        <w:numPr>
          <w:ilvl w:val="0"/>
          <w:numId w:val="2"/>
        </w:numPr>
        <w:spacing w:after="60"/>
      </w:pPr>
      <w:r>
        <w:rPr>
          <w:rFonts w:ascii="Calibri" w:cs="Calibri" w:eastAsia="Calibri" w:hAnsi="Calibri"/>
          <w:b/>
          <w:bCs/>
          <w:sz w:val="22"/>
          <w:szCs w:val="22"/>
        </w:rPr>
        <w:t xml:space="preserve">Adyen via bank partner: </w:t>
      </w:r>
      <w:r>
        <w:rPr>
          <w:rFonts w:ascii="Calibri" w:cs="Calibri" w:eastAsia="Calibri" w:hAnsi="Calibri"/>
          <w:sz w:val="22"/>
          <w:szCs w:val="22"/>
        </w:rPr>
        <w:t xml:space="preserve">Some banks offer Adyen-powered acquiring. Evaluate whether this provides pricing benefit with Adyen capability.</w:t>
      </w:r>
    </w:p>
    <w:p>
      <w:r>
        <w:br w:type="page"/>
      </w:r>
    </w:p>
    <w:p>
      <w:pPr>
        <w:pStyle w:val="Heading1"/>
        <w:spacing w:after="120" w:before="400"/>
      </w:pPr>
      <w:r>
        <w:t xml:space="preserve">7. Commercial Model Recommendations</w:t>
      </w:r>
    </w:p>
    <w:p>
      <w:pPr>
        <w:spacing w:after="120"/>
        <w:jc w:val="left"/>
      </w:pPr>
      <w:r>
        <w:rPr>
          <w:rFonts w:ascii="Calibri" w:cs="Calibri" w:eastAsia="Calibri" w:hAnsi="Calibri"/>
          <w:sz w:val="22"/>
          <w:szCs w:val="22"/>
        </w:rPr>
        <w:t xml:space="preserve">The existing RFI requests indicative pricing on Interchange++ and strategic interchange rates. The following refinements are recommended:</w:t>
      </w:r>
    </w:p>
    <w:p>
      <w:pPr>
        <w:pStyle w:val="ListParagraph"/>
        <w:numPr>
          <w:ilvl w:val="0"/>
          <w:numId w:val="2"/>
        </w:numPr>
        <w:spacing w:after="60"/>
      </w:pPr>
      <w:r>
        <w:rPr>
          <w:rFonts w:ascii="Calibri" w:cs="Calibri" w:eastAsia="Calibri" w:hAnsi="Calibri"/>
          <w:b/>
          <w:bCs/>
          <w:sz w:val="22"/>
          <w:szCs w:val="22"/>
        </w:rPr>
        <w:t xml:space="preserve">Mandate Interchange++ only: </w:t>
      </w:r>
      <w:r>
        <w:rPr>
          <w:rFonts w:ascii="Calibri" w:cs="Calibri" w:eastAsia="Calibri" w:hAnsi="Calibri"/>
          <w:sz w:val="22"/>
          <w:szCs w:val="22"/>
        </w:rPr>
        <w:t xml:space="preserve">Blended rates obscure the benefit of RBA interchange reductions. All vendor pricing must be Interchange + Scheme Fee + Acquirer Margin, each separately line-itemed.</w:t>
      </w:r>
    </w:p>
    <w:p>
      <w:pPr>
        <w:pStyle w:val="ListParagraph"/>
        <w:numPr>
          <w:ilvl w:val="0"/>
          <w:numId w:val="2"/>
        </w:numPr>
        <w:spacing w:after="60"/>
      </w:pPr>
      <w:r>
        <w:rPr>
          <w:rFonts w:ascii="Calibri" w:cs="Calibri" w:eastAsia="Calibri" w:hAnsi="Calibri"/>
          <w:b/>
          <w:bCs/>
          <w:sz w:val="22"/>
          <w:szCs w:val="22"/>
        </w:rPr>
        <w:t xml:space="preserve">Request pre- and post-reform pricing: </w:t>
      </w:r>
      <w:r>
        <w:rPr>
          <w:rFonts w:ascii="Calibri" w:cs="Calibri" w:eastAsia="Calibri" w:hAnsi="Calibri"/>
          <w:sz w:val="22"/>
          <w:szCs w:val="22"/>
        </w:rPr>
        <w:t xml:space="preserve">Vendors should provide pricing based on current interchange caps and post-1 October 2026 caps, demonstrating the pass-through commitment.</w:t>
      </w:r>
    </w:p>
    <w:p>
      <w:pPr>
        <w:pStyle w:val="ListParagraph"/>
        <w:numPr>
          <w:ilvl w:val="0"/>
          <w:numId w:val="2"/>
        </w:numPr>
        <w:spacing w:after="60"/>
      </w:pPr>
      <w:r>
        <w:rPr>
          <w:rFonts w:ascii="Calibri" w:cs="Calibri" w:eastAsia="Calibri" w:hAnsi="Calibri"/>
          <w:b/>
          <w:bCs/>
          <w:sz w:val="22"/>
          <w:szCs w:val="22"/>
        </w:rPr>
        <w:t xml:space="preserve">Gateway fee structure: </w:t>
      </w:r>
      <w:r>
        <w:rPr>
          <w:rFonts w:ascii="Calibri" w:cs="Calibri" w:eastAsia="Calibri" w:hAnsi="Calibri"/>
          <w:sz w:val="22"/>
          <w:szCs w:val="22"/>
        </w:rPr>
        <w:t xml:space="preserve">Separate gateway fees from acquiring fees. If a vendor provides both, break down the per-transaction gateway fee, the acquiring margin, and any platform fees.</w:t>
      </w:r>
    </w:p>
    <w:p>
      <w:pPr>
        <w:pStyle w:val="ListParagraph"/>
        <w:numPr>
          <w:ilvl w:val="0"/>
          <w:numId w:val="2"/>
        </w:numPr>
        <w:spacing w:after="60"/>
      </w:pPr>
      <w:r>
        <w:rPr>
          <w:rFonts w:ascii="Calibri" w:cs="Calibri" w:eastAsia="Calibri" w:hAnsi="Calibri"/>
          <w:b/>
          <w:bCs/>
          <w:sz w:val="22"/>
          <w:szCs w:val="22"/>
        </w:rPr>
        <w:t xml:space="preserve">Volume-tiered pricing: </w:t>
      </w:r>
      <w:r>
        <w:rPr>
          <w:rFonts w:ascii="Calibri" w:cs="Calibri" w:eastAsia="Calibri" w:hAnsi="Calibri"/>
          <w:sz w:val="22"/>
          <w:szCs w:val="22"/>
        </w:rPr>
        <w:t xml:space="preserve">Request pricing at current volumes (~2.1m txns), projected consolidated volumes (if consolidating from 3 to 1 provider), and stretch volumes (3-year growth scenario).</w:t>
      </w:r>
    </w:p>
    <w:p>
      <w:pPr>
        <w:pStyle w:val="ListParagraph"/>
        <w:numPr>
          <w:ilvl w:val="0"/>
          <w:numId w:val="2"/>
        </w:numPr>
        <w:spacing w:after="60"/>
      </w:pPr>
      <w:r>
        <w:rPr>
          <w:rFonts w:ascii="Calibri" w:cs="Calibri" w:eastAsia="Calibri" w:hAnsi="Calibri"/>
          <w:b/>
          <w:bCs/>
          <w:sz w:val="22"/>
          <w:szCs w:val="22"/>
        </w:rPr>
        <w:t xml:space="preserve">PayTo / NPP pricing: </w:t>
      </w:r>
      <w:r>
        <w:rPr>
          <w:rFonts w:ascii="Calibri" w:cs="Calibri" w:eastAsia="Calibri" w:hAnsi="Calibri"/>
          <w:sz w:val="22"/>
          <w:szCs w:val="22"/>
        </w:rPr>
        <w:t xml:space="preserve">Request per-transaction pricing for PayTo mandates and NPP payments separately from card pricing. These rails have fundamentally different cost structures.</w:t>
      </w:r>
    </w:p>
    <w:p>
      <w:pPr>
        <w:pStyle w:val="ListParagraph"/>
        <w:numPr>
          <w:ilvl w:val="0"/>
          <w:numId w:val="2"/>
        </w:numPr>
        <w:spacing w:after="60"/>
      </w:pPr>
      <w:r>
        <w:rPr>
          <w:rFonts w:ascii="Calibri" w:cs="Calibri" w:eastAsia="Calibri" w:hAnsi="Calibri"/>
          <w:b/>
          <w:bCs/>
          <w:sz w:val="22"/>
          <w:szCs w:val="22"/>
        </w:rPr>
        <w:t xml:space="preserve">Total cost of ownership: </w:t>
      </w:r>
      <w:r>
        <w:rPr>
          <w:rFonts w:ascii="Calibri" w:cs="Calibri" w:eastAsia="Calibri" w:hAnsi="Calibri"/>
          <w:sz w:val="22"/>
          <w:szCs w:val="22"/>
        </w:rPr>
        <w:t xml:space="preserve">Request implementation costs, annual platform fees, integration costs, token migration costs, and any minimum commitments alongside per-transaction pricing.</w:t>
      </w:r>
    </w:p>
    <w:p>
      <w:pPr>
        <w:pBdr>
          <w:bottom w:val="single" w:color="0066CC" w:sz="6"/>
        </w:pBdr>
        <w:spacing w:after="100" w:before="100"/>
      </w:pPr>
    </w:p>
    <w:p>
      <w:pPr>
        <w:pStyle w:val="Heading1"/>
        <w:spacing w:after="120" w:before="400"/>
      </w:pPr>
      <w:r>
        <w:t xml:space="preserve">8. Recommended Evaluation Criteria</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4800"/>
      </w:tblGrid>
      <w:tr>
        <w:tc>
          <w:tcPr>
            <w:tcW w:type="dxa" w:w="3500"/>
            <w:shd w:fill="002244" w:val="clear"/>
            <w:vAlign w:val="center"/>
          </w:tcPr>
          <w:p>
            <w:pPr>
              <w:spacing w:after="40"/>
            </w:pPr>
            <w:r>
              <w:rPr>
                <w:rFonts w:ascii="Calibri" w:cs="Calibri" w:eastAsia="Calibri" w:hAnsi="Calibri"/>
                <w:b/>
                <w:bCs/>
                <w:color w:val="FFFFFF"/>
                <w:sz w:val="20"/>
                <w:szCs w:val="20"/>
              </w:rPr>
              <w:t xml:space="preserve">Criterion</w:t>
            </w:r>
          </w:p>
        </w:tc>
        <w:tc>
          <w:tcPr>
            <w:tcW w:type="dxa" w:w="1500"/>
            <w:shd w:fill="002244" w:val="clear"/>
            <w:vAlign w:val="center"/>
          </w:tcPr>
          <w:p>
            <w:pPr>
              <w:spacing w:after="40"/>
            </w:pPr>
            <w:r>
              <w:rPr>
                <w:rFonts w:ascii="Calibri" w:cs="Calibri" w:eastAsia="Calibri" w:hAnsi="Calibri"/>
                <w:b/>
                <w:bCs/>
                <w:color w:val="FFFFFF"/>
                <w:sz w:val="20"/>
                <w:szCs w:val="20"/>
              </w:rPr>
              <w:t xml:space="preserve">Weighting</w:t>
            </w:r>
          </w:p>
        </w:tc>
        <w:tc>
          <w:tcPr>
            <w:tcW w:type="dxa" w:w="4800"/>
            <w:shd w:fill="002244" w:val="clear"/>
            <w:vAlign w:val="center"/>
          </w:tcPr>
          <w:p>
            <w:pPr>
              <w:spacing w:after="40"/>
            </w:pPr>
            <w:r>
              <w:rPr>
                <w:rFonts w:ascii="Calibri" w:cs="Calibri" w:eastAsia="Calibri" w:hAnsi="Calibri"/>
                <w:b/>
                <w:bCs/>
                <w:color w:val="FFFFFF"/>
                <w:sz w:val="20"/>
                <w:szCs w:val="20"/>
              </w:rPr>
              <w:t xml:space="preserve">What to Assess</w:t>
            </w:r>
          </w:p>
        </w:tc>
      </w:tr>
      <w:tr>
        <w:tc>
          <w:tcPr>
            <w:tcW w:type="dxa" w:w="3500"/>
            <w:vAlign w:val="center"/>
          </w:tcPr>
          <w:p>
            <w:pPr>
              <w:spacing w:after="120"/>
              <w:jc w:val="left"/>
            </w:pPr>
            <w:r>
              <w:rPr>
                <w:rFonts w:ascii="Calibri" w:cs="Calibri" w:eastAsia="Calibri" w:hAnsi="Calibri"/>
                <w:sz w:val="20"/>
                <w:szCs w:val="20"/>
              </w:rPr>
              <w:t xml:space="preserve">Functional capability</w:t>
            </w:r>
          </w:p>
        </w:tc>
        <w:tc>
          <w:tcPr>
            <w:tcW w:type="dxa" w:w="1500"/>
            <w:vAlign w:val="center"/>
          </w:tcPr>
          <w:p>
            <w:pPr>
              <w:spacing w:after="120"/>
              <w:jc w:val="left"/>
            </w:pPr>
            <w:r>
              <w:rPr>
                <w:rFonts w:ascii="Calibri" w:cs="Calibri" w:eastAsia="Calibri" w:hAnsi="Calibri"/>
                <w:sz w:val="20"/>
                <w:szCs w:val="20"/>
              </w:rPr>
              <w:t xml:space="preserve">25%</w:t>
            </w:r>
          </w:p>
        </w:tc>
        <w:tc>
          <w:tcPr>
            <w:tcW w:type="dxa" w:w="4800"/>
            <w:vAlign w:val="center"/>
          </w:tcPr>
          <w:p>
            <w:pPr>
              <w:spacing w:after="120"/>
              <w:jc w:val="left"/>
            </w:pPr>
            <w:r>
              <w:rPr>
                <w:rFonts w:ascii="Calibri" w:cs="Calibri" w:eastAsia="Calibri" w:hAnsi="Calibri"/>
                <w:sz w:val="20"/>
                <w:szCs w:val="20"/>
              </w:rPr>
              <w:t xml:space="preserve">Coverage of must-have functional requirements. Maturity of each capability. Roadmap for gaps.</w:t>
            </w:r>
          </w:p>
        </w:tc>
      </w:tr>
      <w:tr>
        <w:tc>
          <w:tcPr>
            <w:tcW w:type="dxa" w:w="3500"/>
            <w:vAlign w:val="center"/>
          </w:tcPr>
          <w:p>
            <w:pPr>
              <w:spacing w:after="120"/>
              <w:jc w:val="left"/>
            </w:pPr>
            <w:r>
              <w:rPr>
                <w:rFonts w:ascii="Calibri" w:cs="Calibri" w:eastAsia="Calibri" w:hAnsi="Calibri"/>
                <w:sz w:val="20"/>
                <w:szCs w:val="20"/>
              </w:rPr>
              <w:t xml:space="preserve">Commercial (pricing)</w:t>
            </w:r>
          </w:p>
        </w:tc>
        <w:tc>
          <w:tcPr>
            <w:tcW w:type="dxa" w:w="1500"/>
            <w:vAlign w:val="center"/>
          </w:tcPr>
          <w:p>
            <w:pPr>
              <w:spacing w:after="120"/>
              <w:jc w:val="left"/>
            </w:pPr>
            <w:r>
              <w:rPr>
                <w:rFonts w:ascii="Calibri" w:cs="Calibri" w:eastAsia="Calibri" w:hAnsi="Calibri"/>
                <w:sz w:val="20"/>
                <w:szCs w:val="20"/>
              </w:rPr>
              <w:t xml:space="preserve">25%</w:t>
            </w:r>
          </w:p>
        </w:tc>
        <w:tc>
          <w:tcPr>
            <w:tcW w:type="dxa" w:w="4800"/>
            <w:vAlign w:val="center"/>
          </w:tcPr>
          <w:p>
            <w:pPr>
              <w:spacing w:after="120"/>
              <w:jc w:val="left"/>
            </w:pPr>
            <w:r>
              <w:rPr>
                <w:rFonts w:ascii="Calibri" w:cs="Calibri" w:eastAsia="Calibri" w:hAnsi="Calibri"/>
                <w:sz w:val="20"/>
                <w:szCs w:val="20"/>
              </w:rPr>
              <w:t xml:space="preserve">All-in cost per transaction by channel and scheme. TCO over 3 years. Savings vs current baseline.</w:t>
            </w:r>
          </w:p>
        </w:tc>
      </w:tr>
      <w:tr>
        <w:tc>
          <w:tcPr>
            <w:tcW w:type="dxa" w:w="3500"/>
            <w:vAlign w:val="center"/>
          </w:tcPr>
          <w:p>
            <w:pPr>
              <w:spacing w:after="120"/>
              <w:jc w:val="left"/>
            </w:pPr>
            <w:r>
              <w:rPr>
                <w:rFonts w:ascii="Calibri" w:cs="Calibri" w:eastAsia="Calibri" w:hAnsi="Calibri"/>
                <w:sz w:val="20"/>
                <w:szCs w:val="20"/>
              </w:rPr>
              <w:t xml:space="preserve">Security, compliance &amp; risk</w:t>
            </w:r>
          </w:p>
        </w:tc>
        <w:tc>
          <w:tcPr>
            <w:tcW w:type="dxa" w:w="1500"/>
            <w:vAlign w:val="center"/>
          </w:tcPr>
          <w:p>
            <w:pPr>
              <w:spacing w:after="120"/>
              <w:jc w:val="left"/>
            </w:pPr>
            <w:r>
              <w:rPr>
                <w:rFonts w:ascii="Calibri" w:cs="Calibri" w:eastAsia="Calibri" w:hAnsi="Calibri"/>
                <w:sz w:val="20"/>
                <w:szCs w:val="20"/>
              </w:rPr>
              <w:t xml:space="preserve">20%</w:t>
            </w:r>
          </w:p>
        </w:tc>
        <w:tc>
          <w:tcPr>
            <w:tcW w:type="dxa" w:w="4800"/>
            <w:vAlign w:val="center"/>
          </w:tcPr>
          <w:p>
            <w:pPr>
              <w:spacing w:after="120"/>
              <w:jc w:val="left"/>
            </w:pPr>
            <w:r>
              <w:rPr>
                <w:rFonts w:ascii="Calibri" w:cs="Calibri" w:eastAsia="Calibri" w:hAnsi="Calibri"/>
                <w:sz w:val="20"/>
                <w:szCs w:val="20"/>
              </w:rPr>
              <w:t xml:space="preserve">PCI DSS Level 1. SOC 2 Type II. APRA CPS 230/234 readiness. Data sovereignty. Incident response.</w:t>
            </w:r>
          </w:p>
        </w:tc>
      </w:tr>
      <w:tr>
        <w:tc>
          <w:tcPr>
            <w:tcW w:type="dxa" w:w="3500"/>
            <w:vAlign w:val="center"/>
          </w:tcPr>
          <w:p>
            <w:pPr>
              <w:spacing w:after="120"/>
              <w:jc w:val="left"/>
            </w:pPr>
            <w:r>
              <w:rPr>
                <w:rFonts w:ascii="Calibri" w:cs="Calibri" w:eastAsia="Calibri" w:hAnsi="Calibri"/>
                <w:sz w:val="20"/>
                <w:szCs w:val="20"/>
              </w:rPr>
              <w:t xml:space="preserve">Integration &amp; technology</w:t>
            </w:r>
          </w:p>
        </w:tc>
        <w:tc>
          <w:tcPr>
            <w:tcW w:type="dxa" w:w="1500"/>
            <w:vAlign w:val="center"/>
          </w:tcPr>
          <w:p>
            <w:pPr>
              <w:spacing w:after="120"/>
              <w:jc w:val="left"/>
            </w:pPr>
            <w:r>
              <w:rPr>
                <w:rFonts w:ascii="Calibri" w:cs="Calibri" w:eastAsia="Calibri" w:hAnsi="Calibri"/>
                <w:sz w:val="20"/>
                <w:szCs w:val="20"/>
              </w:rPr>
              <w:t xml:space="preserve">15%</w:t>
            </w:r>
          </w:p>
        </w:tc>
        <w:tc>
          <w:tcPr>
            <w:tcW w:type="dxa" w:w="4800"/>
            <w:vAlign w:val="center"/>
          </w:tcPr>
          <w:p>
            <w:pPr>
              <w:spacing w:after="120"/>
              <w:jc w:val="left"/>
            </w:pPr>
            <w:r>
              <w:rPr>
                <w:rFonts w:ascii="Calibri" w:cs="Calibri" w:eastAsia="Calibri" w:hAnsi="Calibri"/>
                <w:sz w:val="20"/>
                <w:szCs w:val="20"/>
              </w:rPr>
              <w:t xml:space="preserve">API maturity. Guidewire/MuleSoft integration. Sandbox availability. Migration complexity.</w:t>
            </w:r>
          </w:p>
        </w:tc>
      </w:tr>
      <w:tr>
        <w:tc>
          <w:tcPr>
            <w:tcW w:type="dxa" w:w="3500"/>
            <w:vAlign w:val="center"/>
          </w:tcPr>
          <w:p>
            <w:pPr>
              <w:spacing w:after="120"/>
              <w:jc w:val="left"/>
            </w:pPr>
            <w:r>
              <w:rPr>
                <w:rFonts w:ascii="Calibri" w:cs="Calibri" w:eastAsia="Calibri" w:hAnsi="Calibri"/>
                <w:sz w:val="20"/>
                <w:szCs w:val="20"/>
              </w:rPr>
              <w:t xml:space="preserve">Operational support &amp; SLAs</w:t>
            </w:r>
          </w:p>
        </w:tc>
        <w:tc>
          <w:tcPr>
            <w:tcW w:type="dxa" w:w="1500"/>
            <w:vAlign w:val="center"/>
          </w:tcPr>
          <w:p>
            <w:pPr>
              <w:spacing w:after="120"/>
              <w:jc w:val="left"/>
            </w:pPr>
            <w:r>
              <w:rPr>
                <w:rFonts w:ascii="Calibri" w:cs="Calibri" w:eastAsia="Calibri" w:hAnsi="Calibri"/>
                <w:sz w:val="20"/>
                <w:szCs w:val="20"/>
              </w:rPr>
              <w:t xml:space="preserve">10%</w:t>
            </w:r>
          </w:p>
        </w:tc>
        <w:tc>
          <w:tcPr>
            <w:tcW w:type="dxa" w:w="4800"/>
            <w:vAlign w:val="center"/>
          </w:tcPr>
          <w:p>
            <w:pPr>
              <w:spacing w:after="120"/>
              <w:jc w:val="left"/>
            </w:pPr>
            <w:r>
              <w:rPr>
                <w:rFonts w:ascii="Calibri" w:cs="Calibri" w:eastAsia="Calibri" w:hAnsi="Calibri"/>
                <w:sz w:val="20"/>
                <w:szCs w:val="20"/>
              </w:rPr>
              <w:t xml:space="preserve">Availability SLA. Support model. Implementation experience in insurance. Australian presence.</w:t>
            </w:r>
          </w:p>
        </w:tc>
      </w:tr>
      <w:tr>
        <w:tc>
          <w:tcPr>
            <w:tcW w:type="dxa" w:w="3500"/>
            <w:vAlign w:val="center"/>
          </w:tcPr>
          <w:p>
            <w:pPr>
              <w:spacing w:after="120"/>
              <w:jc w:val="left"/>
            </w:pPr>
            <w:r>
              <w:rPr>
                <w:rFonts w:ascii="Calibri" w:cs="Calibri" w:eastAsia="Calibri" w:hAnsi="Calibri"/>
                <w:sz w:val="20"/>
                <w:szCs w:val="20"/>
              </w:rPr>
              <w:t xml:space="preserve">Strategic alignment</w:t>
            </w:r>
          </w:p>
        </w:tc>
        <w:tc>
          <w:tcPr>
            <w:tcW w:type="dxa" w:w="1500"/>
            <w:vAlign w:val="center"/>
          </w:tcPr>
          <w:p>
            <w:pPr>
              <w:spacing w:after="120"/>
              <w:jc w:val="left"/>
            </w:pPr>
            <w:r>
              <w:rPr>
                <w:rFonts w:ascii="Calibri" w:cs="Calibri" w:eastAsia="Calibri" w:hAnsi="Calibri"/>
                <w:sz w:val="20"/>
                <w:szCs w:val="20"/>
              </w:rPr>
              <w:t xml:space="preserve">5%</w:t>
            </w:r>
          </w:p>
        </w:tc>
        <w:tc>
          <w:tcPr>
            <w:tcW w:type="dxa" w:w="4800"/>
            <w:vAlign w:val="center"/>
          </w:tcPr>
          <w:p>
            <w:pPr>
              <w:spacing w:after="120"/>
              <w:jc w:val="left"/>
            </w:pPr>
            <w:r>
              <w:rPr>
                <w:rFonts w:ascii="Calibri" w:cs="Calibri" w:eastAsia="Calibri" w:hAnsi="Calibri"/>
                <w:sz w:val="20"/>
                <w:szCs w:val="20"/>
              </w:rPr>
              <w:t xml:space="preserve">3-year roadmap. Innovation pipeline. Ability to consolidate inbound and outbound payments.</w:t>
            </w:r>
          </w:p>
        </w:tc>
      </w:tr>
    </w:tbl>
    <w:p>
      <w:r>
        <w:br w:type="page"/>
      </w:r>
    </w:p>
    <w:p>
      <w:pPr>
        <w:pStyle w:val="Heading1"/>
        <w:spacing w:after="120" w:before="400"/>
      </w:pPr>
      <w:r>
        <w:t xml:space="preserve">9. Summary of Key Recommendations</w:t>
      </w:r>
    </w:p>
    <w:p>
      <w:pPr>
        <w:spacing w:after="120"/>
        <w:jc w:val="left"/>
      </w:pPr>
      <w:r>
        <w:rPr>
          <w:rFonts w:ascii="Calibri" w:cs="Calibri" w:eastAsia="Calibri" w:hAnsi="Calibri"/>
          <w:sz w:val="22"/>
          <w:szCs w:val="22"/>
        </w:rPr>
        <w:t xml:space="preserve"/>
      </w:r>
    </w:p>
    <w:p>
      <w:pPr>
        <w:pStyle w:val="ListParagraph"/>
        <w:numPr>
          <w:ilvl w:val="0"/>
          <w:numId w:val="2"/>
        </w:numPr>
        <w:spacing w:after="60"/>
      </w:pPr>
      <w:r>
        <w:rPr>
          <w:rFonts w:ascii="Calibri" w:cs="Calibri" w:eastAsia="Calibri" w:hAnsi="Calibri"/>
          <w:b/>
          <w:bCs/>
          <w:sz w:val="22"/>
          <w:szCs w:val="22"/>
        </w:rPr>
        <w:t xml:space="preserve">1. </w:t>
      </w:r>
      <w:r>
        <w:rPr>
          <w:rFonts w:ascii="Calibri" w:cs="Calibri" w:eastAsia="Calibri" w:hAnsi="Calibri"/>
          <w:sz w:val="22"/>
          <w:szCs w:val="22"/>
        </w:rPr>
        <w:t xml:space="preserve">Add a comprehensive non-functional requirements section covering availability SLAs (99.99%), latency (&lt;2s P95), DR (RTO &lt;1hr), data sovereignty (Australia), and encryption standards.</w:t>
      </w:r>
    </w:p>
    <w:p>
      <w:pPr>
        <w:pStyle w:val="ListParagraph"/>
        <w:numPr>
          <w:ilvl w:val="0"/>
          <w:numId w:val="2"/>
        </w:numPr>
        <w:spacing w:after="60"/>
      </w:pPr>
      <w:r>
        <w:rPr>
          <w:rFonts w:ascii="Calibri" w:cs="Calibri" w:eastAsia="Calibri" w:hAnsi="Calibri"/>
          <w:b/>
          <w:bCs/>
          <w:sz w:val="22"/>
          <w:szCs w:val="22"/>
        </w:rPr>
        <w:t xml:space="preserve">2. </w:t>
      </w:r>
      <w:r>
        <w:rPr>
          <w:rFonts w:ascii="Calibri" w:cs="Calibri" w:eastAsia="Calibri" w:hAnsi="Calibri"/>
          <w:sz w:val="22"/>
          <w:szCs w:val="22"/>
        </w:rPr>
        <w:t xml:space="preserve">Embed APRA CPS 230 material service provider obligations as mandatory contractual requirements — audit rights, 24-hour notification, BCP alignment, fourth-party transparency.</w:t>
      </w:r>
    </w:p>
    <w:p>
      <w:pPr>
        <w:pStyle w:val="ListParagraph"/>
        <w:numPr>
          <w:ilvl w:val="0"/>
          <w:numId w:val="2"/>
        </w:numPr>
        <w:spacing w:after="60"/>
      </w:pPr>
      <w:r>
        <w:rPr>
          <w:rFonts w:ascii="Calibri" w:cs="Calibri" w:eastAsia="Calibri" w:hAnsi="Calibri"/>
          <w:b/>
          <w:bCs/>
          <w:sz w:val="22"/>
          <w:szCs w:val="22"/>
        </w:rPr>
        <w:t xml:space="preserve">3. </w:t>
      </w:r>
      <w:r>
        <w:rPr>
          <w:rFonts w:ascii="Calibri" w:cs="Calibri" w:eastAsia="Calibri" w:hAnsi="Calibri"/>
          <w:sz w:val="22"/>
          <w:szCs w:val="22"/>
        </w:rPr>
        <w:t xml:space="preserve">Require PCI DSS v4.0.1 Level 1 SP certification and evaluate vendors on their ability to reduce QBE's PCI scope to SAQ-A via hosted fields and tokenisation.</w:t>
      </w:r>
    </w:p>
    <w:p>
      <w:pPr>
        <w:pStyle w:val="ListParagraph"/>
        <w:numPr>
          <w:ilvl w:val="0"/>
          <w:numId w:val="2"/>
        </w:numPr>
        <w:spacing w:after="60"/>
      </w:pPr>
      <w:r>
        <w:rPr>
          <w:rFonts w:ascii="Calibri" w:cs="Calibri" w:eastAsia="Calibri" w:hAnsi="Calibri"/>
          <w:b/>
          <w:bCs/>
          <w:sz w:val="22"/>
          <w:szCs w:val="22"/>
        </w:rPr>
        <w:t xml:space="preserve">4. </w:t>
      </w:r>
      <w:r>
        <w:rPr>
          <w:rFonts w:ascii="Calibri" w:cs="Calibri" w:eastAsia="Calibri" w:hAnsi="Calibri"/>
          <w:sz w:val="22"/>
          <w:szCs w:val="22"/>
        </w:rPr>
        <w:t xml:space="preserve">Elevate PayTo from an alternative payment method to a strategic requirement with its own evaluation section, including BECS migration path, real-time mandate management, and NPP reconciliation.</w:t>
      </w:r>
    </w:p>
    <w:p>
      <w:pPr>
        <w:pStyle w:val="ListParagraph"/>
        <w:numPr>
          <w:ilvl w:val="0"/>
          <w:numId w:val="2"/>
        </w:numPr>
        <w:spacing w:after="60"/>
      </w:pPr>
      <w:r>
        <w:rPr>
          <w:rFonts w:ascii="Calibri" w:cs="Calibri" w:eastAsia="Calibri" w:hAnsi="Calibri"/>
          <w:b/>
          <w:bCs/>
          <w:sz w:val="22"/>
          <w:szCs w:val="22"/>
        </w:rPr>
        <w:t xml:space="preserve">5. </w:t>
      </w:r>
      <w:r>
        <w:rPr>
          <w:rFonts w:ascii="Calibri" w:cs="Calibri" w:eastAsia="Calibri" w:hAnsi="Calibri"/>
          <w:sz w:val="22"/>
          <w:szCs w:val="22"/>
        </w:rPr>
        <w:t xml:space="preserve">Add claims disbursement (outbound payments) to scope — push-to-card, NPP payouts, payee choice — to consolidate the full payment lifecycle under one or two providers.</w:t>
      </w:r>
    </w:p>
    <w:p>
      <w:pPr>
        <w:pStyle w:val="ListParagraph"/>
        <w:numPr>
          <w:ilvl w:val="0"/>
          <w:numId w:val="2"/>
        </w:numPr>
        <w:spacing w:after="60"/>
      </w:pPr>
      <w:r>
        <w:rPr>
          <w:rFonts w:ascii="Calibri" w:cs="Calibri" w:eastAsia="Calibri" w:hAnsi="Calibri"/>
          <w:b/>
          <w:bCs/>
          <w:sz w:val="22"/>
          <w:szCs w:val="22"/>
        </w:rPr>
        <w:t xml:space="preserve">6. </w:t>
      </w:r>
      <w:r>
        <w:rPr>
          <w:rFonts w:ascii="Calibri" w:cs="Calibri" w:eastAsia="Calibri" w:hAnsi="Calibri"/>
          <w:sz w:val="22"/>
          <w:szCs w:val="22"/>
        </w:rPr>
        <w:t xml:space="preserve">Mandate Interchange++ pricing only, with pre/post October 2026 reform scenarios, and commit vendors to passing through future interchange reductions.</w:t>
      </w:r>
    </w:p>
    <w:p>
      <w:pPr>
        <w:pStyle w:val="ListParagraph"/>
        <w:numPr>
          <w:ilvl w:val="0"/>
          <w:numId w:val="2"/>
        </w:numPr>
        <w:spacing w:after="60"/>
      </w:pPr>
      <w:r>
        <w:rPr>
          <w:rFonts w:ascii="Calibri" w:cs="Calibri" w:eastAsia="Calibri" w:hAnsi="Calibri"/>
          <w:b/>
          <w:bCs/>
          <w:sz w:val="22"/>
          <w:szCs w:val="22"/>
        </w:rPr>
        <w:t xml:space="preserve">7. </w:t>
      </w:r>
      <w:r>
        <w:rPr>
          <w:rFonts w:ascii="Calibri" w:cs="Calibri" w:eastAsia="Calibri" w:hAnsi="Calibri"/>
          <w:sz w:val="22"/>
          <w:szCs w:val="22"/>
        </w:rPr>
        <w:t xml:space="preserve">Add payment orchestration as an explicit evaluation criterion — either native (Adyen, Stripe) or via third-party orchestrator — to ensure intelligent routing, failover, and token portability.</w:t>
      </w:r>
    </w:p>
    <w:p>
      <w:pPr>
        <w:pStyle w:val="ListParagraph"/>
        <w:numPr>
          <w:ilvl w:val="0"/>
          <w:numId w:val="2"/>
        </w:numPr>
        <w:spacing w:after="60"/>
      </w:pPr>
      <w:r>
        <w:rPr>
          <w:rFonts w:ascii="Calibri" w:cs="Calibri" w:eastAsia="Calibri" w:hAnsi="Calibri"/>
          <w:b/>
          <w:bCs/>
          <w:sz w:val="22"/>
          <w:szCs w:val="22"/>
        </w:rPr>
        <w:t xml:space="preserve">8. </w:t>
      </w:r>
      <w:r>
        <w:rPr>
          <w:rFonts w:ascii="Calibri" w:cs="Calibri" w:eastAsia="Calibri" w:hAnsi="Calibri"/>
          <w:sz w:val="22"/>
          <w:szCs w:val="22"/>
        </w:rPr>
        <w:t xml:space="preserve">Update accessibility requirement from WCAG 2.1 AA to WCAG 2.2 AA for all customer-facing payment pages.</w:t>
      </w:r>
    </w:p>
    <w:p>
      <w:pPr>
        <w:pStyle w:val="ListParagraph"/>
        <w:numPr>
          <w:ilvl w:val="0"/>
          <w:numId w:val="2"/>
        </w:numPr>
        <w:spacing w:after="60"/>
      </w:pPr>
      <w:r>
        <w:rPr>
          <w:rFonts w:ascii="Calibri" w:cs="Calibri" w:eastAsia="Calibri" w:hAnsi="Calibri"/>
          <w:b/>
          <w:bCs/>
          <w:sz w:val="22"/>
          <w:szCs w:val="22"/>
        </w:rPr>
        <w:t xml:space="preserve">9. </w:t>
      </w:r>
      <w:r>
        <w:rPr>
          <w:rFonts w:ascii="Calibri" w:cs="Calibri" w:eastAsia="Calibri" w:hAnsi="Calibri"/>
          <w:sz w:val="22"/>
          <w:szCs w:val="22"/>
        </w:rPr>
        <w:t xml:space="preserve">Include Guidewire integration as a mandatory requirement given QBE's platform landscape, alongside MuleSoft connector availability.</w:t>
      </w:r>
    </w:p>
    <w:p>
      <w:pPr>
        <w:pStyle w:val="ListParagraph"/>
        <w:numPr>
          <w:ilvl w:val="0"/>
          <w:numId w:val="2"/>
        </w:numPr>
        <w:spacing w:after="60"/>
      </w:pPr>
      <w:r>
        <w:rPr>
          <w:rFonts w:ascii="Calibri" w:cs="Calibri" w:eastAsia="Calibri" w:hAnsi="Calibri"/>
          <w:b/>
          <w:bCs/>
          <w:sz w:val="22"/>
          <w:szCs w:val="22"/>
        </w:rPr>
        <w:t xml:space="preserve">10. </w:t>
      </w:r>
      <w:r>
        <w:rPr>
          <w:rFonts w:ascii="Calibri" w:cs="Calibri" w:eastAsia="Calibri" w:hAnsi="Calibri"/>
          <w:sz w:val="22"/>
          <w:szCs w:val="22"/>
        </w:rPr>
        <w:t xml:space="preserve">Structure the evaluation criteria with explicit weightings (suggested: Functional 25%, Commercial 25%, Security/Compliance 20%, Integration 15%, Support 10%, Strategy 5%) to ensure consistent and defensible vendor scoring.</w:t>
      </w:r>
    </w:p>
    <w:p>
      <w:pPr>
        <w:pBdr>
          <w:bottom w:val="single" w:color="0066CC" w:sz="6"/>
        </w:pBdr>
        <w:spacing w:after="100" w:before="100"/>
      </w:pPr>
    </w:p>
    <w:p>
      <w:pPr>
        <w:spacing w:after="120"/>
        <w:jc w:val="left"/>
      </w:pPr>
      <w:r>
        <w:rPr>
          <w:rFonts w:ascii="Calibri" w:cs="Calibri" w:eastAsia="Calibri" w:hAnsi="Calibri"/>
          <w:i/>
          <w:iCs/>
          <w:sz w:val="22"/>
          <w:szCs w:val="22"/>
        </w:rPr>
        <w:t xml:space="preserve">Document prepared September 2026. Based on RFI Plan Aug2026 v3, RBA Conclusions Paper (March 2026), APRA CPS 230/234 standards, PCI DSS v4.0.1, and current market research.</w:t>
      </w:r>
    </w:p>
    <w:sectPr>
      <w:headerReference w:type="default" r:id="rId7"/>
      <w:footerReference w:type="default" r:id="rId8"/>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Confidential — For Internal Use Only  |  Page </w:t>
    </w:r>
    <w:r>
      <w:rPr>
        <w:rFonts w:ascii="Calibri" w:cs="Calibri" w:eastAsia="Calibri" w:hAnsi="Calibri"/>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888888"/>
        <w:sz w:val="16"/>
        <w:szCs w:val="16"/>
      </w:rPr>
      <w:t xml:space="preserve">QBE AUSPAC — Payment Solutions RFI Review &amp; Recommendations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2026-09-03T23:01:53.787Z</dcterms:created>
  <dcterms:modified xsi:type="dcterms:W3CDTF">2026-09-03T23:01:53.798Z</dcterms:modified>
</cp:coreProperties>
</file>

<file path=docProps/custom.xml><?xml version="1.0" encoding="utf-8"?>
<Properties xmlns="http://schemas.openxmlformats.org/officeDocument/2006/custom-properties" xmlns:vt="http://schemas.openxmlformats.org/officeDocument/2006/docPropsVTypes"/>
</file>