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0F2A4F"/>
          <w:sz w:val="28"/>
          <w:szCs w:val="28"/>
        </w:rPr>
        <w:t xml:space="preserve">QBE Operating Procedure</w:t>
      </w:r>
    </w:p>
    <w:p>
      <w:pPr>
        <w:pBdr>
          <w:bottom w:val="single" w:color="0F2A4F" w:sz="12" w:space="4"/>
        </w:pBdr>
        <w:spacing w:after="80" w:before="0"/>
        <w:jc w:val="left"/>
      </w:pPr>
      <w:r>
        <w:rPr>
          <w:rFonts w:ascii="Arial" w:cs="Arial" w:eastAsia="Arial" w:hAnsi="Arial"/>
          <w:b/>
          <w:bCs/>
          <w:color w:val="1F3A68"/>
          <w:sz w:val="20"/>
          <w:szCs w:val="20"/>
        </w:rPr>
        <w:t xml:space="preserve">Critical &amp; High Vulnerability Remediation — Board Executive Summary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3600"/>
      </w:tblGrid>
      <w:tr>
        <w:tc>
          <w:tcPr>
            <w:tcW w:type="dxa" w:w="18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6"/>
                <w:szCs w:val="16"/>
              </w:rPr>
              <w:t xml:space="preserve">QBE-OPEX-VULN-001</w:t>
            </w:r>
          </w:p>
        </w:tc>
        <w:tc>
          <w:tcPr>
            <w:tcW w:type="dxa" w:w="18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6"/>
                <w:szCs w:val="16"/>
              </w:rPr>
              <w:t xml:space="preserve">1.0 — Board Submission Draft</w:t>
            </w:r>
          </w:p>
        </w:tc>
      </w:tr>
      <w:tr>
        <w:tc>
          <w:tcPr>
            <w:tcW w:type="dxa" w:w="18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6"/>
                <w:szCs w:val="16"/>
              </w:rPr>
              <w:t xml:space="preserve">Head of Cyber Security &amp; CISO Office</w:t>
            </w:r>
          </w:p>
        </w:tc>
        <w:tc>
          <w:tcPr>
            <w:tcW w:type="dxa" w:w="18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6"/>
                <w:szCs w:val="16"/>
              </w:rPr>
              <w:t xml:space="preserve">On Board approval</w:t>
            </w:r>
          </w:p>
        </w:tc>
      </w:tr>
      <w:tr>
        <w:tc>
          <w:tcPr>
            <w:tcW w:type="dxa" w:w="18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Approver</w:t>
            </w:r>
          </w:p>
        </w:tc>
        <w:tc>
          <w:tcPr>
            <w:tcW w:type="dxa" w:w="3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6"/>
                <w:szCs w:val="16"/>
              </w:rPr>
              <w:t xml:space="preserve">Board Risk Committee</w:t>
            </w:r>
          </w:p>
        </w:tc>
        <w:tc>
          <w:tcPr>
            <w:tcW w:type="dxa" w:w="18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6"/>
                <w:szCs w:val="16"/>
              </w:rPr>
              <w:t xml:space="preserve">12 months from effective date</w:t>
            </w:r>
          </w:p>
        </w:tc>
      </w:tr>
      <w:tr>
        <w:tc>
          <w:tcPr>
            <w:tcW w:type="dxa" w:w="18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6"/>
                <w:szCs w:val="16"/>
              </w:rPr>
              <w:t xml:space="preserve">Internal — Restricted</w:t>
            </w:r>
          </w:p>
        </w:tc>
        <w:tc>
          <w:tcPr>
            <w:tcW w:type="dxa" w:w="18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Regulatory Basis</w:t>
            </w:r>
          </w:p>
        </w:tc>
        <w:tc>
          <w:tcPr>
            <w:tcW w:type="dxa" w:w="3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6"/>
                <w:szCs w:val="16"/>
              </w:rPr>
              <w:t xml:space="preserve">APRA CPS 234, CPS 230, Privacy Act, PCI DSS</w:t>
            </w:r>
          </w:p>
        </w:tc>
      </w:tr>
    </w:tbl>
    <w:p>
      <w:pPr>
        <w:spacing w:after="20" w:before="120"/>
      </w:pPr>
      <w:r>
        <w:rPr>
          <w:rFonts w:ascii="Arial" w:cs="Arial" w:eastAsia="Arial" w:hAnsi="Arial"/>
          <w:b/>
          <w:bCs/>
          <w:color w:val="0F2A4F"/>
          <w:sz w:val="18"/>
          <w:szCs w:val="18"/>
        </w:rPr>
        <w:t xml:space="preserve">1.  Executive Summary</w:t>
      </w:r>
    </w:p>
    <w:p>
      <w:pPr>
        <w:spacing w:after="4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16"/>
          <w:szCs w:val="16"/>
        </w:rPr>
        <w:t xml:space="preserve">QBE treats every Critical and High vulnerability — whether identified through penetration testing, credible external detection or zero-day disclosure — with the same urgency and discipline as a major incident. Critical findings are managed as P1, High as P2, with a Major Incident Management response initiated within 24 hours. 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16"/>
          <w:szCs w:val="16"/>
        </w:rPr>
        <w:t xml:space="preserve">The default position is full remediation; risk-acceptance is exceptional, governed and explicitly endorsed by Line 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16"/>
          <w:szCs w:val="16"/>
        </w:rPr>
        <w:t xml:space="preserve">Every step is captured in Insight as an audit-defensible single source of truth, providing the Board and APRA with consistent, evidence-based assurance.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F2A4F"/>
          <w:sz w:val="18"/>
          <w:szCs w:val="18"/>
        </w:rPr>
        <w:t xml:space="preserve">2.  Purpose &amp; Scope</w:t>
      </w:r>
    </w:p>
    <w:p>
      <w:pPr>
        <w:spacing w:after="40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16"/>
          <w:szCs w:val="16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16"/>
          <w:szCs w:val="16"/>
        </w:rPr>
        <w:t xml:space="preserve">Establish a consistent, accelerated and audit-defensible response to Critical and High vulnerabilities that protects QBE’s systems, customer data and regulatory obligations.   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16"/>
          <w:szCs w:val="16"/>
        </w:rPr>
        <w:t xml:space="preserve">Scope: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16"/>
          <w:szCs w:val="16"/>
        </w:rPr>
        <w:t xml:space="preserve">All QBE applications, platforms and infrastructure, executed across Technology, Cyber Security (Line 2), Architecture, Risk and Business stakeholders.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F2A4F"/>
          <w:sz w:val="18"/>
          <w:szCs w:val="18"/>
        </w:rPr>
        <w:t xml:space="preserve">3.  Governance &amp; Accountability (RACI)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3A6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Accountable (A)</w:t>
            </w:r>
          </w:p>
        </w:tc>
        <w:tc>
          <w:tcPr>
            <w:tcW w:type="dxa" w:w="27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3A6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Responsible (R)</w:t>
            </w:r>
          </w:p>
        </w:tc>
        <w:tc>
          <w:tcPr>
            <w:tcW w:type="dxa" w:w="27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3A6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Consulted (C)</w:t>
            </w:r>
          </w:p>
        </w:tc>
        <w:tc>
          <w:tcPr>
            <w:tcW w:type="dxa" w:w="27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3A6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Informed (I)</w:t>
            </w:r>
          </w:p>
        </w:tc>
      </w:tr>
      <w:tr>
        <w:tc>
          <w:tcPr>
            <w:tcW w:type="dxa" w:w="27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5"/>
                <w:szCs w:val="15"/>
              </w:rPr>
              <w:t xml:space="preserve">Chief Information Security Officer (Line 2)</w:t>
            </w:r>
          </w:p>
        </w:tc>
        <w:tc>
          <w:tcPr>
            <w:tcW w:type="dxa" w:w="27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5"/>
                <w:szCs w:val="15"/>
              </w:rPr>
              <w:t xml:space="preserve">Incident Commander; Platform &amp; Application Owners; Engineering</w:t>
            </w:r>
          </w:p>
        </w:tc>
        <w:tc>
          <w:tcPr>
            <w:tcW w:type="dxa" w:w="27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5"/>
                <w:szCs w:val="15"/>
              </w:rPr>
              <w:t xml:space="preserve">Architecture; Risk; Penetration Testing; Business Owners; Legal &amp; Privacy</w:t>
            </w:r>
          </w:p>
        </w:tc>
        <w:tc>
          <w:tcPr>
            <w:tcW w:type="dxa" w:w="27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5"/>
                <w:szCs w:val="15"/>
              </w:rPr>
              <w:t xml:space="preserve">Board Risk Committee; Executive Leadership; APRA (per CPS 234 thresholds)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0F2A4F"/>
          <w:sz w:val="18"/>
          <w:szCs w:val="18"/>
        </w:rPr>
        <w:t xml:space="preserve">4.  End-to-End Workflow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A5A75"/>
          <w:sz w:val="13"/>
          <w:szCs w:val="13"/>
        </w:rPr>
        <w:t xml:space="preserve">Major-incident driven, whole-of-organisation response  |  APRA CPS 234 &amp; CPS 230 aligned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cantSplit/>
        </w:trPr>
        <w:tc>
          <w:tcPr>
            <w:tcW w:type="dxa" w:w="3600"/>
            <w:gridSpan w:val="3"/>
            <w:tcBorders>
              <w:top w:val="single" w:color="0F2A4F" w:sz="4"/>
              <w:left w:val="single" w:color="0F2A4F" w:sz="4"/>
              <w:bottom w:val="single" w:color="0F2A4F" w:sz="4"/>
              <w:right w:val="single" w:color="0F2A4F" w:sz="4"/>
            </w:tcBorders>
            <w:shd w:fill="0F2A4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 1 — DETECT &amp; MOBILISE</w:t>
            </w:r>
          </w:p>
        </w:tc>
        <w:tc>
          <w:tcPr>
            <w:tcW w:type="dxa" w:w="3600"/>
            <w:gridSpan w:val="3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 2 — VALIDATE, ASSESS &amp; TREAT</w:t>
            </w:r>
          </w:p>
        </w:tc>
        <w:tc>
          <w:tcPr>
            <w:tcW w:type="dxa" w:w="3600"/>
            <w:gridSpan w:val="3"/>
            <w:tcBorders>
              <w:top w:val="single" w:color="34568B" w:sz="4"/>
              <w:left w:val="single" w:color="34568B" w:sz="4"/>
              <w:bottom w:val="single" w:color="34568B" w:sz="4"/>
              <w:right w:val="single" w:color="34568B" w:sz="4"/>
            </w:tcBorders>
            <w:shd w:fill="34568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 3 — DELIVER, ASSURE &amp; CLOSE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F2A4F" w:sz="8"/>
              <w:left w:val="single" w:color="0F2A4F" w:sz="4"/>
              <w:bottom w:val="single" w:color="0F2A4F" w:sz="4"/>
              <w:right w:val="single" w:color="0F2A4F" w:sz="4"/>
            </w:tcBorders>
            <w:shd w:fill="E8EEF6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A4F"/>
                <w:sz w:val="14"/>
                <w:szCs w:val="14"/>
              </w:rPr>
              <w:t xml:space="preserve">1. Detect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Pen test or credible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external detection</w:t>
            </w:r>
          </w:p>
        </w:tc>
        <w:tc>
          <w:tcPr>
            <w:tcW w:type="dxa" w:w="1200"/>
            <w:tcBorders>
              <w:top w:val="single" w:color="0F2A4F" w:sz="8"/>
              <w:left w:val="single" w:color="0F2A4F" w:sz="4"/>
              <w:bottom w:val="single" w:color="0F2A4F" w:sz="4"/>
              <w:right w:val="single" w:color="0F2A4F" w:sz="4"/>
            </w:tcBorders>
            <w:shd w:fill="E8EEF6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A4F"/>
                <w:sz w:val="14"/>
                <w:szCs w:val="14"/>
              </w:rPr>
              <w:t xml:space="preserve">2. Classify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Critical → P1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High → P2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Raise Insight issue</w:t>
            </w:r>
          </w:p>
        </w:tc>
        <w:tc>
          <w:tcPr>
            <w:tcW w:type="dxa" w:w="1200"/>
            <w:tcBorders>
              <w:top w:val="single" w:color="0F2A4F" w:sz="8"/>
              <w:left w:val="single" w:color="0F2A4F" w:sz="4"/>
              <w:bottom w:val="single" w:color="0F2A4F" w:sz="4"/>
              <w:right w:val="single" w:color="0F2A4F" w:sz="4"/>
            </w:tcBorders>
            <w:shd w:fill="E8EEF6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A4F"/>
                <w:sz w:val="14"/>
                <w:szCs w:val="14"/>
              </w:rPr>
              <w:t xml:space="preserve">3. Mobilise MIM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≤ 24 hours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Incident Commander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War room</w:t>
            </w:r>
          </w:p>
        </w:tc>
        <w:tc>
          <w:tcPr>
            <w:tcW w:type="dxa" w:w="1200"/>
            <w:tcBorders>
              <w:top w:val="single" w:color="1F3A68" w:sz="8"/>
              <w:left w:val="single" w:color="1F3A68" w:sz="4"/>
              <w:bottom w:val="single" w:color="1F3A68" w:sz="4"/>
              <w:right w:val="single" w:color="1F3A68" w:sz="4"/>
            </w:tcBorders>
            <w:shd w:fill="EAF1F8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68"/>
                <w:sz w:val="14"/>
                <w:szCs w:val="14"/>
              </w:rPr>
              <w:t xml:space="preserve">4. Validate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Reproduce safely;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confirm exploit path;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deterministic</w:t>
            </w:r>
          </w:p>
        </w:tc>
        <w:tc>
          <w:tcPr>
            <w:tcW w:type="dxa" w:w="1200"/>
            <w:tcBorders>
              <w:top w:val="single" w:color="1F3A68" w:sz="8"/>
              <w:left w:val="single" w:color="1F3A68" w:sz="4"/>
              <w:bottom w:val="single" w:color="1F3A68" w:sz="4"/>
              <w:right w:val="single" w:color="1F3A68" w:sz="4"/>
            </w:tcBorders>
            <w:shd w:fill="EAF1F8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68"/>
                <w:sz w:val="14"/>
                <w:szCs w:val="14"/>
              </w:rPr>
              <w:t xml:space="preserve">5. Assess Risk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Data sensitivity,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exposure vectors,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mitigating controls</w:t>
            </w:r>
          </w:p>
        </w:tc>
        <w:tc>
          <w:tcPr>
            <w:tcW w:type="dxa" w:w="1200"/>
            <w:tcBorders>
              <w:top w:val="single" w:color="1F3A68" w:sz="8"/>
              <w:left w:val="single" w:color="1F3A68" w:sz="4"/>
              <w:bottom w:val="single" w:color="1F3A68" w:sz="4"/>
              <w:right w:val="single" w:color="1F3A68" w:sz="4"/>
            </w:tcBorders>
            <w:shd w:fill="EAF1F8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68"/>
                <w:sz w:val="14"/>
                <w:szCs w:val="14"/>
              </w:rPr>
              <w:t xml:space="preserve">6. Treatment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Remediate by default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Risk-accept = exception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(Line 2)</w:t>
            </w:r>
          </w:p>
        </w:tc>
        <w:tc>
          <w:tcPr>
            <w:tcW w:type="dxa" w:w="1200"/>
            <w:tcBorders>
              <w:top w:val="single" w:color="34568B" w:sz="8"/>
              <w:left w:val="single" w:color="34568B" w:sz="4"/>
              <w:bottom w:val="single" w:color="34568B" w:sz="4"/>
              <w:right w:val="single" w:color="34568B" w:sz="4"/>
            </w:tcBorders>
            <w:shd w:fill="EDF3FA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4568B"/>
                <w:sz w:val="14"/>
                <w:szCs w:val="14"/>
              </w:rPr>
              <w:t xml:space="preserve">7. Design &amp; Build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Architecture review;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business endorsement;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secure build &amp; test</w:t>
            </w:r>
          </w:p>
        </w:tc>
        <w:tc>
          <w:tcPr>
            <w:tcW w:type="dxa" w:w="1200"/>
            <w:tcBorders>
              <w:top w:val="single" w:color="34568B" w:sz="8"/>
              <w:left w:val="single" w:color="34568B" w:sz="4"/>
              <w:bottom w:val="single" w:color="34568B" w:sz="4"/>
              <w:right w:val="single" w:color="34568B" w:sz="4"/>
            </w:tcBorders>
            <w:shd w:fill="EDF3FA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4568B"/>
                <w:sz w:val="14"/>
                <w:szCs w:val="14"/>
              </w:rPr>
              <w:t xml:space="preserve">8. Deploy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Controlled change;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backout plan;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prod validation</w:t>
            </w:r>
          </w:p>
        </w:tc>
        <w:tc>
          <w:tcPr>
            <w:tcW w:type="dxa" w:w="1200"/>
            <w:tcBorders>
              <w:top w:val="single" w:color="34568B" w:sz="8"/>
              <w:left w:val="single" w:color="34568B" w:sz="4"/>
              <w:bottom w:val="single" w:color="34568B" w:sz="4"/>
              <w:right w:val="single" w:color="34568B" w:sz="4"/>
            </w:tcBorders>
            <w:shd w:fill="EDF3FA" w:val="clear"/>
            <w:tcMar>
              <w:top w:type="dxa" w:w="80"/>
              <w:left w:type="dxa" w:w="70"/>
              <w:bottom w:type="dxa" w:w="80"/>
              <w:right w:type="dxa" w:w="7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4568B"/>
                <w:sz w:val="14"/>
                <w:szCs w:val="14"/>
              </w:rPr>
              <w:t xml:space="preserve">9. Close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Evidence pack;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Line 2 endorsement;</w:t>
            </w:r>
          </w:p>
          <w:p>
            <w:pPr>
              <w:spacing w:after="10" w:before="0" w:line="200"/>
              <w:jc w:val="center"/>
            </w:pP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Insight closure</w:t>
            </w:r>
          </w:p>
        </w:tc>
      </w:tr>
      <w:tr>
        <w:trPr>
          <w:cantSplit/>
        </w:trPr>
        <w:tc>
          <w:tcPr>
            <w:tcW w:type="dxa" w:w="3600"/>
            <w:gridSpan w:val="3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2A4F"/>
                <w:sz w:val="13"/>
                <w:szCs w:val="13"/>
              </w:rPr>
              <w:t xml:space="preserve">Accountable parties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0F2A4F"/>
                <w:sz w:val="12"/>
                <w:szCs w:val="12"/>
              </w:rPr>
              <w:t xml:space="preserve">•  </w:t>
            </w: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Incident Commander (Technology) — drives end-to-end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0F2A4F"/>
                <w:sz w:val="12"/>
                <w:szCs w:val="12"/>
              </w:rPr>
              <w:t xml:space="preserve">•  </w:t>
            </w: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Cyber Security (Line 2) — independent oversight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0F2A4F"/>
                <w:sz w:val="12"/>
                <w:szCs w:val="12"/>
              </w:rPr>
              <w:t xml:space="preserve">•  </w:t>
            </w: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Platform &amp; Application Owners — technical execution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0F2A4F"/>
                <w:sz w:val="12"/>
                <w:szCs w:val="12"/>
              </w:rPr>
              <w:t xml:space="preserve">•  </w:t>
            </w: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Engineering, Architecture, Testing — solution delivery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0F2A4F"/>
                <w:sz w:val="12"/>
                <w:szCs w:val="12"/>
              </w:rPr>
              <w:t xml:space="preserve">•  </w:t>
            </w: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Business stakeholders — impact &amp; commercial input</w:t>
            </w:r>
          </w:p>
        </w:tc>
        <w:tc>
          <w:tcPr>
            <w:tcW w:type="dxa" w:w="3600"/>
            <w:gridSpan w:val="3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13"/>
                <w:szCs w:val="13"/>
              </w:rPr>
              <w:t xml:space="preserve">Accountable parties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1F3A68"/>
                <w:sz w:val="12"/>
                <w:szCs w:val="12"/>
              </w:rPr>
              <w:t xml:space="preserve">•  </w:t>
            </w: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Penetration Testing — re-engaged for validation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1F3A68"/>
                <w:sz w:val="12"/>
                <w:szCs w:val="12"/>
              </w:rPr>
              <w:t xml:space="preserve">•  </w:t>
            </w: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Cyber Security (Line 2) — risk challenge &amp; endorsement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1F3A68"/>
                <w:sz w:val="12"/>
                <w:szCs w:val="12"/>
              </w:rPr>
              <w:t xml:space="preserve">•  </w:t>
            </w: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Risk function — residual risk position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1F3A68"/>
                <w:sz w:val="12"/>
                <w:szCs w:val="12"/>
              </w:rPr>
              <w:t xml:space="preserve">•  </w:t>
            </w: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Architecture — solution review for any deviation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1F3A68"/>
                <w:sz w:val="12"/>
                <w:szCs w:val="12"/>
              </w:rPr>
              <w:t xml:space="preserve">•  </w:t>
            </w: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Business Owner — formal ownership of risk decision</w:t>
            </w:r>
          </w:p>
        </w:tc>
        <w:tc>
          <w:tcPr>
            <w:tcW w:type="dxa" w:w="3600"/>
            <w:gridSpan w:val="3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4568B"/>
                <w:sz w:val="13"/>
                <w:szCs w:val="13"/>
              </w:rPr>
              <w:t xml:space="preserve">Accountable parties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34568B"/>
                <w:sz w:val="12"/>
                <w:szCs w:val="12"/>
              </w:rPr>
              <w:t xml:space="preserve">•  </w:t>
            </w: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Engineering — secure build &amp; non-prod testing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34568B"/>
                <w:sz w:val="12"/>
                <w:szCs w:val="12"/>
              </w:rPr>
              <w:t xml:space="preserve">•  </w:t>
            </w: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Change Management — urgent / emergency change path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34568B"/>
                <w:sz w:val="12"/>
                <w:szCs w:val="12"/>
              </w:rPr>
              <w:t xml:space="preserve">•  </w:t>
            </w: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Cyber Security — independent post-deploy validation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34568B"/>
                <w:sz w:val="12"/>
                <w:szCs w:val="12"/>
              </w:rPr>
              <w:t xml:space="preserve">•  </w:t>
            </w: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Line 2 Risk — formal endorsement prior to closure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34568B"/>
                <w:sz w:val="12"/>
                <w:szCs w:val="12"/>
              </w:rPr>
              <w:t xml:space="preserve">•  </w:t>
            </w:r>
            <w:r>
              <w:rPr>
                <w:rFonts w:ascii="Arial" w:cs="Arial" w:eastAsia="Arial" w:hAnsi="Arial"/>
                <w:color w:val="1F2A44"/>
                <w:sz w:val="12"/>
                <w:szCs w:val="12"/>
              </w:rPr>
              <w:t xml:space="preserve">Insight — single system-of-record for evidence</w:t>
            </w:r>
          </w:p>
        </w:tc>
      </w:tr>
      <w:tr>
        <w:trPr>
          <w:cantSplit/>
        </w:trPr>
        <w:tc>
          <w:tcPr>
            <w:tcW w:type="dxa" w:w="3600"/>
            <w:gridSpan w:val="3"/>
            <w:tcBorders>
              <w:top w:val="single" w:color="B07A1F" w:sz="8"/>
              <w:left w:val="single" w:color="B07A1F" w:sz="4"/>
              <w:bottom w:val="single" w:color="B07A1F" w:sz="4"/>
              <w:right w:val="single" w:color="B07A1F" w:sz="4"/>
            </w:tcBorders>
            <w:shd w:fill="FFF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A4E1D"/>
                <w:sz w:val="13"/>
                <w:szCs w:val="13"/>
              </w:rPr>
              <w:t xml:space="preserve">Mandatory control gates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7A4E1D"/>
                <w:sz w:val="12"/>
                <w:szCs w:val="12"/>
              </w:rPr>
              <w:t xml:space="preserve">▪  </w:t>
            </w:r>
            <w:r>
              <w:rPr>
                <w:rFonts w:ascii="Arial" w:cs="Arial" w:eastAsia="Arial" w:hAnsi="Arial"/>
                <w:color w:val="3D2A0F"/>
                <w:sz w:val="12"/>
                <w:szCs w:val="12"/>
              </w:rPr>
              <w:t xml:space="preserve">Insight issue raised &amp; classified within 24 hrs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7A4E1D"/>
                <w:sz w:val="12"/>
                <w:szCs w:val="12"/>
              </w:rPr>
              <w:t xml:space="preserve">▪  </w:t>
            </w:r>
            <w:r>
              <w:rPr>
                <w:rFonts w:ascii="Arial" w:cs="Arial" w:eastAsia="Arial" w:hAnsi="Arial"/>
                <w:color w:val="3D2A0F"/>
                <w:sz w:val="12"/>
                <w:szCs w:val="12"/>
              </w:rPr>
              <w:t xml:space="preserve">Incident Commander appointed; war room stood up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7A4E1D"/>
                <w:sz w:val="12"/>
                <w:szCs w:val="12"/>
              </w:rPr>
              <w:t xml:space="preserve">▪  </w:t>
            </w:r>
            <w:r>
              <w:rPr>
                <w:rFonts w:ascii="Arial" w:cs="Arial" w:eastAsia="Arial" w:hAnsi="Arial"/>
                <w:color w:val="3D2A0F"/>
                <w:sz w:val="12"/>
                <w:szCs w:val="12"/>
              </w:rPr>
              <w:t xml:space="preserve">Stakeholder roster confirmed (Tech, Cyber, Risk, Biz)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7A4E1D"/>
                <w:sz w:val="12"/>
                <w:szCs w:val="12"/>
              </w:rPr>
              <w:t xml:space="preserve">▪  </w:t>
            </w:r>
            <w:r>
              <w:rPr>
                <w:rFonts w:ascii="Arial" w:cs="Arial" w:eastAsia="Arial" w:hAnsi="Arial"/>
                <w:color w:val="3D2A0F"/>
                <w:sz w:val="12"/>
                <w:szCs w:val="12"/>
              </w:rPr>
              <w:t xml:space="preserve">Single source of truth established in Insight</w:t>
            </w:r>
          </w:p>
        </w:tc>
        <w:tc>
          <w:tcPr>
            <w:tcW w:type="dxa" w:w="3600"/>
            <w:gridSpan w:val="3"/>
            <w:tcBorders>
              <w:top w:val="single" w:color="B07A1F" w:sz="8"/>
              <w:left w:val="single" w:color="B07A1F" w:sz="4"/>
              <w:bottom w:val="single" w:color="B07A1F" w:sz="4"/>
              <w:right w:val="single" w:color="B07A1F" w:sz="4"/>
            </w:tcBorders>
            <w:shd w:fill="FFF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A4E1D"/>
                <w:sz w:val="13"/>
                <w:szCs w:val="13"/>
              </w:rPr>
              <w:t xml:space="preserve">Mandatory control gates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7A4E1D"/>
                <w:sz w:val="12"/>
                <w:szCs w:val="12"/>
              </w:rPr>
              <w:t xml:space="preserve">▪  </w:t>
            </w:r>
            <w:r>
              <w:rPr>
                <w:rFonts w:ascii="Arial" w:cs="Arial" w:eastAsia="Arial" w:hAnsi="Arial"/>
                <w:color w:val="3D2A0F"/>
                <w:sz w:val="12"/>
                <w:szCs w:val="12"/>
              </w:rPr>
              <w:t xml:space="preserve">Finding formally validated (confirmed / false positive)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7A4E1D"/>
                <w:sz w:val="12"/>
                <w:szCs w:val="12"/>
              </w:rPr>
              <w:t xml:space="preserve">▪  </w:t>
            </w:r>
            <w:r>
              <w:rPr>
                <w:rFonts w:ascii="Arial" w:cs="Arial" w:eastAsia="Arial" w:hAnsi="Arial"/>
                <w:color w:val="3D2A0F"/>
                <w:sz w:val="12"/>
                <w:szCs w:val="12"/>
              </w:rPr>
              <w:t xml:space="preserve">Residual risk position documented in Insight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7A4E1D"/>
                <w:sz w:val="12"/>
                <w:szCs w:val="12"/>
              </w:rPr>
              <w:t xml:space="preserve">▪  </w:t>
            </w:r>
            <w:r>
              <w:rPr>
                <w:rFonts w:ascii="Arial" w:cs="Arial" w:eastAsia="Arial" w:hAnsi="Arial"/>
                <w:color w:val="3D2A0F"/>
                <w:sz w:val="12"/>
                <w:szCs w:val="12"/>
              </w:rPr>
              <w:t xml:space="preserve">Default = remediate; deviation needs Line 2 + Arch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7A4E1D"/>
                <w:sz w:val="12"/>
                <w:szCs w:val="12"/>
              </w:rPr>
              <w:t xml:space="preserve">▪  </w:t>
            </w:r>
            <w:r>
              <w:rPr>
                <w:rFonts w:ascii="Arial" w:cs="Arial" w:eastAsia="Arial" w:hAnsi="Arial"/>
                <w:color w:val="3D2A0F"/>
                <w:sz w:val="12"/>
                <w:szCs w:val="12"/>
              </w:rPr>
              <w:t xml:space="preserve">Business owner formally accepts treatment approach</w:t>
            </w:r>
          </w:p>
        </w:tc>
        <w:tc>
          <w:tcPr>
            <w:tcW w:type="dxa" w:w="3600"/>
            <w:gridSpan w:val="3"/>
            <w:tcBorders>
              <w:top w:val="single" w:color="B07A1F" w:sz="8"/>
              <w:left w:val="single" w:color="B07A1F" w:sz="4"/>
              <w:bottom w:val="single" w:color="B07A1F" w:sz="4"/>
              <w:right w:val="single" w:color="B07A1F" w:sz="4"/>
            </w:tcBorders>
            <w:shd w:fill="FFF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A4E1D"/>
                <w:sz w:val="13"/>
                <w:szCs w:val="13"/>
              </w:rPr>
              <w:t xml:space="preserve">Mandatory control gates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7A4E1D"/>
                <w:sz w:val="12"/>
                <w:szCs w:val="12"/>
              </w:rPr>
              <w:t xml:space="preserve">▪  </w:t>
            </w:r>
            <w:r>
              <w:rPr>
                <w:rFonts w:ascii="Arial" w:cs="Arial" w:eastAsia="Arial" w:hAnsi="Arial"/>
                <w:color w:val="3D2A0F"/>
                <w:sz w:val="12"/>
                <w:szCs w:val="12"/>
              </w:rPr>
              <w:t xml:space="preserve">Independent testing confirms exploit no longer possible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7A4E1D"/>
                <w:sz w:val="12"/>
                <w:szCs w:val="12"/>
              </w:rPr>
              <w:t xml:space="preserve">▪  </w:t>
            </w:r>
            <w:r>
              <w:rPr>
                <w:rFonts w:ascii="Arial" w:cs="Arial" w:eastAsia="Arial" w:hAnsi="Arial"/>
                <w:color w:val="3D2A0F"/>
                <w:sz w:val="12"/>
                <w:szCs w:val="12"/>
              </w:rPr>
              <w:t xml:space="preserve">Controlled deployment with backout &amp; monitoring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7A4E1D"/>
                <w:sz w:val="12"/>
                <w:szCs w:val="12"/>
              </w:rPr>
              <w:t xml:space="preserve">▪  </w:t>
            </w:r>
            <w:r>
              <w:rPr>
                <w:rFonts w:ascii="Arial" w:cs="Arial" w:eastAsia="Arial" w:hAnsi="Arial"/>
                <w:color w:val="3D2A0F"/>
                <w:sz w:val="12"/>
                <w:szCs w:val="12"/>
              </w:rPr>
              <w:t xml:space="preserve">Post-prod validation by Cyber Security</w:t>
            </w:r>
          </w:p>
          <w:p>
            <w:pPr>
              <w:spacing w:after="20" w:before="0" w:line="200"/>
              <w:ind w:left="120" w:hanging="120"/>
            </w:pPr>
            <w:r>
              <w:rPr>
                <w:rFonts w:ascii="Arial" w:cs="Arial" w:eastAsia="Arial" w:hAnsi="Arial"/>
                <w:b/>
                <w:bCs/>
                <w:color w:val="7A4E1D"/>
                <w:sz w:val="12"/>
                <w:szCs w:val="12"/>
              </w:rPr>
              <w:t xml:space="preserve">▪  </w:t>
            </w:r>
            <w:r>
              <w:rPr>
                <w:rFonts w:ascii="Arial" w:cs="Arial" w:eastAsia="Arial" w:hAnsi="Arial"/>
                <w:color w:val="3D2A0F"/>
                <w:sz w:val="12"/>
                <w:szCs w:val="12"/>
              </w:rPr>
              <w:t xml:space="preserve">Evidence pack complete before Insight closure</w:t>
            </w:r>
          </w:p>
        </w:tc>
      </w:tr>
      <w:tr>
        <w:trPr>
          <w:cantSplit/>
        </w:trPr>
        <w:tc>
          <w:tcPr>
            <w:tcW w:type="dxa" w:w="10800"/>
            <w:gridSpan w:val="9"/>
            <w:tcBorders>
              <w:top w:val="single" w:color="B07A1F" w:sz="12"/>
              <w:left w:val="single" w:color="B07A1F" w:sz="4"/>
              <w:bottom w:val="single" w:color="B07A1F" w:sz="4"/>
              <w:right w:val="single" w:color="B07A1F" w:sz="4"/>
            </w:tcBorders>
            <w:shd w:fill="F4E9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A4E1D"/>
                <w:sz w:val="13"/>
                <w:szCs w:val="13"/>
              </w:rPr>
              <w:t xml:space="preserve">PERSISTENT GOVERNANCE — runs across all phases</w:t>
            </w:r>
          </w:p>
          <w:p>
            <w:pPr>
              <w:spacing w:after="10" w:before="0" w:line="220"/>
            </w:pPr>
            <w:r>
              <w:rPr>
                <w:rFonts w:ascii="Arial" w:cs="Arial" w:eastAsia="Arial" w:hAnsi="Arial"/>
                <w:color w:val="3D2A0F"/>
                <w:sz w:val="12"/>
                <w:szCs w:val="12"/>
              </w:rPr>
              <w:t xml:space="preserve">Insight tracking · Technology &amp; Risk Forum reporting · Executive escalation for Critical issues · Board-level visibility · APRA CPS 234 incident notification thresholds applied</w:t>
            </w:r>
          </w:p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3D2A0F"/>
                <w:sz w:val="12"/>
                <w:szCs w:val="12"/>
              </w:rPr>
              <w:t xml:space="preserve">Aligned to: APRA CPS 234 (Information Security) · CPS 230 (Operational Risk Management) · Australian Privacy Act · PCI DSS where in scope</w:t>
            </w:r>
          </w:p>
        </w:tc>
      </w:tr>
    </w:tbl>
    <w:p>
      <w:pPr>
        <w:spacing w:after="20" w:before="120"/>
      </w:pPr>
      <w:r>
        <w:rPr>
          <w:rFonts w:ascii="Arial" w:cs="Arial" w:eastAsia="Arial" w:hAnsi="Arial"/>
          <w:b/>
          <w:bCs/>
          <w:color w:val="0F2A4F"/>
          <w:sz w:val="18"/>
          <w:szCs w:val="18"/>
        </w:rPr>
        <w:t xml:space="preserve">5.  Operating Process Stages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900"/>
        <w:gridCol w:w="19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4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Key Activities &amp; Control Objectives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Accountable</w:t>
            </w:r>
          </w:p>
        </w:tc>
        <w:tc>
          <w:tcPr>
            <w:tcW w:type="dxa" w:w="1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SLA / Gate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1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Detect &amp; Classify</w:t>
            </w:r>
          </w:p>
        </w:tc>
        <w:tc>
          <w:tcPr>
            <w:tcW w:type="dxa" w:w="4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Penetration test or credible external finding triggers classification: Critical → P1, High → P2. Insight issue raised as system of record.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Cyber Security; Tech Ops</w:t>
            </w:r>
          </w:p>
        </w:tc>
        <w:tc>
          <w:tcPr>
            <w:tcW w:type="dxa" w:w="1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FFF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On detection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2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Mobilise MIM</w:t>
            </w:r>
          </w:p>
        </w:tc>
        <w:tc>
          <w:tcPr>
            <w:tcW w:type="dxa" w:w="4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Major Incident Management response initiated. Incident Commander appointed; war room established with structured governance, cadence and single source of truth.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Incident Commander (Tech)</w:t>
            </w:r>
          </w:p>
        </w:tc>
        <w:tc>
          <w:tcPr>
            <w:tcW w:type="dxa" w:w="1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FFF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≤ 24 hours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3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Validate</w:t>
            </w:r>
          </w:p>
        </w:tc>
        <w:tc>
          <w:tcPr>
            <w:tcW w:type="dxa" w:w="4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Controlled reproduction in safe environment; verification of exploit path and data-exposure potential. Pen testers re-engaged where needed. Outcome: confirmed, false positive, or re-scoped.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Cyber Security; Pen Test</w:t>
            </w:r>
          </w:p>
        </w:tc>
        <w:tc>
          <w:tcPr>
            <w:tcW w:type="dxa" w:w="1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FFF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Deterministic, evidence-based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4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Assess Risk</w:t>
            </w:r>
          </w:p>
        </w:tc>
        <w:tc>
          <w:tcPr>
            <w:tcW w:type="dxa" w:w="4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Business-impact and residual-risk assessment: data sensitivity (PII / financial), exposure vectors, exploit likelihood, system criticality and effectiveness of existing controls.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Risk; Cyber; Business Owner</w:t>
            </w:r>
          </w:p>
        </w:tc>
        <w:tc>
          <w:tcPr>
            <w:tcW w:type="dxa" w:w="1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FFF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Risk position in Insight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5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Treatment Decision</w:t>
            </w:r>
          </w:p>
        </w:tc>
        <w:tc>
          <w:tcPr>
            <w:tcW w:type="dxa" w:w="4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Default is full remediation. Risk-acceptance or compensating controls require formal architecture review, Cyber Security (Line 2) challenge, explicit business ownership and governance-forum approval.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Line 2 Cyber; Architecture; Business</w:t>
            </w:r>
          </w:p>
        </w:tc>
        <w:tc>
          <w:tcPr>
            <w:tcW w:type="dxa" w:w="1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FFF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Exception path only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6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Design, Build &amp; Endorse</w:t>
            </w:r>
          </w:p>
        </w:tc>
        <w:tc>
          <w:tcPr>
            <w:tcW w:type="dxa" w:w="4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Architecture &amp; security design review. Business endorsement of trade-offs. Secure development; functional, regression and targeted security testing in non-production.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Engineering; Architecture; Business</w:t>
            </w:r>
          </w:p>
        </w:tc>
        <w:tc>
          <w:tcPr>
            <w:tcW w:type="dxa" w:w="1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FFF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Independent test sign-off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7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Deploy</w:t>
            </w:r>
          </w:p>
        </w:tc>
        <w:tc>
          <w:tcPr>
            <w:tcW w:type="dxa" w:w="4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Controlled change (urgent / emergency) with defined backout and enhanced monitoring. Post-deployment validation in production confirms remediation and stable behaviour.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Change Mgmt; Engineering; Cyber</w:t>
            </w:r>
          </w:p>
        </w:tc>
        <w:tc>
          <w:tcPr>
            <w:tcW w:type="dxa" w:w="1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FFF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Prod validation evidence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8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Close &amp; Assure</w:t>
            </w:r>
          </w:p>
        </w:tc>
        <w:tc>
          <w:tcPr>
            <w:tcW w:type="dxa" w:w="4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Comprehensive evidence pack: finding, validation, residual risk, design, build, test, deploy. Independent Cyber Security confirmation and Line 2 Risk endorsement before Insight closure.</w:t>
            </w:r>
          </w:p>
        </w:tc>
        <w:tc>
          <w:tcPr>
            <w:tcW w:type="dxa" w:w="1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Cyber Security; Line 2 Risk</w:t>
            </w:r>
          </w:p>
        </w:tc>
        <w:tc>
          <w:tcPr>
            <w:tcW w:type="dxa" w:w="1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FFF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Audit-defensible pack</w:t>
            </w:r>
          </w:p>
        </w:tc>
      </w:tr>
    </w:tbl>
    <w:p>
      <w:pPr>
        <w:spacing w:after="20" w:before="120"/>
      </w:pPr>
      <w:r>
        <w:rPr>
          <w:rFonts w:ascii="Arial" w:cs="Arial" w:eastAsia="Arial" w:hAnsi="Arial"/>
          <w:b/>
          <w:bCs/>
          <w:color w:val="0F2A4F"/>
          <w:sz w:val="18"/>
          <w:szCs w:val="18"/>
        </w:rPr>
        <w:t xml:space="preserve">6.  Risk Treatment Principle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B07A1F" w:sz="18"/>
              <w:left w:val="single" w:color="B8C2D1" w:sz="4"/>
              <w:bottom w:val="single" w:color="B8C2D1" w:sz="4"/>
              <w:right w:val="single" w:color="B8C2D1" w:sz="4"/>
            </w:tcBorders>
            <w:shd w:fill="FFF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E1D"/>
                <w:sz w:val="15"/>
                <w:szCs w:val="15"/>
              </w:rPr>
              <w:t xml:space="preserve">Default position — full remediation.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A0F"/>
                <w:sz w:val="15"/>
                <w:szCs w:val="15"/>
              </w:rPr>
              <w:t xml:space="preserve">Risk-acceptance or reliance on compensating controls is exceptional and requires: (i) formal architecture review, (ii) Cyber Security (Line 2) challenge and endorsement, (iii) explicit business ownership, and (iv) approval through the appropriate governance forum. Every deviation is justified, traceable and reportable.</w:t>
            </w:r>
          </w:p>
        </w:tc>
      </w:tr>
    </w:tbl>
    <w:p>
      <w:pPr>
        <w:spacing w:after="20" w:before="120"/>
      </w:pPr>
      <w:r>
        <w:rPr>
          <w:rFonts w:ascii="Arial" w:cs="Arial" w:eastAsia="Arial" w:hAnsi="Arial"/>
          <w:b/>
          <w:bCs/>
          <w:color w:val="0F2A4F"/>
          <w:sz w:val="18"/>
          <w:szCs w:val="18"/>
        </w:rPr>
        <w:t xml:space="preserve">7.  Evidence, Reporting &amp; Escalation</w:t>
      </w:r>
    </w:p>
    <w:p>
      <w:pPr>
        <w:spacing w:after="40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15"/>
          <w:szCs w:val="15"/>
        </w:rPr>
        <w:t xml:space="preserve">Evidence pack: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15"/>
          <w:szCs w:val="15"/>
        </w:rPr>
        <w:t xml:space="preserve">finding, validation, residual-risk, design, build, test and deploy artefacts — held in Insight and independently verified by Cyber Security prior to closure.   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15"/>
          <w:szCs w:val="15"/>
        </w:rPr>
        <w:t xml:space="preserve">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15"/>
          <w:szCs w:val="15"/>
        </w:rPr>
        <w:t xml:space="preserve">Critical and High items tracked in Insight; reported through Technology and Risk forums; escalated to executive leadership; Board Risk Committee receives quarterly portfolio reporting and out-of-cycle notification where material.   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15"/>
          <w:szCs w:val="15"/>
        </w:rPr>
        <w:t xml:space="preserve">Regulatory notification: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15"/>
          <w:szCs w:val="15"/>
        </w:rPr>
        <w:t xml:space="preserve">triggered where confirmed vulnerabilities meet APRA CPS 234 thresholds or constitute an eligible data breach under the Privacy Act.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F2A4F"/>
          <w:sz w:val="18"/>
          <w:szCs w:val="18"/>
        </w:rPr>
        <w:t xml:space="preserve">8.  Regulatory Alignment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3A6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Regulatory / Standard</w:t>
            </w:r>
          </w:p>
        </w:tc>
        <w:tc>
          <w:tcPr>
            <w:tcW w:type="dxa" w:w="81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3A6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How this procedure demonstrates compliance</w:t>
            </w:r>
          </w:p>
        </w:tc>
      </w:tr>
      <w:tr>
        <w:tc>
          <w:tcPr>
            <w:tcW w:type="dxa" w:w="27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APRA CPS 234 — Information Security</w:t>
            </w:r>
          </w:p>
        </w:tc>
        <w:tc>
          <w:tcPr>
            <w:tcW w:type="dxa" w:w="81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Defined roles, timely identification, containment and remediation of information-security incidents; evidence-based controls; notification thresholds applied where breaches meet CPS 234 criteria.</w:t>
            </w:r>
          </w:p>
        </w:tc>
      </w:tr>
      <w:tr>
        <w:tc>
          <w:tcPr>
            <w:tcW w:type="dxa" w:w="27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APRA CPS 230 — Operational Risk</w:t>
            </w:r>
          </w:p>
        </w:tc>
        <w:tc>
          <w:tcPr>
            <w:tcW w:type="dxa" w:w="81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Structured incident response, end-to-end accountability, impact to critical operations consciously assessed, tolerances respected, lessons captured into the operational-risk profile.</w:t>
            </w:r>
          </w:p>
        </w:tc>
      </w:tr>
      <w:tr>
        <w:tc>
          <w:tcPr>
            <w:tcW w:type="dxa" w:w="27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Australian Privacy Act</w:t>
            </w:r>
          </w:p>
        </w:tc>
        <w:tc>
          <w:tcPr>
            <w:tcW w:type="dxa" w:w="81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Data-sensitivity assessment mandatory; eligible data-breach assessment triggered where PII exposure is confirmed; notifiable data-breach process invoked where thresholds are met.</w:t>
            </w:r>
          </w:p>
        </w:tc>
      </w:tr>
      <w:tr>
        <w:tc>
          <w:tcPr>
            <w:tcW w:type="dxa" w:w="27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4"/>
                <w:szCs w:val="14"/>
              </w:rPr>
              <w:t xml:space="preserve">PCI DSS (where in scope)</w:t>
            </w:r>
          </w:p>
        </w:tc>
        <w:tc>
          <w:tcPr>
            <w:tcW w:type="dxa" w:w="81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Cardholder-data environment vulnerabilities treated under the same major-incident pathway, with PCI-specific scoping, scanning evidence and remediation timelines maintained in Insight.</w:t>
            </w:r>
          </w:p>
        </w:tc>
      </w:tr>
    </w:tbl>
    <w:p>
      <w:pPr>
        <w:spacing w:after="20" w:before="120"/>
      </w:pPr>
      <w:r>
        <w:rPr>
          <w:rFonts w:ascii="Arial" w:cs="Arial" w:eastAsia="Arial" w:hAnsi="Arial"/>
          <w:b/>
          <w:bCs/>
          <w:color w:val="0F2A4F"/>
          <w:sz w:val="18"/>
          <w:szCs w:val="18"/>
        </w:rPr>
        <w:t xml:space="preserve">9.  Approval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Recommended by — CISO</w:t>
            </w:r>
          </w:p>
        </w:tc>
        <w:tc>
          <w:tcPr>
            <w:tcW w:type="dxa" w:w="3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Endorsed by — Chief Risk Officer</w:t>
            </w:r>
          </w:p>
        </w:tc>
        <w:tc>
          <w:tcPr>
            <w:tcW w:type="dxa" w:w="3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0F2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Approved by — Board Risk Committee</w:t>
            </w:r>
          </w:p>
        </w:tc>
      </w:tr>
      <w:tr>
        <w:tc>
          <w:tcPr>
            <w:tcW w:type="dxa" w:w="3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Name: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Signature: 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Date:</w:t>
            </w:r>
          </w:p>
        </w:tc>
        <w:tc>
          <w:tcPr>
            <w:tcW w:type="dxa" w:w="3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Name: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Signature: 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Date:</w:t>
            </w:r>
          </w:p>
        </w:tc>
        <w:tc>
          <w:tcPr>
            <w:tcW w:type="dxa" w:w="36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Chair: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Signature: 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A44"/>
                <w:sz w:val="14"/>
                <w:szCs w:val="14"/>
              </w:rPr>
              <w:t xml:space="preserve">Date: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Internal — Restricted   |   Page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4"/>
        <w:szCs w:val="14"/>
      </w:rPr>
      <w:t xml:space="preserve"> of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4"/>
        <w:szCs w:val="14"/>
      </w:rPr>
      <w:t xml:space="preserve">QBE — Operating Procedure | Critical &amp; High Vulnerability Remediation | Board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QBE Operating Procedure — Critical &amp; High Vulnerability Remediation</dc:title>
  <dc:creator>QBE Cyber Security Office</dc:creator>
  <cp:lastModifiedBy>Un-named</cp:lastModifiedBy>
  <cp:revision>1</cp:revision>
  <dcterms:created xsi:type="dcterms:W3CDTF">2026-05-20T22:04:03.229Z</dcterms:created>
  <dcterms:modified xsi:type="dcterms:W3CDTF">2026-05-20T22:04:03.230Z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