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Roboto" w:cs="Roboto" w:eastAsia="Roboto" w:hAnsi="Roboto"/>
          <w:color w:val="2a3990"/>
          <w:sz w:val="46"/>
          <w:szCs w:val="46"/>
        </w:rPr>
      </w:pPr>
      <w:r w:rsidDel="00000000" w:rsidR="00000000" w:rsidRPr="00000000">
        <w:rPr>
          <w:rFonts w:ascii="Roboto" w:cs="Roboto" w:eastAsia="Roboto" w:hAnsi="Roboto"/>
          <w:b w:val="1"/>
          <w:color w:val="2a3990"/>
          <w:sz w:val="45.599999999999966"/>
          <w:szCs w:val="45.599999999999966"/>
          <w:rtl w:val="0"/>
        </w:rPr>
        <w:t xml:space="preserve">Multiple sequence alignment of 10 genetic sequences of SARS-2 (gene 3) – T-Coffee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Roboto" w:cs="Roboto" w:eastAsia="Roboto" w:hAnsi="Roboto"/>
          <w:color w:val="2a399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Roboto" w:cs="Roboto" w:eastAsia="Roboto" w:hAnsi="Roboto"/>
          <w:color w:val="2a399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Roboto" w:cs="Roboto" w:eastAsia="Roboto" w:hAnsi="Roboto"/>
          <w:b w:val="1"/>
          <w:color w:val="2a3990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2a3990"/>
          <w:sz w:val="32"/>
          <w:szCs w:val="32"/>
          <w:rtl w:val="0"/>
        </w:rPr>
        <w:t xml:space="preserve">Съдържание</w:t>
        <w:br w:type="textWrapping"/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2a3990"/>
          <w:sz w:val="25.099999999999998"/>
          <w:szCs w:val="25.099999999999998"/>
        </w:rPr>
      </w:pPr>
      <w:r w:rsidDel="00000000" w:rsidR="00000000" w:rsidRPr="00000000">
        <w:rPr>
          <w:rFonts w:ascii="Roboto" w:cs="Roboto" w:eastAsia="Roboto" w:hAnsi="Roboto"/>
          <w:color w:val="2a3990"/>
          <w:sz w:val="26"/>
          <w:szCs w:val="26"/>
          <w:rtl w:val="0"/>
        </w:rPr>
        <w:t xml:space="preserve">SARS-CoV-2 - (1) (2) (3) (4)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line="227.99999999999997" w:lineRule="auto"/>
        <w:ind w:left="720" w:hanging="360"/>
        <w:rPr>
          <w:color w:val="2a3990"/>
          <w:sz w:val="25.099999999999998"/>
          <w:szCs w:val="25.099999999999998"/>
        </w:rPr>
      </w:pPr>
      <w:r w:rsidDel="00000000" w:rsidR="00000000" w:rsidRPr="00000000">
        <w:rPr>
          <w:rFonts w:ascii="Roboto" w:cs="Roboto" w:eastAsia="Roboto" w:hAnsi="Roboto"/>
          <w:color w:val="2a3990"/>
          <w:sz w:val="25.099999999999998"/>
          <w:szCs w:val="25.099999999999998"/>
          <w:rtl w:val="0"/>
        </w:rPr>
        <w:t xml:space="preserve">Актуалност на проблемa (1) (2)</w:t>
        <w:br w:type="textWrapping"/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line="227.99999999999997" w:lineRule="auto"/>
        <w:ind w:left="720" w:hanging="360"/>
        <w:rPr>
          <w:color w:val="2a3990"/>
          <w:sz w:val="25.099999999999998"/>
          <w:szCs w:val="25.099999999999998"/>
        </w:rPr>
      </w:pPr>
      <w:r w:rsidDel="00000000" w:rsidR="00000000" w:rsidRPr="00000000">
        <w:rPr>
          <w:rFonts w:ascii="Roboto" w:cs="Roboto" w:eastAsia="Roboto" w:hAnsi="Roboto"/>
          <w:color w:val="2a3990"/>
          <w:sz w:val="25.099999999999998"/>
          <w:szCs w:val="25.099999999999998"/>
          <w:rtl w:val="0"/>
        </w:rPr>
        <w:t xml:space="preserve">Описание и цел на заданието </w:t>
        <w:br w:type="textWrapping"/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line="227.99999999999997" w:lineRule="auto"/>
        <w:ind w:left="720" w:hanging="360"/>
        <w:rPr>
          <w:color w:val="2a3990"/>
          <w:sz w:val="25.099999999999998"/>
          <w:szCs w:val="25.099999999999998"/>
        </w:rPr>
      </w:pPr>
      <w:r w:rsidDel="00000000" w:rsidR="00000000" w:rsidRPr="00000000">
        <w:rPr>
          <w:rFonts w:ascii="Roboto" w:cs="Roboto" w:eastAsia="Roboto" w:hAnsi="Roboto"/>
          <w:color w:val="2a3990"/>
          <w:sz w:val="26"/>
          <w:szCs w:val="26"/>
          <w:rtl w:val="0"/>
        </w:rPr>
        <w:t xml:space="preserve">Т-coffee (1) (2) (3) (4)</w:t>
      </w:r>
      <w:r w:rsidDel="00000000" w:rsidR="00000000" w:rsidRPr="00000000">
        <w:rPr>
          <w:rFonts w:ascii="Roboto" w:cs="Roboto" w:eastAsia="Roboto" w:hAnsi="Roboto"/>
          <w:color w:val="2a3990"/>
          <w:sz w:val="25.099999999999998"/>
          <w:szCs w:val="25.099999999999998"/>
          <w:rtl w:val="0"/>
        </w:rPr>
        <w:br w:type="textWrapping"/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line="227.99999999999997" w:lineRule="auto"/>
        <w:ind w:left="720" w:hanging="360"/>
        <w:rPr>
          <w:color w:val="2a3990"/>
          <w:sz w:val="25.099999999999998"/>
          <w:szCs w:val="25.099999999999998"/>
        </w:rPr>
      </w:pPr>
      <w:r w:rsidDel="00000000" w:rsidR="00000000" w:rsidRPr="00000000">
        <w:rPr>
          <w:rFonts w:ascii="Roboto" w:cs="Roboto" w:eastAsia="Roboto" w:hAnsi="Roboto"/>
          <w:color w:val="2a3990"/>
          <w:sz w:val="25.099999999999998"/>
          <w:szCs w:val="25.099999999999998"/>
          <w:rtl w:val="0"/>
        </w:rPr>
        <w:t xml:space="preserve">Експериментална работна рамка (1) (2) (3)</w:t>
        <w:br w:type="textWrapping"/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240" w:line="227.99999999999997" w:lineRule="auto"/>
        <w:ind w:left="720" w:hanging="360"/>
        <w:rPr>
          <w:color w:val="2a3990"/>
          <w:sz w:val="25.099999999999998"/>
          <w:szCs w:val="25.099999999999998"/>
        </w:rPr>
      </w:pPr>
      <w:r w:rsidDel="00000000" w:rsidR="00000000" w:rsidRPr="00000000">
        <w:rPr>
          <w:rFonts w:ascii="Roboto" w:cs="Roboto" w:eastAsia="Roboto" w:hAnsi="Roboto"/>
          <w:color w:val="2a3990"/>
          <w:sz w:val="25.099999999999998"/>
          <w:szCs w:val="25.099999999999998"/>
          <w:rtl w:val="0"/>
        </w:rPr>
        <w:t xml:space="preserve">Експерименталните резултати (1) (2) 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Roboto" w:cs="Roboto" w:eastAsia="Roboto" w:hAnsi="Roboto"/>
          <w:color w:val="2a399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72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9"/>
        </w:numPr>
        <w:spacing w:line="240" w:lineRule="auto"/>
        <w:ind w:left="720" w:hanging="360"/>
        <w:rPr>
          <w:b w:val="1"/>
          <w:color w:val="2a3990"/>
          <w:sz w:val="27.099999999999998"/>
          <w:szCs w:val="27.099999999999998"/>
        </w:rPr>
      </w:pPr>
      <w:r w:rsidDel="00000000" w:rsidR="00000000" w:rsidRPr="00000000">
        <w:rPr>
          <w:rFonts w:ascii="Roboto" w:cs="Roboto" w:eastAsia="Roboto" w:hAnsi="Roboto"/>
          <w:b w:val="1"/>
          <w:color w:val="2a3990"/>
          <w:sz w:val="28"/>
          <w:szCs w:val="28"/>
          <w:rtl w:val="0"/>
        </w:rPr>
        <w:t xml:space="preserve">SARS-Cov-2  (1) - слайд 3 - 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Roboto" w:cs="Roboto" w:eastAsia="Roboto" w:hAnsi="Roboto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https://www.mdpi.com/1420-3049/25/18/4086/htm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Roboto" w:cs="Roboto" w:eastAsia="Roboto" w:hAnsi="Roboto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https://www.ncbi.nlm.nih.gov/sars-cov-2/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Н</w:t>
      </w:r>
      <w:r w:rsidDel="00000000" w:rsidR="00000000" w:rsidRPr="00000000">
        <w:rPr>
          <w:rFonts w:ascii="Roboto" w:cs="Roboto" w:eastAsia="Roboto" w:hAnsi="Roboto"/>
          <w:rtl w:val="0"/>
        </w:rPr>
        <w:t xml:space="preserve">а 11 март 2020 г. Световната здравна организация (СЗО) официално обяви огнището, причинено от новия коронавирус (SARS-CoV-2), за пандемия. Бързото разпространение на болестта изненада научната и медицинска общност и претовари здравните системи в световен мащаб. Практическите действия срещу скорошната поява и бързото разпространение на SARS-CoV-2 изискват разработването и използването на инструментите на биоинформатиката и стратегии за молекулярно моделиране, с цел откриване на потенциални анти-SARS-CoV-2 агенти.</w:t>
      </w:r>
    </w:p>
    <w:p w:rsidR="00000000" w:rsidDel="00000000" w:rsidP="00000000" w:rsidRDefault="00000000" w:rsidRPr="00000000" w14:paraId="0000001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Биоинформатиката е технология, която помага на изследователите да се справят със заболявания, като изследва генетичното секвениране и търси структурни модели на потенциални молекулярни target-и, налични в SARS-CoV-2. </w:t>
      </w:r>
    </w:p>
    <w:p w:rsidR="00000000" w:rsidDel="00000000" w:rsidP="00000000" w:rsidRDefault="00000000" w:rsidRPr="00000000" w14:paraId="00000014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Безпрецедентно огнище на пневмония с неизвестна етиология се появи през декември 2019 г. в град Ухан (провинция Хубей, Китай). Един месец по-късно учените изолират нов коронавирус (SARS-CoV-2), за който се съобщава, че е член на β(бета) подсемейството на коронавирусите. Световната здравна организация (СЗО) въведе името COVID-19 за болестта, причинена от този етиологичен агент. Предишни проучвания показват, че голям брой тежки коронавируси, свързани с остър респираторен синдром (SARSr-CoV), съществуват при прилепите и има серологични доказателства, че някои SARSr-CoV прилепи имат потенциал да заразят хората. Скорошен генетичен анализ на геномни секвенции в пълна дължина, получени от някои пациенти в ранния етап на огнището, разкриват, че секвенциите са почти идентични, споделяйки 79,6% идентичност с SARS-CoV. Освен това, SARS-CoV-2 е 96% идентичен до коронавируса при прилепите. Това посочва прилепите като вероятен произход и предполага високата възможност за предаване от животно на човек. Впоследствие беше потвърдено и предаването от човек на човек.</w:t>
      </w:r>
    </w:p>
    <w:p w:rsidR="00000000" w:rsidDel="00000000" w:rsidP="00000000" w:rsidRDefault="00000000" w:rsidRPr="00000000" w14:paraId="0000001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9"/>
        </w:numPr>
        <w:spacing w:line="240" w:lineRule="auto"/>
        <w:ind w:left="720" w:hanging="360"/>
        <w:rPr>
          <w:b w:val="1"/>
          <w:color w:val="2a3990"/>
          <w:sz w:val="27.099999999999998"/>
          <w:szCs w:val="27.099999999999998"/>
        </w:rPr>
      </w:pPr>
      <w:r w:rsidDel="00000000" w:rsidR="00000000" w:rsidRPr="00000000">
        <w:rPr>
          <w:rFonts w:ascii="Roboto" w:cs="Roboto" w:eastAsia="Roboto" w:hAnsi="Roboto"/>
          <w:b w:val="1"/>
          <w:color w:val="2a3990"/>
          <w:sz w:val="28"/>
          <w:szCs w:val="28"/>
          <w:rtl w:val="0"/>
        </w:rPr>
        <w:t xml:space="preserve">SARS-Cov-2  (2) - слайд 4 - 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По този начин броят на случаите на COVID-19 в Ухан, епицентърът на болестта, бързо се покачи и освен Китай, сега има повече от 200 държави с потвърдени случаи на COVID-19. </w:t>
      </w:r>
    </w:p>
    <w:p w:rsidR="00000000" w:rsidDel="00000000" w:rsidP="00000000" w:rsidRDefault="00000000" w:rsidRPr="00000000" w14:paraId="0000001C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Фигура 1 показва броя на заразените пациенти и смъртните случаи, причинени от COVID-19 до края на август 2020 г. По отношение на огнището на SARS-CoV-2 на 30 януари 2020 г., СЗО обяви болестта за извънредна ситуация в областта на общественото здраве. Към днешна дата типичните клинични симптоми на тези пациенти са висока температура, суха кашлица, възпалено гърло, затруднено дишане (диспнея), главоболие и пневмония. Предвид експоненциалния растеж на случаите на инфекция с SARS-CoV-2, разработването на инструменти, които допринасят за откриването на нови терапевтични цели срещу вируса, е от решаващо значение за предотвратяване на повече смъртни случаи, свързани с SARS-CoV-2.</w:t>
      </w:r>
    </w:p>
    <w:p w:rsidR="00000000" w:rsidDel="00000000" w:rsidP="00000000" w:rsidRDefault="00000000" w:rsidRPr="00000000" w14:paraId="0000001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Понастоящем, при липса на ефективна терапия, известна за лечението на COVID-19 и, също така, предвид, че процесът на разработка на нови лекарства отнема много време и е тромав, биоинформатиката и молекулярното моделиране могат да бъдат използвани като инструменти, за да подпомогнат бързото развитие на лечение, което да бъде тествано в клинична среда. </w:t>
      </w:r>
    </w:p>
    <w:p w:rsidR="00000000" w:rsidDel="00000000" w:rsidP="00000000" w:rsidRDefault="00000000" w:rsidRPr="00000000" w14:paraId="00000020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Ролята на биоинформатиката във връзка с молекулярното моделиране в търсене на методи за диагностика, лечение и профилактика на COVID-19 е безспорна. Процеси като скрининг на биоактивни съединения, моделиране на биомакромолекулни структури, селекция на праймери и съединения за генетично секвениране могат да бъдат по-бързи, по-точни и по-евтини, когато се подпомагат от компютърни инструменти и автоматизация. Експерти от цял ​​свят вярват в потенциала на биоинформатиката в борбата с пандемията на COVID-19. Тя допринася за разбирането на вариациите в протеините на SARS-CoV-2 и как се увеличава вирулентността на този патоген. Въз основа на това, този инструмент(биоинформатиката) може също да изясни как вирусът подкопава имунната система. </w:t>
      </w:r>
    </w:p>
    <w:p w:rsidR="00000000" w:rsidDel="00000000" w:rsidP="00000000" w:rsidRDefault="00000000" w:rsidRPr="00000000" w14:paraId="0000002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9"/>
        </w:numPr>
        <w:spacing w:line="240" w:lineRule="auto"/>
        <w:ind w:left="720" w:hanging="360"/>
        <w:rPr>
          <w:b w:val="1"/>
          <w:color w:val="2a3990"/>
          <w:sz w:val="27.099999999999998"/>
          <w:szCs w:val="27.099999999999998"/>
        </w:rPr>
      </w:pPr>
      <w:r w:rsidDel="00000000" w:rsidR="00000000" w:rsidRPr="00000000">
        <w:rPr>
          <w:rFonts w:ascii="Roboto" w:cs="Roboto" w:eastAsia="Roboto" w:hAnsi="Roboto"/>
          <w:b w:val="1"/>
          <w:color w:val="2a3990"/>
          <w:sz w:val="28"/>
          <w:szCs w:val="28"/>
          <w:rtl w:val="0"/>
        </w:rPr>
        <w:t xml:space="preserve">SARS-Cov-2  (3) - слайд 5 - Ники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Повечето коронавирусни инфекции (CoV) при хората се причиняват от видове с ниска патогенност, причиняващи симптоми на обикновена настинка; обаче, в крайна сметка те могат да доведат до сериозни инфекции в по-високорискови групи като възрастни хора, пациенти със съпътстващи заболявания (хипертония, захарен диабет, астма и др.) и / или страдащи от имуносупресия. Преди 2019 г. два високопатогенни и животински коронавирусни вида (SARS и MERS) са отговорни за огнищата на тежки остри дихателни синдроми. По отношение на човешката инфекция от SARS-CoV-2, клиничният спектър не е напълно описан и смъртността, заразността и трансмисивността все още се изясняват. 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Етиологичен агент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CoV, от порядъка Nidovirales, подсемейство Coronavirin и семейство Coronaviridae, е едноверижен РНК вирус с диаметър 80–120 nm, със съществуваща корона, поради наличието на гликопротеини във вирусната обвивка, която може да бъде наблюдавана под електронен микроскоп. 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Това е вирус, способен да зарази хора и голямо разнообразие от други бозайници и птици, като развива заболявания на дихателната, чревната, чернодробната и централната нервна система. 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CoV е класифициран в 3 подсемейства, наричани преди това групи 1, 2 и 3. Група 1 и 2 са съставени от CoV, който има бозайниците като домакини, а група 3 доскоро е била съставена само от птичи CoV. Понастоящем Изследователската група на Международния комитет за вирусна таксономия (ICVT) предложи да се заменят 3-те традиционни групи с подсемейства Alfacoronavirus (α-CoV) (група 1), Betacoronavirus (β-CoV) (група 2) и Gamacoronavirus (γ- CoV) (група 3). След това при птици и свине се открива присъствието на четвърто подсемейство CoV и се нарича Deltacoronavirus (δ-CoV).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Най-често срещаните човешки CoVs са: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HCoV-OC43 и HCoV-HKU1 ( и двата β-COV на щам A) 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HCoV-229E и HCoV-NL63 ( и двата α-CoV)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Tе причиняват най-вече обикновени настинки и самоограничени инфекции на горните дихателни пътища при имунокомпетентни индивиди, т.е. те се елиминират за кратък период от време от имунната система, без да е необходима намесата на специфична фармацевтична терапия. Естествено при имунокомпрометирани и възрастни хора също могат да се появят инфекции на долните дихателни пътища. 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Други човешки CoVs включват SARS-CoV, SARS-CoV-2  и MERS-CoV. Тези категории CoVs могат да причинят епидемии с различна клинична тежест, с респираторни и екстра-дихателни прояви. По отношение на SARS-CoV, MERS-CoV, смъртността е съответно между 10% и 35%.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720" w:firstLine="0"/>
        <w:jc w:val="both"/>
        <w:rPr>
          <w:rFonts w:ascii="Roboto" w:cs="Roboto" w:eastAsia="Roboto" w:hAnsi="Roboto"/>
          <w:b w:val="1"/>
          <w:color w:val="2a399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720" w:firstLine="0"/>
        <w:jc w:val="both"/>
        <w:rPr>
          <w:rFonts w:ascii="Roboto" w:cs="Roboto" w:eastAsia="Roboto" w:hAnsi="Roboto"/>
          <w:b w:val="1"/>
          <w:color w:val="2a399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9"/>
        </w:numPr>
        <w:spacing w:line="240" w:lineRule="auto"/>
        <w:ind w:left="720" w:hanging="360"/>
        <w:rPr>
          <w:b w:val="1"/>
          <w:color w:val="2a3990"/>
          <w:sz w:val="27.099999999999998"/>
          <w:szCs w:val="27.099999999999998"/>
        </w:rPr>
      </w:pPr>
      <w:r w:rsidDel="00000000" w:rsidR="00000000" w:rsidRPr="00000000">
        <w:rPr>
          <w:rFonts w:ascii="Roboto" w:cs="Roboto" w:eastAsia="Roboto" w:hAnsi="Roboto"/>
          <w:b w:val="1"/>
          <w:color w:val="2a3990"/>
          <w:sz w:val="28"/>
          <w:szCs w:val="28"/>
          <w:rtl w:val="0"/>
        </w:rPr>
        <w:t xml:space="preserve">SARS-Cov-2  (4) - слайд 6 - Ники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Предаване на коронавирус между различни видове: 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(а) коронавирусът, чийто естествен преносител са прилепите (BtCoV). 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Този вирус се е разпространил и се е приспособил към дивите животни, например маскирана палмова цибета, която се предлага на пазарите за морски дарове на едро в Китай, за консумация от човека. Служителите на тези пазари, които манипулират тези диви животни, са заразени. Те обаче не са показали важни клинични признаци и симптомите са минимални. Процесът на адаптиране на вируса към нови гостоприемници доведе до щамове с ефективна способност за репликация при човешки гостоприемници, които причиняват заболявания с клинични състояния, вариращи от леки до тежки и с голяма способност да се разпространяват от човек на човек.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0" w:firstLine="0"/>
        <w:rPr>
          <w:rFonts w:ascii="Roboto" w:cs="Roboto" w:eastAsia="Roboto" w:hAnsi="Roboto"/>
          <w:b w:val="1"/>
          <w:color w:val="2a399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(б) CoV-OC43 коронавирусът, чийто естествен преносител са хората и говеждият (BCoV) са тясно свързани. Предполага се, че тези коронавируси произхождат от друг животински вид и впоследствие са кръстосвали своите видове. BCoV ефективно се е разпространил сред други животински видове, например алпака (южноамерикански бозайник от семейство камили) и диви преживни животни (като елени).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9"/>
        </w:numPr>
        <w:spacing w:line="240" w:lineRule="auto"/>
        <w:ind w:left="720" w:hanging="360"/>
        <w:rPr>
          <w:b w:val="1"/>
          <w:color w:val="2a3990"/>
          <w:sz w:val="27.099999999999998"/>
          <w:szCs w:val="27.099999999999998"/>
        </w:rPr>
      </w:pPr>
      <w:r w:rsidDel="00000000" w:rsidR="00000000" w:rsidRPr="00000000">
        <w:rPr>
          <w:rFonts w:ascii="Roboto" w:cs="Roboto" w:eastAsia="Roboto" w:hAnsi="Roboto"/>
          <w:b w:val="1"/>
          <w:color w:val="2a3990"/>
          <w:sz w:val="28"/>
          <w:szCs w:val="28"/>
          <w:rtl w:val="0"/>
        </w:rPr>
        <w:t xml:space="preserve">Актуалност на проблема (1) - слайд 8 - Деси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Използването на биоинформатиката и други изчислителни инструменти в допълнение към молекулярното моделиране помага на изследователите от различни области при търсенето на стратегии за диагностициране на вирусната инфекция, при разработването на ваксини за нейната профилактика, както и при откриването на нови анти- CoV-2 средства.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Познаването на генома на даден вид въз основа на техниката на генетичното секвениране е отправна точка за разбирането на структурата и функцията на неговите гени. В контекста на болести, предавани от микроорганизми, като SARS-CoV-2, картографирането на генома на микроорганизми, събрани от заразени пациенти в различни региони на света, също позволява проследяване на профила на предаване, включително, неговото разпространение в различни региони и държави, допринасяне за търсене на стратегии за борба с болестта и наблюдение на мутации.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Данните от базата данни NCBI GenBank® https://www.ncbi.nlm.nih.gov/genbank), към днешна дата, показват повече от 290 000 нуклеотидни секвенции, въведени от декември 2019 г. за SARS-CoV-2, като повечето от тях идват от градове в Китай и САЩ. 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През февруари 2020 г. учени от университета в Сао Пауло и Института Адолф Лутц в Бразилия, заедно с учени от университета в Оксфорд, Обединеното кралство, успяха да изяснят и публикуват пълната генна последователност на вируса, само в рамките на два дни, което е възможна благодарение на прилагането на софтуери и приложения на биоинформатиката.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9"/>
        </w:numPr>
        <w:spacing w:line="240" w:lineRule="auto"/>
        <w:ind w:left="720" w:hanging="360"/>
        <w:rPr>
          <w:b w:val="1"/>
          <w:color w:val="2a3990"/>
          <w:sz w:val="27.099999999999998"/>
          <w:szCs w:val="27.099999999999998"/>
        </w:rPr>
      </w:pPr>
      <w:r w:rsidDel="00000000" w:rsidR="00000000" w:rsidRPr="00000000">
        <w:rPr>
          <w:rFonts w:ascii="Roboto" w:cs="Roboto" w:eastAsia="Roboto" w:hAnsi="Roboto"/>
          <w:b w:val="1"/>
          <w:color w:val="2a3990"/>
          <w:sz w:val="28"/>
          <w:szCs w:val="28"/>
          <w:rtl w:val="0"/>
        </w:rPr>
        <w:t xml:space="preserve">Актуалност на проблема (2) - 9 - Деси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Биоинформатиката показа голям напредък през 90-те години, главно с оглед развитието на геномната област, която генерира голямо количество биологични данни, несъвместими за бърз анализ на ръка. Бързата и адекватна манипулация на тези данни е възможна чрез прилагането на софтуер за сравнение и анализ на данни и лесен достъп до наличните по-рано данни от споделянето и съхраняването на информация във виртуални бази данни. С оглед на експериментално получените последователности е възможно да се извърши подравняването на тези секвенции с други секвенции, налични във виртуални бази данни, което води до познаване на семейството, с което е свързан микроорганизмът.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9"/>
        </w:numPr>
        <w:spacing w:line="240" w:lineRule="auto"/>
        <w:ind w:left="720" w:hanging="360"/>
        <w:rPr>
          <w:b w:val="1"/>
          <w:color w:val="2a3990"/>
          <w:sz w:val="27.099999999999998"/>
          <w:szCs w:val="27.099999999999998"/>
        </w:rPr>
      </w:pPr>
      <w:r w:rsidDel="00000000" w:rsidR="00000000" w:rsidRPr="00000000">
        <w:rPr>
          <w:rFonts w:ascii="Roboto" w:cs="Roboto" w:eastAsia="Roboto" w:hAnsi="Roboto"/>
          <w:b w:val="1"/>
          <w:color w:val="2a3990"/>
          <w:sz w:val="28"/>
          <w:szCs w:val="28"/>
          <w:rtl w:val="0"/>
        </w:rPr>
        <w:t xml:space="preserve">Описание и цел на заданието - слайд 10 - Деси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Да се направи множествено подравняване на 10 генетични секвенции на SARS-CoV-2 (gene 3), посредством T-Coffee.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9"/>
        </w:numPr>
        <w:spacing w:line="240" w:lineRule="auto"/>
        <w:ind w:left="720" w:hanging="360"/>
        <w:rPr>
          <w:b w:val="1"/>
          <w:color w:val="2a3990"/>
          <w:sz w:val="27.099999999999998"/>
          <w:szCs w:val="27.099999999999998"/>
        </w:rPr>
      </w:pPr>
      <w:r w:rsidDel="00000000" w:rsidR="00000000" w:rsidRPr="00000000">
        <w:rPr>
          <w:rFonts w:ascii="Roboto" w:cs="Roboto" w:eastAsia="Roboto" w:hAnsi="Roboto"/>
          <w:b w:val="1"/>
          <w:color w:val="2a3990"/>
          <w:sz w:val="28"/>
          <w:szCs w:val="28"/>
          <w:rtl w:val="0"/>
        </w:rPr>
        <w:t xml:space="preserve">T-Coffee (1) - слайд 11 - Деси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http://www.tcoffee.org/Projects/tcoffee/index.html#INSTALLATION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http://www.tcoffee.org/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http://www.tcoffee.org/Projects/tcoffee/papers/tcoffee.pdf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http://tcoffee.crg.cat/apps/tcoffee/do:regular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Какво е T-Coffee?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T-Coffee е: 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8"/>
        </w:numPr>
        <w:spacing w:line="240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колекция от инструменти за изчисляване, оценка и манипулиране на множествени подравнявания на ДНК, РНК, протеинови секвенции и структури. Можете да използвате T-Coffee за подравняване на секвенции или за комбиниране на резултати от други методи за подравняване (Clustal, Mafft, Probcons, Muscle ...) - в едно уникално подравняване (M-Coffee)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нов метод за множествено подравняване на секвенции, разработен 2000г.,  който осигурява драматично подобрение на точността с умерена скорост в сравнение с най-често използваните алтернативи. 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T-Coffee е безплатен пакет с отворен код, разпространяван под публичния лиценз на GNU.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T-Coffee може да подреди протеинови, ДНК и РНК последователности. Той също така е в състояние да комбинира информация за последователността заедно със структурна информация за протеини (3D-Coffee / Expresso), информация за профила (PSI-Coffee) или вторични структури на РНК (R-Coffee).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9"/>
        </w:numPr>
        <w:spacing w:line="240" w:lineRule="auto"/>
        <w:ind w:left="720" w:hanging="360"/>
        <w:rPr>
          <w:b w:val="1"/>
          <w:color w:val="2a3990"/>
          <w:sz w:val="27.099999999999998"/>
          <w:szCs w:val="27.099999999999998"/>
        </w:rPr>
      </w:pPr>
      <w:r w:rsidDel="00000000" w:rsidR="00000000" w:rsidRPr="00000000">
        <w:rPr>
          <w:rFonts w:ascii="Roboto" w:cs="Roboto" w:eastAsia="Roboto" w:hAnsi="Roboto"/>
          <w:b w:val="1"/>
          <w:color w:val="2a3990"/>
          <w:sz w:val="28"/>
          <w:szCs w:val="28"/>
          <w:rtl w:val="0"/>
        </w:rPr>
        <w:t xml:space="preserve">T-Coffee (2) - слайд 12 - Ники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jc w:val="both"/>
        <w:rPr>
          <w:rFonts w:ascii="Roboto" w:cs="Roboto" w:eastAsia="Roboto" w:hAnsi="Roboto"/>
          <w:color w:val="0000ff"/>
          <w:sz w:val="36"/>
          <w:szCs w:val="36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0000ff"/>
            <w:u w:val="single"/>
            <w:rtl w:val="0"/>
          </w:rPr>
          <w:t xml:space="preserve">http://www.tcoffee.org/Projects/tcoffee/papers/tcoffee.pdf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jc w:val="both"/>
        <w:rPr>
          <w:rFonts w:ascii="Roboto" w:cs="Roboto" w:eastAsia="Roboto" w:hAnsi="Roboto"/>
          <w:color w:val="0000ff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0000ff"/>
            <w:u w:val="single"/>
            <w:rtl w:val="0"/>
          </w:rPr>
          <w:t xml:space="preserve">http://www.tcoffee.org/Projects/tcoffee/index.html#INSTALLATION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jc w:val="both"/>
        <w:rPr>
          <w:rFonts w:ascii="Roboto" w:cs="Roboto" w:eastAsia="Roboto" w:hAnsi="Roboto"/>
          <w:color w:val="0000ff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0000ff"/>
            <w:u w:val="single"/>
            <w:rtl w:val="0"/>
          </w:rPr>
          <w:t xml:space="preserve">http://www.tcoffee.org/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jc w:val="both"/>
        <w:rPr>
          <w:rFonts w:ascii="Roboto" w:cs="Roboto" w:eastAsia="Roboto" w:hAnsi="Roboto"/>
          <w:color w:val="0000ff"/>
          <w:sz w:val="28"/>
          <w:szCs w:val="28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0000ff"/>
            <w:u w:val="single"/>
            <w:rtl w:val="0"/>
          </w:rPr>
          <w:t xml:space="preserve">https://academic.oup.com/nar/article/39/suppl_2/W13/2505784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jc w:val="both"/>
        <w:rPr>
          <w:rFonts w:ascii="Roboto" w:cs="Roboto" w:eastAsia="Roboto" w:hAnsi="Roboto"/>
          <w:b w:val="1"/>
          <w:color w:val="2a399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T-Coffee - Tree-based Consistency Objective Function for alignment Evaluation 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(целенасочена функция за оценка на съгласуваността, базирана на дърво)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Описание на алгоритъма T-Coffee: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10"/>
        </w:numPr>
        <w:spacing w:line="240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използва методa за прогресивно подравняване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10"/>
        </w:numPr>
        <w:spacing w:line="240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генерира множествено подравняване с най-високо ниво на консистентност като използва библиотека от предварително обработени глобални и локални подреждания по двойки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10"/>
        </w:numPr>
        <w:spacing w:line="240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може да комбинира предишни подравнения,  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10"/>
        </w:numPr>
        <w:spacing w:line="240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може да оценява нивото на консистентност на подрежданията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10"/>
        </w:numPr>
        <w:spacing w:line="240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може да извлича серия от мотиви за създаването на локално подравняване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T-Coffee има две основни характеристики. 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Първо, осигурява прост и гъвкав начин за генериране на множествени подравнявания, използвайки различни източници на данни. Данните от тези източници се предоставят на T-Coffee чрез библиотеки, които се сравняват по двойки.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Втората основна характеристика е оптимизационният метод, чрез който намира множеството подравнявания, които най-добре пасват на двойките подравнявания от библиотеката.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9"/>
        </w:numPr>
        <w:spacing w:line="240" w:lineRule="auto"/>
        <w:ind w:left="720" w:hanging="360"/>
        <w:rPr>
          <w:b w:val="1"/>
          <w:color w:val="2a3990"/>
          <w:sz w:val="27.099999999999998"/>
          <w:szCs w:val="27.099999999999998"/>
        </w:rPr>
      </w:pPr>
      <w:r w:rsidDel="00000000" w:rsidR="00000000" w:rsidRPr="00000000">
        <w:rPr>
          <w:rFonts w:ascii="Roboto" w:cs="Roboto" w:eastAsia="Roboto" w:hAnsi="Roboto"/>
          <w:b w:val="1"/>
          <w:color w:val="2a3990"/>
          <w:sz w:val="28"/>
          <w:szCs w:val="28"/>
          <w:rtl w:val="0"/>
        </w:rPr>
        <w:t xml:space="preserve">T-Coffee (3) - слайд 13 - Ники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720" w:firstLine="0"/>
        <w:jc w:val="both"/>
        <w:rPr>
          <w:rFonts w:ascii="Roboto" w:cs="Roboto" w:eastAsia="Roboto" w:hAnsi="Roboto"/>
          <w:b w:val="1"/>
          <w:color w:val="2a39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5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Генериране на основна библиотека с подравнявания.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ind w:left="144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тя съдържа сет от двойки измежду всички секвенции, които ще бъдат подравнявани.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ind w:left="144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за всяка двойка секвенции се използват по два източника за подравняване - един локален и един глобален.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left="144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Глобалните подравнявания се конструират посредством ClustalW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ind w:left="144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Локалните са 10те топ подравнявания между всяка двойка секвенции, които се извличат посредством Lalign програмата от FASTA пакетът.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ind w:left="144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В библиотеката всяко подравняване се представя като списък от съчетани двойки (например х от секвенция А се съпоставя с у от секвенция В). Всяка двойка има също така различна значимост, като това се определя спрямо оценъчна система.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5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T-Coffee поставя оценка (или тежест) на всяка двойка в дадената библиотека. Секвенциите се считат за акуратни, когато съвпадаемостта е повече от 30%. За всеки сет секвенции се изчисляват две главни библиотеки заедно с техните тежести/оценки. Едната посредством ClustalW глобално подравняване, а втората - локално с Lalign.</w:t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5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Целта всъщност е оптималното комбиниране на локалната и глобална информация. Това се постига чрез обединяване на двете библиотеки. Ако някоя двойка се дублира, те биват обединени в едно, а тежестта им се сумира. В противен случай се създава нова двойка. Двойки, които не са се проявили имат тежест със стойност 0 по подразбиране. Изследвайки консистенцията на всички двойки, обаче може много да увеличи стойността им, за това се назначава тежест, която рефлектира степента им на консистентност. Този 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ind w:left="144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процес се нарича Library Extension.</w:t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5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Цялостната идея на екстензията е да се комбинира информацията по такъв начин, че крайната тежест за всяка двойка да рефлектира информацията от цялата библиотека. </w:t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5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Този процес от своя страна  позволява използването на стратегията за Прогресивно Подравняване. Групите по двойки образуват матрица на разстоянията между секвенциите, което на свой ред образува филогенетично дърво. Най-близките двойки в това дърво се подравняват първи, посредством динамично програмиране.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9"/>
        </w:numPr>
        <w:spacing w:line="240" w:lineRule="auto"/>
        <w:ind w:left="720" w:hanging="360"/>
        <w:rPr>
          <w:b w:val="1"/>
          <w:color w:val="2a3990"/>
          <w:sz w:val="27.099999999999998"/>
          <w:szCs w:val="27.099999999999998"/>
        </w:rPr>
      </w:pPr>
      <w:r w:rsidDel="00000000" w:rsidR="00000000" w:rsidRPr="00000000">
        <w:rPr>
          <w:rFonts w:ascii="Roboto" w:cs="Roboto" w:eastAsia="Roboto" w:hAnsi="Roboto"/>
          <w:b w:val="1"/>
          <w:color w:val="2a3990"/>
          <w:sz w:val="28"/>
          <w:szCs w:val="28"/>
          <w:rtl w:val="0"/>
        </w:rPr>
        <w:t xml:space="preserve">Експериментална работна рамка (1) - слайд 15 - Деси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ind w:left="0" w:firstLine="0"/>
        <w:jc w:val="both"/>
        <w:rPr>
          <w:rFonts w:ascii="Roboto" w:cs="Roboto" w:eastAsia="Roboto" w:hAnsi="Roboto"/>
        </w:rPr>
      </w:pPr>
      <w:hyperlink r:id="rId1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https://www.ncbi.nlm.nih.gov/pmc/articles/PMC7293463/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Bioinfrotmatics book - p. 309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Геномът на SARS-CoV-2 се състои от едноверижна РНК и е представен в базата данни на NCBI под името NC_045512.2 .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Вирусният геном кодира 16 неструктурни протеина, от които nsp3 е най-големият. Това е мембранен протеин с множество домейни и е от съществено значение в репликационно-транскрипционния комплекс, образуван върху мембраните на гостоприемника.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Генетичният състав на SARS-CoV-2 се състои от:</w:t>
      </w:r>
    </w:p>
    <w:p w:rsidR="00000000" w:rsidDel="00000000" w:rsidP="00000000" w:rsidRDefault="00000000" w:rsidRPr="00000000" w14:paraId="0000009C">
      <w:pPr>
        <w:widowControl w:val="0"/>
        <w:numPr>
          <w:ilvl w:val="0"/>
          <w:numId w:val="7"/>
        </w:numPr>
        <w:spacing w:line="240" w:lineRule="auto"/>
        <w:ind w:left="72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13–15 (12 функционални) отворени рамки за четене (ORF), съдържащи ~ 30 000 нуклеотида </w:t>
      </w:r>
    </w:p>
    <w:p w:rsidR="00000000" w:rsidDel="00000000" w:rsidP="00000000" w:rsidRDefault="00000000" w:rsidRPr="00000000" w14:paraId="0000009D">
      <w:pPr>
        <w:widowControl w:val="0"/>
        <w:numPr>
          <w:ilvl w:val="0"/>
          <w:numId w:val="7"/>
        </w:numPr>
        <w:spacing w:line="240" w:lineRule="auto"/>
        <w:ind w:left="72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S, E, M и N протеини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Целият геном на SARS-CoV-2 кодира около 7096 остатъка с дълъг полипротеин, който се състои от много структурни и неструктурни протеини (NSP). Нуклеотидите във вирусния геном се съдържат главно в двата неструктурни протеина ORF1a и ORF1ab, последвани от структурни протеини. 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numPr>
          <w:ilvl w:val="0"/>
          <w:numId w:val="9"/>
        </w:numPr>
        <w:spacing w:line="240" w:lineRule="auto"/>
        <w:ind w:left="720" w:hanging="360"/>
        <w:rPr>
          <w:b w:val="1"/>
          <w:color w:val="2a399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a3990"/>
          <w:sz w:val="28"/>
          <w:szCs w:val="28"/>
          <w:rtl w:val="0"/>
        </w:rPr>
        <w:t xml:space="preserve">Експериментална работна рамка (2) - слайд 16 - Ники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- SARS-CoV-2 -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Multi-domain non-structural protein 3 или Nsp3 - е най-големият протеин, кодиран от коронавирус геномът, с молекулна маса приблизително равна на 200 kD (килодалтона). Nsp3 представлява съществена част от репликационния комплекс. 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Съставен е от различни области, 8 от които съществуват във всички познати коронавируси (CoVs). Те са следните: </w:t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Roboto" w:cs="Roboto" w:eastAsia="Roboto" w:hAnsi="Roboto"/>
          <w:color w:val="2a399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color w:val="2a3990"/>
          <w:sz w:val="26"/>
          <w:szCs w:val="26"/>
          <w:highlight w:val="white"/>
          <w:rtl w:val="0"/>
        </w:rPr>
        <w:t xml:space="preserve">ubiquitin-like domain 1 (Ubl1)</w:t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a3990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a3990"/>
          <w:sz w:val="26"/>
          <w:szCs w:val="26"/>
          <w:highlight w:val="white"/>
          <w:rtl w:val="0"/>
        </w:rPr>
        <w:t xml:space="preserve">Glu-rich acidic domain (also called “hypervariable region”)</w:t>
      </w:r>
    </w:p>
    <w:p w:rsidR="00000000" w:rsidDel="00000000" w:rsidP="00000000" w:rsidRDefault="00000000" w:rsidRPr="00000000" w14:paraId="000000A8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a3990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a3990"/>
          <w:sz w:val="26"/>
          <w:szCs w:val="26"/>
          <w:highlight w:val="white"/>
          <w:rtl w:val="0"/>
        </w:rPr>
        <w:t xml:space="preserve">macrodomain (also named “X domain”)</w:t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a399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a3990"/>
          <w:sz w:val="26"/>
          <w:szCs w:val="26"/>
          <w:highlight w:val="white"/>
          <w:rtl w:val="0"/>
        </w:rPr>
        <w:t xml:space="preserve">ubiquitin-like domain 2 (Ubl2)</w:t>
      </w:r>
    </w:p>
    <w:p w:rsidR="00000000" w:rsidDel="00000000" w:rsidP="00000000" w:rsidRDefault="00000000" w:rsidRPr="00000000" w14:paraId="000000AA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a399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a3990"/>
          <w:sz w:val="26"/>
          <w:szCs w:val="26"/>
          <w:highlight w:val="white"/>
          <w:rtl w:val="0"/>
        </w:rPr>
        <w:t xml:space="preserve">papain-like protease 2 (PL2</w:t>
      </w:r>
      <w:r w:rsidDel="00000000" w:rsidR="00000000" w:rsidRPr="00000000">
        <w:rPr>
          <w:rFonts w:ascii="Times New Roman" w:cs="Times New Roman" w:eastAsia="Times New Roman" w:hAnsi="Times New Roman"/>
          <w:color w:val="2a3990"/>
          <w:sz w:val="21"/>
          <w:szCs w:val="21"/>
          <w:highlight w:val="white"/>
          <w:rtl w:val="0"/>
        </w:rPr>
        <w:t xml:space="preserve">pro</w:t>
      </w:r>
      <w:r w:rsidDel="00000000" w:rsidR="00000000" w:rsidRPr="00000000">
        <w:rPr>
          <w:rFonts w:ascii="Times New Roman" w:cs="Times New Roman" w:eastAsia="Times New Roman" w:hAnsi="Times New Roman"/>
          <w:color w:val="2a3990"/>
          <w:sz w:val="26"/>
          <w:szCs w:val="2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a399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a3990"/>
          <w:sz w:val="26"/>
          <w:szCs w:val="26"/>
          <w:highlight w:val="white"/>
          <w:rtl w:val="0"/>
        </w:rPr>
        <w:t xml:space="preserve">Nsp3 ectodomain (3Ecto, also called “zinc-finger domain”)</w:t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a399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a3990"/>
          <w:sz w:val="26"/>
          <w:szCs w:val="26"/>
          <w:highlight w:val="white"/>
          <w:rtl w:val="0"/>
        </w:rPr>
        <w:t xml:space="preserve">Y1 and CoV-Y of unknown functions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Times New Roman" w:cs="Times New Roman" w:eastAsia="Times New Roman" w:hAnsi="Times New Roman"/>
          <w:color w:val="2a399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Триизмерните структури в N-терминала, 2/3 от Nsp3 са изследвани чрез рентгенови лъчи и ядрено-магнитен резонанс, както виждаме на изображението, а останалата част е не изследвана област, показана в червено.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Като цяло Nsp3 играе различни роли в коронавирус инфекцията. Освобождава себе си, както и Nsp1 и Nsp2 от полипротеините и взаимодейства с други Nsps, както и с РНК, за оформянето на репликационния комплекс. Напада имунната система на приемника, като същевременно се модифицира в неговите клетки посредством 3Ecto областта и подпомага оцеляването на самия вирус.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numPr>
          <w:ilvl w:val="0"/>
          <w:numId w:val="9"/>
        </w:numPr>
        <w:spacing w:line="240" w:lineRule="auto"/>
        <w:ind w:left="720" w:hanging="360"/>
        <w:rPr>
          <w:b w:val="1"/>
          <w:color w:val="2a399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a3990"/>
          <w:sz w:val="28"/>
          <w:szCs w:val="28"/>
          <w:rtl w:val="0"/>
        </w:rPr>
        <w:t xml:space="preserve">Експериментална работна рамка (3), (4), (5) - слайд 17, 18, 19</w:t>
        <w:br w:type="textWrapping"/>
        <w:t xml:space="preserve">Деси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Етап 1,  Етап 2,  Етап 3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numPr>
          <w:ilvl w:val="0"/>
          <w:numId w:val="9"/>
        </w:numPr>
        <w:spacing w:line="240" w:lineRule="auto"/>
        <w:ind w:left="720" w:hanging="360"/>
        <w:rPr>
          <w:rFonts w:ascii="Roboto" w:cs="Roboto" w:eastAsia="Roboto" w:hAnsi="Roboto"/>
          <w:b w:val="1"/>
          <w:color w:val="2a3990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a3990"/>
          <w:sz w:val="28"/>
          <w:szCs w:val="28"/>
          <w:rtl w:val="0"/>
        </w:rPr>
        <w:t xml:space="preserve">Експериментални резултати (1) - слайд 21 - Деси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dnd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- дендрограма, генерирани от T-Сoffee във формат Newick. 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дендрограма - диаграма, представляваща дърво;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формат Newick - в математиката, форматът на Newick дърво, е начин за представяне на теоретично графови  дървета с  дължини на ръбове, използвайки скоби и запетаи;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msf_aln, clustalw_aln, fasta_aln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текстови файлове, съдържащи подравняването в различни формати. Тези файлове могат да се  използва като вход за други програми.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score_html, score_ascii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- цветно подравняване, появяваяващо се на фон, който показва качеството на това подравняване. Червеното - показва висококачествени сегменти. Синьото - показва региони от подравняването, на които нямате причина да вярвате. Score_ascii е текстовата версия на .html файла. Тези два последни файла са предназначени само за показване; не можете да ги използвате като вход за други програми за анализ на секвенциите.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score_pdf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pdf на цветното подравняване.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rFonts w:ascii="Roboto" w:cs="Roboto" w:eastAsia="Roboto" w:hAnsi="Roboto"/>
          <w:b w:val="1"/>
          <w:color w:val="2a399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numPr>
          <w:ilvl w:val="0"/>
          <w:numId w:val="9"/>
        </w:numPr>
        <w:spacing w:line="240" w:lineRule="auto"/>
        <w:ind w:left="720" w:hanging="360"/>
        <w:rPr>
          <w:rFonts w:ascii="Roboto" w:cs="Roboto" w:eastAsia="Roboto" w:hAnsi="Roboto"/>
          <w:b w:val="1"/>
          <w:color w:val="2a3990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a3990"/>
          <w:sz w:val="28"/>
          <w:szCs w:val="28"/>
          <w:rtl w:val="0"/>
        </w:rPr>
        <w:t xml:space="preserve">Експериментални резултати (2) - слайд 22 - Деси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line="24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Book - p. 313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jc w:val="both"/>
        <w:rPr>
          <w:rFonts w:ascii="Roboto" w:cs="Roboto" w:eastAsia="Roboto" w:hAnsi="Roboto"/>
          <w:b w:val="1"/>
        </w:rPr>
      </w:pPr>
      <w:hyperlink r:id="rId17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https://www.ebi.ac.uk/Tools/services/web/toolresult.ebi?jobId=simple_phylogeny-I20210505-125435-0722-16310798-p1m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4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Сега, как можете да разберете дали даден блок е добър? Когато погледнете подравняването, тези три символа (*), (:) или (.), имат много точни значения: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(*) Звезда показва изцяло запазена колона.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(:) Двоеточие показва колони, където всички остатъци имат приблизително еднакъв размер и една и съща хидрпатия (Мярка за полярността на аминокиселинен остатък; свободната енергия за пренос на остатъка от среда с ниска диелектрична константа към вода. 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(.) Точката показва колони, където има размера или хидропатията са запазени в хода на еволюцията.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Например, вашият среден добър блок е единица с дължина поне 10–30 аминокиселини, показваща поне една до три звезди (*), още няколко двоеточия (:) близо до звездите и няколко периода (.) Поръсени тук-там. 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Вълшебното при многократното подравняване на секвенции е, че 4 или 5 запазени позиции над 50 аминокиселини могат да бъдат достатъчни, за да ни убедят, че гледаме на истински сигнал. Това е по-малко от 10 процента идентичност! 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Филогенетичното дърво (филограмата), показва еволюционните връзки между различни биологични видове или други образувания въз основа на сходства и разлики във физическите или генетичните им характеристики. 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0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Предшественик, общи родове/семейство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ind w:left="0" w:firstLine="0"/>
        <w:rPr>
          <w:rFonts w:ascii="Roboto" w:cs="Roboto" w:eastAsia="Roboto" w:hAnsi="Roboto"/>
          <w:b w:val="1"/>
          <w:color w:val="2a399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numPr>
          <w:ilvl w:val="0"/>
          <w:numId w:val="9"/>
        </w:numPr>
        <w:spacing w:line="240" w:lineRule="auto"/>
        <w:ind w:left="720" w:hanging="360"/>
        <w:rPr>
          <w:rFonts w:ascii="Roboto" w:cs="Roboto" w:eastAsia="Roboto" w:hAnsi="Roboto"/>
          <w:b w:val="1"/>
          <w:color w:val="2a3990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a3990"/>
          <w:sz w:val="28"/>
          <w:szCs w:val="28"/>
          <w:rtl w:val="0"/>
        </w:rPr>
        <w:t xml:space="preserve">Експериментални резултати (3), (4) - слайд 23, 24 - Деси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ind w:left="720" w:firstLine="0"/>
        <w:rPr>
          <w:rFonts w:ascii="Roboto" w:cs="Roboto" w:eastAsia="Roboto" w:hAnsi="Roboto"/>
          <w:b w:val="1"/>
          <w:color w:val="2a399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240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240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40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396.77165354331" w:top="1275.590551181102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tcoffee.crg.cat/apps/tcoffee/do:regular" TargetMode="External"/><Relationship Id="rId10" Type="http://schemas.openxmlformats.org/officeDocument/2006/relationships/hyperlink" Target="http://www.tcoffee.org/Projects/tcoffee/papers/tcoffee.pdf" TargetMode="External"/><Relationship Id="rId13" Type="http://schemas.openxmlformats.org/officeDocument/2006/relationships/hyperlink" Target="http://www.tcoffee.org/Projects/tcoffee/index.html#INSTALLATION" TargetMode="External"/><Relationship Id="rId12" Type="http://schemas.openxmlformats.org/officeDocument/2006/relationships/hyperlink" Target="http://www.tcoffee.org/Projects/tcoffee/papers/tcoffee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tcoffee.org/" TargetMode="External"/><Relationship Id="rId15" Type="http://schemas.openxmlformats.org/officeDocument/2006/relationships/hyperlink" Target="https://academic.oup.com/nar/article/39/suppl_2/W13/2505784" TargetMode="External"/><Relationship Id="rId14" Type="http://schemas.openxmlformats.org/officeDocument/2006/relationships/hyperlink" Target="http://www.tcoffee.org/" TargetMode="External"/><Relationship Id="rId17" Type="http://schemas.openxmlformats.org/officeDocument/2006/relationships/hyperlink" Target="https://www.ebi.ac.uk/Tools/services/web/toolresult.ebi?jobId=simple_phylogeny-I20210505-125435-0722-16310798-p1m" TargetMode="External"/><Relationship Id="rId16" Type="http://schemas.openxmlformats.org/officeDocument/2006/relationships/hyperlink" Target="https://www.ncbi.nlm.nih.gov/pmc/articles/PMC7293463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dpi.com/1420-3049/25/18/4086/htm" TargetMode="External"/><Relationship Id="rId7" Type="http://schemas.openxmlformats.org/officeDocument/2006/relationships/hyperlink" Target="https://www.ncbi.nlm.nih.gov/sars-cov-2/" TargetMode="External"/><Relationship Id="rId8" Type="http://schemas.openxmlformats.org/officeDocument/2006/relationships/hyperlink" Target="http://www.tcoffee.org/Projects/tcoffee/index.html#INSTALLA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