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color w:val="0F6B78"/>
          <w:sz w:val="24"/>
        </w:rPr>
        <w:t>API DESIGN SERIES</w:t>
      </w:r>
    </w:p>
    <w:p>
      <w:pPr>
        <w:spacing w:before="240"/>
        <w:jc w:val="center"/>
      </w:pPr>
      <w:r>
        <w:rPr>
          <w:rFonts w:ascii="Aptos Display" w:hAnsi="Aptos Display"/>
          <w:color w:val="667085"/>
          <w:sz w:val="36"/>
        </w:rPr>
        <w:t>Document 8</w:t>
      </w:r>
    </w:p>
    <w:p>
      <w:pPr>
        <w:spacing w:before="160"/>
        <w:jc w:val="center"/>
      </w:pPr>
      <w:r>
        <w:rPr>
          <w:rFonts w:ascii="Aptos Display" w:hAnsi="Aptos Display"/>
          <w:b/>
          <w:color w:val="17365D"/>
          <w:sz w:val="60"/>
        </w:rPr>
        <w:t>API Lifecycle and Governance</w:t>
      </w:r>
    </w:p>
    <w:p>
      <w:pPr>
        <w:spacing w:before="280"/>
        <w:jc w:val="center"/>
      </w:pPr>
      <w:r>
        <w:rPr>
          <w:rFonts w:ascii="Aptos" w:hAnsi="Aptos"/>
          <w:color w:val="0F6B78"/>
          <w:sz w:val="28"/>
        </w:rPr>
        <w:t>From contract design to safe evolution, operations, and retirement</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Architect outcome</w:t>
            </w:r>
          </w:p>
          <w:p>
            <w:pPr>
              <w:spacing w:after="0" w:line="259" w:lineRule="auto"/>
            </w:pPr>
            <w:r>
              <w:rPr>
                <w:rFonts w:ascii="Aptos" w:hAnsi="Aptos"/>
                <w:color w:val="1F2937"/>
                <w:sz w:val="19"/>
              </w:rPr>
              <w:t>After this document, you should be able to establish an API lifecycle, define ownership and quality gates, evolve contracts without breaking consumers, govern REST, GraphQL, gRPC, and event APIs, and retire interfaces with measurable evidence.</w:t>
            </w:r>
          </w:p>
        </w:tc>
      </w:tr>
    </w:tbl>
    <w:p>
      <w:pPr>
        <w:spacing w:after="40"/>
      </w:pPr>
    </w:p>
    <w:p>
      <w:pPr>
        <w:spacing w:before="840"/>
        <w:jc w:val="center"/>
      </w:pPr>
      <w:r>
        <w:rPr>
          <w:rFonts w:ascii="Aptos" w:hAnsi="Aptos"/>
          <w:i/>
          <w:color w:val="667085"/>
          <w:sz w:val="21"/>
        </w:rPr>
        <w:t>Running domains: food delivery | healthcare | financial services</w:t>
      </w:r>
    </w:p>
    <w:p>
      <w:r>
        <w:br w:type="page"/>
      </w:r>
    </w:p>
    <w:p>
      <w:pPr>
        <w:pStyle w:val="Heading1"/>
        <w:keepNext/>
      </w:pPr>
      <w:r>
        <w:t>1. Lifecycle Is an Architectural Capability</w:t>
      </w:r>
    </w:p>
    <w:p>
      <w:pPr>
        <w:spacing w:after="120" w:line="269" w:lineRule="auto"/>
      </w:pPr>
      <w:r>
        <w:rPr>
          <w:rFonts w:ascii="Aptos" w:hAnsi="Aptos"/>
          <w:color w:val="1F2937"/>
          <w:sz w:val="21"/>
        </w:rPr>
        <w:t>An API is not finished when its first endpoint is deployed. Its real lifecycle includes discovery, design, review, implementation, publication, adoption, observation, evolution, deprecation, and retirement. Governance is the set of lightweight controls that keeps these stages safe without turning every change into a committee bottleneck.</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Core principle</w:t>
            </w:r>
          </w:p>
          <w:p>
            <w:pPr>
              <w:spacing w:after="0" w:line="259" w:lineRule="auto"/>
            </w:pPr>
            <w:r>
              <w:rPr>
                <w:rFonts w:ascii="Aptos" w:hAnsi="Aptos"/>
                <w:color w:val="1F2937"/>
                <w:sz w:val="19"/>
              </w:rPr>
              <w:t>Governance should automate predictable rules and reserve human review for semantic, security, regulatory, and cross-domain decisions.</w:t>
            </w:r>
          </w:p>
        </w:tc>
      </w:tr>
    </w:tbl>
    <w:p>
      <w:pPr>
        <w:spacing w:after="40"/>
      </w:pPr>
    </w:p>
    <w:p>
      <w:pPr>
        <w:pStyle w:val="Heading2"/>
        <w:keepNext/>
      </w:pPr>
      <w:r>
        <w:t>1.1 Lifecycle stages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vAlign w:val="center"/>
            <w:tcMar>
              <w:top w:w="110" w:type="dxa"/>
              <w:bottom w:w="110" w:type="dxa"/>
              <w:start w:w="120" w:type="dxa"/>
              <w:end w:w="120" w:type="dxa"/>
            </w:tcMar>
            <w:shd w:fill="17365D"/>
          </w:tcPr>
          <w:p>
            <w:pPr>
              <w:jc w:val="center"/>
            </w:pPr>
            <w:r/>
            <w:r>
              <w:rPr>
                <w:rFonts w:ascii="Aptos" w:hAnsi="Aptos"/>
                <w:b/>
                <w:color w:val="FFFFFF"/>
                <w:sz w:val="18"/>
              </w:rPr>
              <w:t>Stage</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Primary question</w:t>
            </w:r>
          </w:p>
        </w:tc>
        <w:tc>
          <w:tcPr>
            <w:tcW w:type="dxa" w:w="4248"/>
            <w:vAlign w:val="center"/>
            <w:tcMar>
              <w:top w:w="110" w:type="dxa"/>
              <w:bottom w:w="110" w:type="dxa"/>
              <w:start w:w="120" w:type="dxa"/>
              <w:end w:w="120" w:type="dxa"/>
            </w:tcMar>
            <w:shd w:fill="17365D"/>
          </w:tcPr>
          <w:p>
            <w:pPr>
              <w:jc w:val="center"/>
            </w:pPr>
            <w:r/>
            <w:r>
              <w:rPr>
                <w:rFonts w:ascii="Aptos" w:hAnsi="Aptos"/>
                <w:b/>
                <w:color w:val="FFFFFF"/>
                <w:sz w:val="18"/>
              </w:rPr>
              <w:t>Required evidence</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Discover</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Is an existing capability already available?</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API catalog and ownership record</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Design</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Does the contract model the domain and consumer need?</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Contract, examples, decision record</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Review</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Are security, compatibility, and operability acceptable?</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Automated checks plus targeted approval</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Build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Does implementation conform to the contract?</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Conformance and integration tests</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Publish</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Can consumers understand and adopt it?</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Documentation, SDK/example, support model</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Operate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Is the API meeting its SLO and business purpose?</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Metrics, traces, logs, consumer usage</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Evolve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Can the change be introduced safely?</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Compatibility analysis and rollout plan</w:t>
            </w:r>
          </w:p>
        </w:tc>
      </w:tr>
      <w:tr>
        <w:tc>
          <w:tcPr>
            <w:tcW w:type="dxa" w:w="1512"/>
            <w:vAlign w:val="center"/>
            <w:tcMar>
              <w:top w:w="110" w:type="dxa"/>
              <w:bottom w:w="110" w:type="dxa"/>
              <w:start w:w="120" w:type="dxa"/>
              <w:end w:w="120" w:type="dxa"/>
            </w:tcMar>
          </w:tcPr>
          <w:p>
            <w:pPr>
              <w:jc w:val="center"/>
            </w:pPr>
            <w:r/>
            <w:r>
              <w:rPr>
                <w:rFonts w:ascii="Aptos" w:hAnsi="Aptos"/>
                <w:b w:val="0"/>
                <w:color w:val="1F2937"/>
                <w:sz w:val="18"/>
              </w:rPr>
              <w:t>Retire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Can traffic be removed without unknown consumers?</w:t>
            </w:r>
          </w:p>
        </w:tc>
        <w:tc>
          <w:tcPr>
            <w:tcW w:type="dxa" w:w="4248"/>
            <w:vAlign w:val="center"/>
            <w:tcMar>
              <w:top w:w="110" w:type="dxa"/>
              <w:bottom w:w="110" w:type="dxa"/>
              <w:start w:w="120" w:type="dxa"/>
              <w:end w:w="120" w:type="dxa"/>
            </w:tcMar>
          </w:tcPr>
          <w:p>
            <w:pPr>
              <w:jc w:val="left"/>
            </w:pPr>
            <w:r/>
            <w:r>
              <w:rPr>
                <w:rFonts w:ascii="Aptos" w:hAnsi="Aptos"/>
                <w:b w:val="0"/>
                <w:color w:val="1F2937"/>
                <w:sz w:val="18"/>
              </w:rPr>
              <w:t>Consumer inventory and zero-usage evidence</w:t>
            </w:r>
          </w:p>
        </w:tc>
      </w:tr>
    </w:tbl>
    <w:p>
      <w:pPr>
        <w:spacing w:after="40"/>
      </w:pPr>
    </w:p>
    <w:p>
      <w:pPr>
        <w:pStyle w:val="Heading1"/>
        <w:keepNext/>
      </w:pPr>
      <w:r>
        <w:t>2. API Portfolio and Ownership</w:t>
      </w:r>
    </w:p>
    <w:p>
      <w:pPr>
        <w:pStyle w:val="Heading2"/>
        <w:keepNext/>
      </w:pPr>
      <w:r>
        <w:t>2.1 Every API needs accountable ownership</w:t>
      </w:r>
    </w:p>
    <w:p>
      <w:pPr>
        <w:pStyle w:val="ListBullet"/>
        <w:spacing w:after="60"/>
      </w:pPr>
      <w:r>
        <w:rPr>
          <w:rFonts w:ascii="Aptos" w:hAnsi="Aptos"/>
          <w:color w:val="1F2937"/>
          <w:sz w:val="21"/>
        </w:rPr>
        <w:t>Business capability and domain owner</w:t>
      </w:r>
    </w:p>
    <w:p>
      <w:pPr>
        <w:pStyle w:val="ListBullet"/>
        <w:spacing w:after="60"/>
      </w:pPr>
      <w:r>
        <w:rPr>
          <w:rFonts w:ascii="Aptos" w:hAnsi="Aptos"/>
          <w:color w:val="1F2937"/>
          <w:sz w:val="21"/>
        </w:rPr>
        <w:t>Technical service owner and on-call team</w:t>
      </w:r>
    </w:p>
    <w:p>
      <w:pPr>
        <w:pStyle w:val="ListBullet"/>
        <w:spacing w:after="60"/>
      </w:pPr>
      <w:r>
        <w:rPr>
          <w:rFonts w:ascii="Aptos" w:hAnsi="Aptos"/>
          <w:color w:val="1F2937"/>
          <w:sz w:val="21"/>
        </w:rPr>
        <w:t>Contract repository and source of truth</w:t>
      </w:r>
    </w:p>
    <w:p>
      <w:pPr>
        <w:pStyle w:val="ListBullet"/>
        <w:spacing w:after="60"/>
      </w:pPr>
      <w:r>
        <w:rPr>
          <w:rFonts w:ascii="Aptos" w:hAnsi="Aptos"/>
          <w:color w:val="1F2937"/>
          <w:sz w:val="21"/>
        </w:rPr>
        <w:t>Security classification and data owner</w:t>
      </w:r>
    </w:p>
    <w:p>
      <w:pPr>
        <w:pStyle w:val="ListBullet"/>
        <w:spacing w:after="60"/>
      </w:pPr>
      <w:r>
        <w:rPr>
          <w:rFonts w:ascii="Aptos" w:hAnsi="Aptos"/>
          <w:color w:val="1F2937"/>
          <w:sz w:val="21"/>
        </w:rPr>
        <w:t>SLO, support tier, and incident path</w:t>
      </w:r>
    </w:p>
    <w:p>
      <w:pPr>
        <w:pStyle w:val="ListBullet"/>
        <w:spacing w:after="60"/>
      </w:pPr>
      <w:r>
        <w:rPr>
          <w:rFonts w:ascii="Aptos" w:hAnsi="Aptos"/>
          <w:color w:val="1F2937"/>
          <w:sz w:val="21"/>
        </w:rPr>
        <w:t>Deprecation and consumer-communication responsibility</w:t>
      </w:r>
    </w:p>
    <w:p>
      <w:pPr>
        <w:spacing w:after="120" w:line="269" w:lineRule="auto"/>
      </w:pPr>
      <w:r>
        <w:rPr>
          <w:rFonts w:ascii="Aptos" w:hAnsi="Aptos"/>
          <w:color w:val="1F2937"/>
          <w:sz w:val="21"/>
        </w:rPr>
        <w:t>An API without an owner becomes difficult to patch, document, secure, or retire. Ownership should be assigned to a domain team, not to a temporary project or a central architecture group that cannot operate the service.</w:t>
      </w:r>
    </w:p>
    <w:p>
      <w:pPr>
        <w:pStyle w:val="Heading2"/>
        <w:keepNext/>
      </w:pPr>
      <w:r>
        <w:t>2.2 Catalog metadata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110" w:type="dxa"/>
              <w:bottom w:w="110" w:type="dxa"/>
              <w:start w:w="120" w:type="dxa"/>
              <w:end w:w="120" w:type="dxa"/>
            </w:tcMar>
            <w:shd w:fill="17365D"/>
          </w:tcPr>
          <w:p>
            <w:pPr>
              <w:jc w:val="center"/>
            </w:pPr>
            <w:r/>
            <w:r>
              <w:rPr>
                <w:rFonts w:ascii="Aptos" w:hAnsi="Aptos"/>
                <w:b/>
                <w:color w:val="FFFFFF"/>
                <w:sz w:val="18"/>
              </w:rPr>
              <w:t>Metadata</w:t>
            </w:r>
          </w:p>
        </w:tc>
        <w:tc>
          <w:tcPr>
            <w:tcW w:type="dxa" w:w="2952"/>
            <w:vAlign w:val="center"/>
            <w:tcMar>
              <w:top w:w="110" w:type="dxa"/>
              <w:bottom w:w="110" w:type="dxa"/>
              <w:start w:w="120" w:type="dxa"/>
              <w:end w:w="120" w:type="dxa"/>
            </w:tcMar>
            <w:shd w:fill="17365D"/>
          </w:tcPr>
          <w:p>
            <w:pPr>
              <w:jc w:val="center"/>
            </w:pPr>
            <w:r/>
            <w:r>
              <w:rPr>
                <w:rFonts w:ascii="Aptos" w:hAnsi="Aptos"/>
                <w:b/>
                <w:color w:val="FFFFFF"/>
                <w:sz w:val="18"/>
              </w:rPr>
              <w:t>Example</w:t>
            </w:r>
          </w:p>
        </w:tc>
        <w:tc>
          <w:tcPr>
            <w:tcW w:type="dxa" w:w="4608"/>
            <w:vAlign w:val="center"/>
            <w:tcMar>
              <w:top w:w="110" w:type="dxa"/>
              <w:bottom w:w="110" w:type="dxa"/>
              <w:start w:w="120" w:type="dxa"/>
              <w:end w:w="120" w:type="dxa"/>
            </w:tcMar>
            <w:shd w:fill="17365D"/>
          </w:tcPr>
          <w:p>
            <w:pPr>
              <w:jc w:val="center"/>
            </w:pPr>
            <w:r/>
            <w:r>
              <w:rPr>
                <w:rFonts w:ascii="Aptos" w:hAnsi="Aptos"/>
                <w:b/>
                <w:color w:val="FFFFFF"/>
                <w:sz w:val="18"/>
              </w:rPr>
              <w:t>Purpose</w:t>
            </w:r>
          </w:p>
        </w:tc>
      </w:tr>
      <w:tr>
        <w:tc>
          <w:tcPr>
            <w:tcW w:type="dxa" w:w="2016"/>
            <w:vAlign w:val="center"/>
            <w:tcMar>
              <w:top w:w="110" w:type="dxa"/>
              <w:bottom w:w="110" w:type="dxa"/>
              <w:start w:w="120" w:type="dxa"/>
              <w:end w:w="120" w:type="dxa"/>
            </w:tcMar>
          </w:tcPr>
          <w:p>
            <w:pPr>
              <w:jc w:val="left"/>
            </w:pPr>
            <w:r/>
            <w:r>
              <w:rPr>
                <w:rFonts w:ascii="Aptos" w:hAnsi="Aptos"/>
                <w:b w:val="0"/>
                <w:color w:val="1F2937"/>
                <w:sz w:val="18"/>
              </w:rPr>
              <w:t>Name and capability</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Order Management API</w:t>
            </w:r>
          </w:p>
        </w:tc>
        <w:tc>
          <w:tcPr>
            <w:tcW w:type="dxa" w:w="4608"/>
            <w:vAlign w:val="center"/>
            <w:tcMar>
              <w:top w:w="110" w:type="dxa"/>
              <w:bottom w:w="110" w:type="dxa"/>
              <w:start w:w="120" w:type="dxa"/>
              <w:end w:w="120" w:type="dxa"/>
            </w:tcMar>
          </w:tcPr>
          <w:p>
            <w:pPr>
              <w:jc w:val="center"/>
            </w:pPr>
            <w:r/>
            <w:r>
              <w:rPr>
                <w:rFonts w:ascii="Aptos" w:hAnsi="Aptos"/>
                <w:b w:val="0"/>
                <w:color w:val="1F2937"/>
                <w:sz w:val="18"/>
              </w:rPr>
              <w:t>Human discovery</w:t>
            </w:r>
          </w:p>
        </w:tc>
      </w:tr>
      <w:tr>
        <w:tc>
          <w:tcPr>
            <w:tcW w:type="dxa" w:w="2016"/>
            <w:vAlign w:val="center"/>
            <w:tcMar>
              <w:top w:w="110" w:type="dxa"/>
              <w:bottom w:w="110" w:type="dxa"/>
              <w:start w:w="120" w:type="dxa"/>
              <w:end w:w="120" w:type="dxa"/>
            </w:tcMar>
          </w:tcPr>
          <w:p>
            <w:pPr>
              <w:jc w:val="left"/>
            </w:pPr>
            <w:r/>
            <w:r>
              <w:rPr>
                <w:rFonts w:ascii="Aptos" w:hAnsi="Aptos"/>
                <w:b w:val="0"/>
                <w:color w:val="1F2937"/>
                <w:sz w:val="18"/>
              </w:rPr>
              <w:t>Protocol and contract</w:t>
            </w:r>
          </w:p>
        </w:tc>
        <w:tc>
          <w:tcPr>
            <w:tcW w:type="dxa" w:w="2952"/>
            <w:vAlign w:val="center"/>
            <w:tcMar>
              <w:top w:w="110" w:type="dxa"/>
              <w:bottom w:w="110" w:type="dxa"/>
              <w:start w:w="120" w:type="dxa"/>
              <w:end w:w="120" w:type="dxa"/>
            </w:tcMar>
          </w:tcPr>
          <w:p>
            <w:pPr>
              <w:jc w:val="center"/>
            </w:pPr>
            <w:r/>
            <w:r>
              <w:rPr>
                <w:rFonts w:ascii="Aptos" w:hAnsi="Aptos"/>
                <w:b w:val="0"/>
                <w:color w:val="1F2937"/>
                <w:sz w:val="18"/>
              </w:rPr>
              <w:t>REST / OpenAPI 3.x</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Tooling and validation</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Audience</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Public partner / internal / restricted</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Controls support and exposure</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Classification</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PHI, PCI-related, confidential</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Security and regulatory controls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Lifecycle state</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Experimental, active, deprecated</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Consumer expectations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Owner</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Fulfilment Platform team</w:t>
            </w:r>
          </w:p>
        </w:tc>
        <w:tc>
          <w:tcPr>
            <w:tcW w:type="dxa" w:w="4608"/>
            <w:vAlign w:val="center"/>
            <w:tcMar>
              <w:top w:w="110" w:type="dxa"/>
              <w:bottom w:w="110" w:type="dxa"/>
              <w:start w:w="120" w:type="dxa"/>
              <w:end w:w="120" w:type="dxa"/>
            </w:tcMar>
          </w:tcPr>
          <w:p>
            <w:pPr>
              <w:jc w:val="center"/>
            </w:pPr>
            <w:r/>
            <w:r>
              <w:rPr>
                <w:rFonts w:ascii="Aptos" w:hAnsi="Aptos"/>
                <w:b w:val="0"/>
                <w:color w:val="1F2937"/>
                <w:sz w:val="18"/>
              </w:rPr>
              <w:t>Accountability</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Dependencies</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Payment, restaurant, identity</w:t>
            </w:r>
          </w:p>
        </w:tc>
        <w:tc>
          <w:tcPr>
            <w:tcW w:type="dxa" w:w="4608"/>
            <w:vAlign w:val="center"/>
            <w:tcMar>
              <w:top w:w="110" w:type="dxa"/>
              <w:bottom w:w="110" w:type="dxa"/>
              <w:start w:w="120" w:type="dxa"/>
              <w:end w:w="120" w:type="dxa"/>
            </w:tcMar>
          </w:tcPr>
          <w:p>
            <w:pPr>
              <w:jc w:val="center"/>
            </w:pPr>
            <w:r/>
            <w:r>
              <w:rPr>
                <w:rFonts w:ascii="Aptos" w:hAnsi="Aptos"/>
                <w:b w:val="0"/>
                <w:color w:val="1F2937"/>
                <w:sz w:val="18"/>
              </w:rPr>
              <w:t>Impact analysis</w:t>
            </w:r>
          </w:p>
        </w:tc>
      </w:tr>
      <w:tr>
        <w:tc>
          <w:tcPr>
            <w:tcW w:type="dxa" w:w="2016"/>
            <w:vAlign w:val="center"/>
            <w:tcMar>
              <w:top w:w="110" w:type="dxa"/>
              <w:bottom w:w="110" w:type="dxa"/>
              <w:start w:w="120" w:type="dxa"/>
              <w:end w:w="120" w:type="dxa"/>
            </w:tcMar>
          </w:tcPr>
          <w:p>
            <w:pPr>
              <w:jc w:val="center"/>
            </w:pPr>
            <w:r/>
            <w:r>
              <w:rPr>
                <w:rFonts w:ascii="Aptos" w:hAnsi="Aptos"/>
                <w:b w:val="0"/>
                <w:color w:val="1F2937"/>
                <w:sz w:val="18"/>
              </w:rPr>
              <w:t>SLO</w:t>
            </w:r>
          </w:p>
        </w:tc>
        <w:tc>
          <w:tcPr>
            <w:tcW w:type="dxa" w:w="2952"/>
            <w:vAlign w:val="center"/>
            <w:tcMar>
              <w:top w:w="110" w:type="dxa"/>
              <w:bottom w:w="110" w:type="dxa"/>
              <w:start w:w="120" w:type="dxa"/>
              <w:end w:w="120" w:type="dxa"/>
            </w:tcMar>
          </w:tcPr>
          <w:p>
            <w:pPr>
              <w:jc w:val="left"/>
            </w:pPr>
            <w:r/>
            <w:r>
              <w:rPr>
                <w:rFonts w:ascii="Aptos" w:hAnsi="Aptos"/>
                <w:b w:val="0"/>
                <w:color w:val="1F2937"/>
                <w:sz w:val="18"/>
              </w:rPr>
              <w:t>99.95%; P95 &lt; 400 ms</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Operational commitment</w:t>
            </w:r>
          </w:p>
        </w:tc>
      </w:tr>
    </w:tbl>
    <w:p>
      <w:pPr>
        <w:spacing w:after="40"/>
      </w:pPr>
    </w:p>
    <w:p>
      <w:pPr>
        <w:pStyle w:val="Heading1"/>
        <w:keepNext/>
      </w:pPr>
      <w:r>
        <w:t>3. Contract-First Design</w:t>
      </w:r>
    </w:p>
    <w:p>
      <w:pPr>
        <w:spacing w:after="120" w:line="269" w:lineRule="auto"/>
      </w:pPr>
      <w:r>
        <w:rPr>
          <w:rFonts w:ascii="Aptos" w:hAnsi="Aptos"/>
          <w:color w:val="1F2937"/>
          <w:sz w:val="21"/>
        </w:rPr>
        <w:t>Contract-first design means the interface is reviewed and exercised before implementation becomes the de facto contract. It does not mean writing a large specification in isolation. The fastest useful loop is contract, examples, mock, consumer feedback, implementation, and conformance testing.</w:t>
      </w:r>
    </w:p>
    <w:p>
      <w:pPr>
        <w:pStyle w:val="Heading2"/>
        <w:keepNext/>
      </w:pPr>
      <w:r>
        <w:t>3.1 Sources of truth by API style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vAlign w:val="center"/>
            <w:tcMar>
              <w:top w:w="110" w:type="dxa"/>
              <w:bottom w:w="110" w:type="dxa"/>
              <w:start w:w="120" w:type="dxa"/>
              <w:end w:w="120" w:type="dxa"/>
            </w:tcMar>
            <w:shd w:fill="17365D"/>
          </w:tcPr>
          <w:p>
            <w:pPr>
              <w:jc w:val="center"/>
            </w:pPr>
            <w:r/>
            <w:r>
              <w:rPr>
                <w:rFonts w:ascii="Aptos" w:hAnsi="Aptos"/>
                <w:b/>
                <w:color w:val="FFFFFF"/>
                <w:sz w:val="18"/>
              </w:rPr>
              <w:t>API style</w:t>
            </w:r>
          </w:p>
        </w:tc>
        <w:tc>
          <w:tcPr>
            <w:tcW w:type="dxa" w:w="3240"/>
            <w:vAlign w:val="center"/>
            <w:tcMar>
              <w:top w:w="110" w:type="dxa"/>
              <w:bottom w:w="110" w:type="dxa"/>
              <w:start w:w="120" w:type="dxa"/>
              <w:end w:w="120" w:type="dxa"/>
            </w:tcMar>
            <w:shd w:fill="17365D"/>
          </w:tcPr>
          <w:p>
            <w:pPr>
              <w:jc w:val="center"/>
            </w:pPr>
            <w:r/>
            <w:r>
              <w:rPr>
                <w:rFonts w:ascii="Aptos" w:hAnsi="Aptos"/>
                <w:b/>
                <w:color w:val="FFFFFF"/>
                <w:sz w:val="18"/>
              </w:rPr>
              <w:t>Primary contract</w:t>
            </w:r>
          </w:p>
        </w:tc>
        <w:tc>
          <w:tcPr>
            <w:tcW w:type="dxa" w:w="4608"/>
            <w:vAlign w:val="center"/>
            <w:tcMar>
              <w:top w:w="110" w:type="dxa"/>
              <w:bottom w:w="110" w:type="dxa"/>
              <w:start w:w="120" w:type="dxa"/>
              <w:end w:w="120" w:type="dxa"/>
            </w:tcMar>
            <w:shd w:fill="17365D"/>
          </w:tcPr>
          <w:p>
            <w:pPr>
              <w:jc w:val="center"/>
            </w:pPr>
            <w:r/>
            <w:r>
              <w:rPr>
                <w:rFonts w:ascii="Aptos" w:hAnsi="Aptos"/>
                <w:b/>
                <w:color w:val="FFFFFF"/>
                <w:sz w:val="18"/>
              </w:rPr>
              <w:t>Important secondary artifacts</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REST</w:t>
            </w:r>
          </w:p>
        </w:tc>
        <w:tc>
          <w:tcPr>
            <w:tcW w:type="dxa" w:w="3240"/>
            <w:vAlign w:val="center"/>
            <w:tcMar>
              <w:top w:w="110" w:type="dxa"/>
              <w:bottom w:w="110" w:type="dxa"/>
              <w:start w:w="120" w:type="dxa"/>
              <w:end w:w="120" w:type="dxa"/>
            </w:tcMar>
          </w:tcPr>
          <w:p>
            <w:pPr>
              <w:jc w:val="center"/>
            </w:pPr>
            <w:r/>
            <w:r>
              <w:rPr>
                <w:rFonts w:ascii="Aptos" w:hAnsi="Aptos"/>
                <w:b w:val="0"/>
                <w:color w:val="1F2937"/>
                <w:sz w:val="18"/>
              </w:rPr>
              <w:t>OpenAPI</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Problem details, examples, security schemes</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GraphQL</w:t>
            </w:r>
          </w:p>
        </w:tc>
        <w:tc>
          <w:tcPr>
            <w:tcW w:type="dxa" w:w="3240"/>
            <w:vAlign w:val="center"/>
            <w:tcMar>
              <w:top w:w="110" w:type="dxa"/>
              <w:bottom w:w="110" w:type="dxa"/>
              <w:start w:w="120" w:type="dxa"/>
              <w:end w:w="120" w:type="dxa"/>
            </w:tcMar>
          </w:tcPr>
          <w:p>
            <w:pPr>
              <w:jc w:val="left"/>
            </w:pPr>
            <w:r/>
            <w:r>
              <w:rPr>
                <w:rFonts w:ascii="Aptos" w:hAnsi="Aptos"/>
                <w:b w:val="0"/>
                <w:color w:val="1F2937"/>
                <w:sz w:val="18"/>
              </w:rPr>
              <w:t>Schema definition language</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Persisted operations, cost policy, field ownership</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gRPC</w:t>
            </w:r>
          </w:p>
        </w:tc>
        <w:tc>
          <w:tcPr>
            <w:tcW w:type="dxa" w:w="3240"/>
            <w:vAlign w:val="center"/>
            <w:tcMar>
              <w:top w:w="110" w:type="dxa"/>
              <w:bottom w:w="110" w:type="dxa"/>
              <w:start w:w="120" w:type="dxa"/>
              <w:end w:w="120" w:type="dxa"/>
            </w:tcMar>
          </w:tcPr>
          <w:p>
            <w:pPr>
              <w:jc w:val="center"/>
            </w:pPr>
            <w:r/>
            <w:r>
              <w:rPr>
                <w:rFonts w:ascii="Aptos" w:hAnsi="Aptos"/>
                <w:b w:val="0"/>
                <w:color w:val="1F2937"/>
                <w:sz w:val="18"/>
              </w:rPr>
              <w:t>Protocol Buffers</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Compatibility report, generated-client policy</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Events</w:t>
            </w:r>
          </w:p>
        </w:tc>
        <w:tc>
          <w:tcPr>
            <w:tcW w:type="dxa" w:w="3240"/>
            <w:vAlign w:val="center"/>
            <w:tcMar>
              <w:top w:w="110" w:type="dxa"/>
              <w:bottom w:w="110" w:type="dxa"/>
              <w:start w:w="120" w:type="dxa"/>
              <w:end w:w="120" w:type="dxa"/>
            </w:tcMar>
          </w:tcPr>
          <w:p>
            <w:pPr>
              <w:jc w:val="left"/>
            </w:pPr>
            <w:r/>
            <w:r>
              <w:rPr>
                <w:rFonts w:ascii="Aptos" w:hAnsi="Aptos"/>
                <w:b w:val="0"/>
                <w:color w:val="1F2937"/>
                <w:sz w:val="18"/>
              </w:rPr>
              <w:t>AsyncAPI or schema registry contract</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Topic policy, envelope, ordering and replay rules</w:t>
            </w:r>
          </w:p>
        </w:tc>
      </w:tr>
      <w:tr>
        <w:tc>
          <w:tcPr>
            <w:tcW w:type="dxa" w:w="1728"/>
            <w:vAlign w:val="center"/>
            <w:tcMar>
              <w:top w:w="110" w:type="dxa"/>
              <w:bottom w:w="110" w:type="dxa"/>
              <w:start w:w="120" w:type="dxa"/>
              <w:end w:w="120" w:type="dxa"/>
            </w:tcMar>
          </w:tcPr>
          <w:p>
            <w:pPr>
              <w:jc w:val="center"/>
            </w:pPr>
            <w:r/>
            <w:r>
              <w:rPr>
                <w:rFonts w:ascii="Aptos" w:hAnsi="Aptos"/>
                <w:b w:val="0"/>
                <w:color w:val="1F2937"/>
                <w:sz w:val="18"/>
              </w:rPr>
              <w:t>Webhooks</w:t>
            </w:r>
          </w:p>
        </w:tc>
        <w:tc>
          <w:tcPr>
            <w:tcW w:type="dxa" w:w="3240"/>
            <w:vAlign w:val="center"/>
            <w:tcMar>
              <w:top w:w="110" w:type="dxa"/>
              <w:bottom w:w="110" w:type="dxa"/>
              <w:start w:w="120" w:type="dxa"/>
              <w:end w:w="120" w:type="dxa"/>
            </w:tcMar>
          </w:tcPr>
          <w:p>
            <w:pPr>
              <w:jc w:val="left"/>
            </w:pPr>
            <w:r/>
            <w:r>
              <w:rPr>
                <w:rFonts w:ascii="Aptos" w:hAnsi="Aptos"/>
                <w:b w:val="0"/>
                <w:color w:val="1F2937"/>
                <w:sz w:val="18"/>
              </w:rPr>
              <w:t>OpenAPI/AsyncAPI plus event catalog</w:t>
            </w:r>
          </w:p>
        </w:tc>
        <w:tc>
          <w:tcPr>
            <w:tcW w:type="dxa" w:w="4608"/>
            <w:vAlign w:val="center"/>
            <w:tcMar>
              <w:top w:w="110" w:type="dxa"/>
              <w:bottom w:w="110" w:type="dxa"/>
              <w:start w:w="120" w:type="dxa"/>
              <w:end w:w="120" w:type="dxa"/>
            </w:tcMar>
          </w:tcPr>
          <w:p>
            <w:pPr>
              <w:jc w:val="left"/>
            </w:pPr>
            <w:r/>
            <w:r>
              <w:rPr>
                <w:rFonts w:ascii="Aptos" w:hAnsi="Aptos"/>
                <w:b w:val="0"/>
                <w:color w:val="1F2937"/>
                <w:sz w:val="18"/>
              </w:rPr>
              <w:t>Signature, retry, verification, delivery policy</w:t>
            </w:r>
          </w:p>
        </w:tc>
      </w:tr>
    </w:tbl>
    <w:p>
      <w:pPr>
        <w:spacing w:after="40"/>
      </w:pPr>
    </w:p>
    <w:p>
      <w:pPr>
        <w:pStyle w:val="Heading2"/>
        <w:keepNext/>
      </w:pPr>
      <w:r>
        <w:t>3.2 Practical design workflow</w:t>
      </w:r>
    </w:p>
    <w:p>
      <w:pPr>
        <w:pStyle w:val="ListNumber"/>
        <w:spacing w:after="60"/>
      </w:pPr>
      <w:r>
        <w:rPr>
          <w:rFonts w:ascii="Aptos" w:hAnsi="Aptos"/>
          <w:color w:val="1F2937"/>
          <w:sz w:val="21"/>
        </w:rPr>
        <w:t>Write the use cases and business invariants.</w:t>
      </w:r>
    </w:p>
    <w:p>
      <w:pPr>
        <w:pStyle w:val="ListNumber"/>
        <w:spacing w:after="60"/>
      </w:pPr>
      <w:r>
        <w:rPr>
          <w:rFonts w:ascii="Aptos" w:hAnsi="Aptos"/>
          <w:color w:val="1F2937"/>
          <w:sz w:val="21"/>
        </w:rPr>
        <w:t>Model resources, commands, events, states, and error outcomes.</w:t>
      </w:r>
    </w:p>
    <w:p>
      <w:pPr>
        <w:pStyle w:val="ListNumber"/>
        <w:spacing w:after="60"/>
      </w:pPr>
      <w:r>
        <w:rPr>
          <w:rFonts w:ascii="Aptos" w:hAnsi="Aptos"/>
          <w:color w:val="1F2937"/>
          <w:sz w:val="21"/>
        </w:rPr>
        <w:t>Add realistic request and response examples, including failure cases.</w:t>
      </w:r>
    </w:p>
    <w:p>
      <w:pPr>
        <w:pStyle w:val="ListNumber"/>
        <w:spacing w:after="60"/>
      </w:pPr>
      <w:r>
        <w:rPr>
          <w:rFonts w:ascii="Aptos" w:hAnsi="Aptos"/>
          <w:color w:val="1F2937"/>
          <w:sz w:val="21"/>
        </w:rPr>
        <w:t>Run lint, security, and compatibility checks.</w:t>
      </w:r>
    </w:p>
    <w:p>
      <w:pPr>
        <w:pStyle w:val="ListNumber"/>
        <w:spacing w:after="60"/>
      </w:pPr>
      <w:r>
        <w:rPr>
          <w:rFonts w:ascii="Aptos" w:hAnsi="Aptos"/>
          <w:color w:val="1F2937"/>
          <w:sz w:val="21"/>
        </w:rPr>
        <w:t>Publish a mock or stub for consumer feedback.</w:t>
      </w:r>
    </w:p>
    <w:p>
      <w:pPr>
        <w:pStyle w:val="ListNumber"/>
        <w:spacing w:after="60"/>
      </w:pPr>
      <w:r>
        <w:rPr>
          <w:rFonts w:ascii="Aptos" w:hAnsi="Aptos"/>
          <w:color w:val="1F2937"/>
          <w:sz w:val="21"/>
        </w:rPr>
        <w:t>Record important tradeoffs in an architecture decision record.</w:t>
      </w:r>
    </w:p>
    <w:p>
      <w:pPr>
        <w:pStyle w:val="ListNumber"/>
        <w:spacing w:after="60"/>
      </w:pPr>
      <w:r>
        <w:rPr>
          <w:rFonts w:ascii="Aptos" w:hAnsi="Aptos"/>
          <w:color w:val="1F2937"/>
          <w:sz w:val="21"/>
        </w:rPr>
        <w:t>Implement against the approved contract and run conformance tests.</w:t>
      </w:r>
    </w:p>
    <w:p>
      <w:pPr>
        <w:pStyle w:val="Heading1"/>
        <w:keepNext/>
      </w:pPr>
      <w:r>
        <w:t>4. Design Standards Without Over-Standardization</w:t>
      </w:r>
    </w:p>
    <w:p>
      <w:pPr>
        <w:spacing w:after="120" w:line="269" w:lineRule="auto"/>
      </w:pPr>
      <w:r>
        <w:rPr>
          <w:rFonts w:ascii="Aptos" w:hAnsi="Aptos"/>
          <w:color w:val="1F2937"/>
          <w:sz w:val="21"/>
        </w:rPr>
        <w:t>A platform standard should remove repeated decisions: naming, pagination, error format, authentication, tracing, idempotency, and deprecation headers. It should not force every workflow into one protocol or a universal data model.</w:t>
      </w:r>
    </w:p>
    <w:p>
      <w:pPr>
        <w:pStyle w:val="Heading2"/>
        <w:keepNext/>
      </w:pPr>
      <w:r>
        <w:t>4.1 Example minimum standards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110" w:type="dxa"/>
              <w:bottom w:w="110" w:type="dxa"/>
              <w:start w:w="120" w:type="dxa"/>
              <w:end w:w="120" w:type="dxa"/>
            </w:tcMar>
            <w:shd w:fill="17365D"/>
          </w:tcPr>
          <w:p>
            <w:pPr>
              <w:jc w:val="center"/>
            </w:pPr>
            <w:r/>
            <w:r>
              <w:rPr>
                <w:rFonts w:ascii="Aptos" w:hAnsi="Aptos"/>
                <w:b/>
                <w:color w:val="FFFFFF"/>
                <w:sz w:val="18"/>
              </w:rPr>
              <w:t>Concern</w:t>
            </w:r>
          </w:p>
        </w:tc>
        <w:tc>
          <w:tcPr>
            <w:tcW w:type="dxa" w:w="4104"/>
            <w:vAlign w:val="center"/>
            <w:tcMar>
              <w:top w:w="110" w:type="dxa"/>
              <w:bottom w:w="110" w:type="dxa"/>
              <w:start w:w="120" w:type="dxa"/>
              <w:end w:w="120" w:type="dxa"/>
            </w:tcMar>
            <w:shd w:fill="17365D"/>
          </w:tcPr>
          <w:p>
            <w:pPr>
              <w:jc w:val="center"/>
            </w:pPr>
            <w:r/>
            <w:r>
              <w:rPr>
                <w:rFonts w:ascii="Aptos" w:hAnsi="Aptos"/>
                <w:b/>
                <w:color w:val="FFFFFF"/>
                <w:sz w:val="18"/>
              </w:rPr>
              <w:t>Standard decision</w:t>
            </w:r>
          </w:p>
        </w:tc>
        <w:tc>
          <w:tcPr>
            <w:tcW w:type="dxa" w:w="3528"/>
            <w:vAlign w:val="center"/>
            <w:tcMar>
              <w:top w:w="110" w:type="dxa"/>
              <w:bottom w:w="110" w:type="dxa"/>
              <w:start w:w="120" w:type="dxa"/>
              <w:end w:w="120" w:type="dxa"/>
            </w:tcMar>
            <w:shd w:fill="17365D"/>
          </w:tcPr>
          <w:p>
            <w:pPr>
              <w:jc w:val="center"/>
            </w:pPr>
            <w:r/>
            <w:r>
              <w:rPr>
                <w:rFonts w:ascii="Aptos" w:hAnsi="Aptos"/>
                <w:b/>
                <w:color w:val="FFFFFF"/>
                <w:sz w:val="18"/>
              </w:rPr>
              <w:t>Reason</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Errors</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Structured problem response with stable code and trace ID</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Predictable client behavior</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Pagination</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Cursor pagination for changing large collections</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Stable and index-friendly</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Idempotency</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Required for duplicate-sensitive commands</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Safe retry behavior</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Tracing</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W3C trace context or equivalent</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Cross-service diagnostics</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Dates</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UTC timestamps with explicit timezone format</w:t>
            </w:r>
          </w:p>
        </w:tc>
        <w:tc>
          <w:tcPr>
            <w:tcW w:type="dxa" w:w="3528"/>
            <w:vAlign w:val="center"/>
            <w:tcMar>
              <w:top w:w="110" w:type="dxa"/>
              <w:bottom w:w="110" w:type="dxa"/>
              <w:start w:w="120" w:type="dxa"/>
              <w:end w:w="120" w:type="dxa"/>
            </w:tcMar>
          </w:tcPr>
          <w:p>
            <w:pPr>
              <w:jc w:val="center"/>
            </w:pPr>
            <w:r/>
            <w:r>
              <w:rPr>
                <w:rFonts w:ascii="Aptos" w:hAnsi="Aptos"/>
                <w:b w:val="0"/>
                <w:color w:val="1F2937"/>
                <w:sz w:val="18"/>
              </w:rPr>
              <w:t>Avoid ambiguity</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Money</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Decimal string or integer minor units plus currency</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Avoid floating-point errors</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8"/>
              </w:rPr>
              <w:t>Sensitive data</w:t>
            </w:r>
          </w:p>
        </w:tc>
        <w:tc>
          <w:tcPr>
            <w:tcW w:type="dxa" w:w="4104"/>
            <w:vAlign w:val="center"/>
            <w:tcMar>
              <w:top w:w="110" w:type="dxa"/>
              <w:bottom w:w="110" w:type="dxa"/>
              <w:start w:w="120" w:type="dxa"/>
              <w:end w:w="120" w:type="dxa"/>
            </w:tcMar>
          </w:tcPr>
          <w:p>
            <w:pPr>
              <w:jc w:val="left"/>
            </w:pPr>
            <w:r/>
            <w:r>
              <w:rPr>
                <w:rFonts w:ascii="Aptos" w:hAnsi="Aptos"/>
                <w:b w:val="0"/>
                <w:color w:val="1F2937"/>
                <w:sz w:val="18"/>
              </w:rPr>
              <w:t>Classification and log-redaction policy</w:t>
            </w:r>
          </w:p>
        </w:tc>
        <w:tc>
          <w:tcPr>
            <w:tcW w:type="dxa" w:w="3528"/>
            <w:vAlign w:val="center"/>
            <w:tcMar>
              <w:top w:w="110" w:type="dxa"/>
              <w:bottom w:w="110" w:type="dxa"/>
              <w:start w:w="120" w:type="dxa"/>
              <w:end w:w="120" w:type="dxa"/>
            </w:tcMar>
          </w:tcPr>
          <w:p>
            <w:pPr>
              <w:jc w:val="left"/>
            </w:pPr>
            <w:r/>
            <w:r>
              <w:rPr>
                <w:rFonts w:ascii="Aptos" w:hAnsi="Aptos"/>
                <w:b w:val="0"/>
                <w:color w:val="1F2937"/>
                <w:sz w:val="18"/>
              </w:rPr>
              <w:t>Prevent accidental disclosure</w:t>
            </w:r>
          </w:p>
        </w:tc>
      </w:tr>
    </w:tbl>
    <w:p>
      <w:pPr>
        <w:spacing w:after="40"/>
      </w:pPr>
    </w:p>
    <w:p>
      <w:pPr>
        <w:pStyle w:val="Heading2"/>
        <w:keepNext/>
      </w:pPr>
      <w:r>
        <w:t>4.2 Exception process</w:t>
      </w:r>
    </w:p>
    <w:p>
      <w:pPr>
        <w:spacing w:after="120" w:line="269" w:lineRule="auto"/>
      </w:pPr>
      <w:r>
        <w:rPr>
          <w:rFonts w:ascii="Aptos" w:hAnsi="Aptos"/>
          <w:color w:val="1F2937"/>
          <w:sz w:val="21"/>
        </w:rPr>
        <w:t>Exceptions should be allowed when the standard creates a worse outcome. The team documents the constraint, alternative, risks, and expiry or review condition. This produces deliberate diversity instead of uncontrolled inconsistency.</w:t>
      </w:r>
    </w:p>
    <w:p>
      <w:pPr>
        <w:pStyle w:val="Heading1"/>
        <w:keepNext/>
      </w:pPr>
      <w:r>
        <w:t>5. Compatibility and Change Classification</w:t>
      </w:r>
    </w:p>
    <w:p>
      <w:pPr>
        <w:spacing w:after="120" w:line="269" w:lineRule="auto"/>
      </w:pPr>
      <w:r>
        <w:rPr>
          <w:rFonts w:ascii="Aptos" w:hAnsi="Aptos"/>
          <w:color w:val="1F2937"/>
          <w:sz w:val="21"/>
        </w:rPr>
        <w:t>Compatibility is not only whether a parser accepts the new payload. A syntactically additive change can still break a consumer through new enum values, changed ordering, tighter validation, altered authorization, increased latency, or different retry semantics.</w:t>
      </w:r>
    </w:p>
    <w:p>
      <w:pPr>
        <w:pStyle w:val="Heading2"/>
        <w:keepNext/>
      </w:pPr>
      <w:r>
        <w:t>5.1 Change matrix</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vAlign w:val="center"/>
            <w:tcMar>
              <w:top w:w="110" w:type="dxa"/>
              <w:bottom w:w="110" w:type="dxa"/>
              <w:start w:w="120" w:type="dxa"/>
              <w:end w:w="120" w:type="dxa"/>
            </w:tcMar>
            <w:shd w:fill="17365D"/>
          </w:tcPr>
          <w:p>
            <w:pPr>
              <w:jc w:val="center"/>
            </w:pPr>
            <w:r/>
            <w:r>
              <w:rPr>
                <w:rFonts w:ascii="Aptos" w:hAnsi="Aptos"/>
                <w:b/>
                <w:color w:val="FFFFFF"/>
                <w:sz w:val="18"/>
              </w:rPr>
              <w:t>Change</w:t>
            </w:r>
          </w:p>
        </w:tc>
        <w:tc>
          <w:tcPr>
            <w:tcW w:type="dxa" w:w="1656"/>
            <w:vAlign w:val="center"/>
            <w:tcMar>
              <w:top w:w="110" w:type="dxa"/>
              <w:bottom w:w="110" w:type="dxa"/>
              <w:start w:w="120" w:type="dxa"/>
              <w:end w:w="120" w:type="dxa"/>
            </w:tcMar>
            <w:shd w:fill="17365D"/>
          </w:tcPr>
          <w:p>
            <w:pPr>
              <w:jc w:val="center"/>
            </w:pPr>
            <w:r/>
            <w:r>
              <w:rPr>
                <w:rFonts w:ascii="Aptos" w:hAnsi="Aptos"/>
                <w:b/>
                <w:color w:val="FFFFFF"/>
                <w:sz w:val="18"/>
              </w:rPr>
              <w:t>Usually safe?</w:t>
            </w:r>
          </w:p>
        </w:tc>
        <w:tc>
          <w:tcPr>
            <w:tcW w:type="dxa" w:w="5328"/>
            <w:vAlign w:val="center"/>
            <w:tcMar>
              <w:top w:w="110" w:type="dxa"/>
              <w:bottom w:w="110" w:type="dxa"/>
              <w:start w:w="120" w:type="dxa"/>
              <w:end w:w="120" w:type="dxa"/>
            </w:tcMar>
            <w:shd w:fill="17365D"/>
          </w:tcPr>
          <w:p>
            <w:pPr>
              <w:jc w:val="center"/>
            </w:pPr>
            <w:r/>
            <w:r>
              <w:rPr>
                <w:rFonts w:ascii="Aptos" w:hAnsi="Aptos"/>
                <w:b/>
                <w:color w:val="FFFFFF"/>
                <w:sz w:val="18"/>
              </w:rPr>
              <w:t>Hidden risk</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Add optional response field</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Yes</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Strict deserializers or signatures over raw payload</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Add optional request field</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Yes</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Old servers behind mixed deployments</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Add enum value</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Conditional</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Clients may use exhaustive switch statements</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Remove or rename field</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No</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Compilation or runtime failure</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Change number to string</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No</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Schema and semantic break</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Make optional input required</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No</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Existing callers fail validation</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Change default ordering</w:t>
            </w:r>
          </w:p>
        </w:tc>
        <w:tc>
          <w:tcPr>
            <w:tcW w:type="dxa" w:w="1656"/>
            <w:vAlign w:val="center"/>
            <w:tcMar>
              <w:top w:w="110" w:type="dxa"/>
              <w:bottom w:w="110" w:type="dxa"/>
              <w:start w:w="120" w:type="dxa"/>
              <w:end w:w="120" w:type="dxa"/>
            </w:tcMar>
          </w:tcPr>
          <w:p>
            <w:pPr>
              <w:jc w:val="center"/>
            </w:pPr>
            <w:r/>
            <w:r>
              <w:rPr>
                <w:rFonts w:ascii="Aptos" w:hAnsi="Aptos"/>
                <w:b w:val="0"/>
                <w:color w:val="1F2937"/>
                <w:sz w:val="18"/>
              </w:rPr>
              <w:t>No</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Pagination and UI behavior change</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Tighten authorization</w:t>
            </w:r>
          </w:p>
        </w:tc>
        <w:tc>
          <w:tcPr>
            <w:tcW w:type="dxa" w:w="1656"/>
            <w:vAlign w:val="center"/>
            <w:tcMar>
              <w:top w:w="110" w:type="dxa"/>
              <w:bottom w:w="110" w:type="dxa"/>
              <w:start w:w="120" w:type="dxa"/>
              <w:end w:w="120" w:type="dxa"/>
            </w:tcMar>
          </w:tcPr>
          <w:p>
            <w:pPr>
              <w:jc w:val="left"/>
            </w:pPr>
            <w:r/>
            <w:r>
              <w:rPr>
                <w:rFonts w:ascii="Aptos" w:hAnsi="Aptos"/>
                <w:b w:val="0"/>
                <w:color w:val="1F2937"/>
                <w:sz w:val="18"/>
              </w:rPr>
              <w:t>Operationally breaking</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Previously valid use cases receive denial</w:t>
            </w:r>
          </w:p>
        </w:tc>
      </w:tr>
      <w:tr>
        <w:tc>
          <w:tcPr>
            <w:tcW w:type="dxa" w:w="2592"/>
            <w:vAlign w:val="center"/>
            <w:tcMar>
              <w:top w:w="110" w:type="dxa"/>
              <w:bottom w:w="110" w:type="dxa"/>
              <w:start w:w="120" w:type="dxa"/>
              <w:end w:w="120" w:type="dxa"/>
            </w:tcMar>
          </w:tcPr>
          <w:p>
            <w:pPr>
              <w:jc w:val="left"/>
            </w:pPr>
            <w:r/>
            <w:r>
              <w:rPr>
                <w:rFonts w:ascii="Aptos" w:hAnsi="Aptos"/>
                <w:b w:val="0"/>
                <w:color w:val="1F2937"/>
                <w:sz w:val="18"/>
              </w:rPr>
              <w:t>Reduce timeout or rate limit</w:t>
            </w:r>
          </w:p>
        </w:tc>
        <w:tc>
          <w:tcPr>
            <w:tcW w:type="dxa" w:w="1656"/>
            <w:vAlign w:val="center"/>
            <w:tcMar>
              <w:top w:w="110" w:type="dxa"/>
              <w:bottom w:w="110" w:type="dxa"/>
              <w:start w:w="120" w:type="dxa"/>
              <w:end w:w="120" w:type="dxa"/>
            </w:tcMar>
          </w:tcPr>
          <w:p>
            <w:pPr>
              <w:jc w:val="left"/>
            </w:pPr>
            <w:r/>
            <w:r>
              <w:rPr>
                <w:rFonts w:ascii="Aptos" w:hAnsi="Aptos"/>
                <w:b w:val="0"/>
                <w:color w:val="1F2937"/>
                <w:sz w:val="18"/>
              </w:rPr>
              <w:t>Operationally breaking</w:t>
            </w:r>
          </w:p>
        </w:tc>
        <w:tc>
          <w:tcPr>
            <w:tcW w:type="dxa" w:w="5328"/>
            <w:vAlign w:val="center"/>
            <w:tcMar>
              <w:top w:w="110" w:type="dxa"/>
              <w:bottom w:w="110" w:type="dxa"/>
              <w:start w:w="120" w:type="dxa"/>
              <w:end w:w="120" w:type="dxa"/>
            </w:tcMar>
          </w:tcPr>
          <w:p>
            <w:pPr>
              <w:jc w:val="left"/>
            </w:pPr>
            <w:r/>
            <w:r>
              <w:rPr>
                <w:rFonts w:ascii="Aptos" w:hAnsi="Aptos"/>
                <w:b w:val="0"/>
                <w:color w:val="1F2937"/>
                <w:sz w:val="18"/>
              </w:rPr>
              <w:t>Consumer reliability changes</w:t>
            </w:r>
          </w:p>
        </w:tc>
      </w:tr>
    </w:tbl>
    <w:p>
      <w:pPr>
        <w:spacing w:after="40"/>
      </w:pPr>
    </w:p>
    <w:p>
      <w:pPr>
        <w:pStyle w:val="Heading2"/>
        <w:keepNext/>
      </w:pPr>
      <w:r>
        <w:t>5.2 Tolerant reader and conservative writer</w:t>
      </w:r>
    </w:p>
    <w:p>
      <w:pPr>
        <w:spacing w:after="120" w:line="269" w:lineRule="auto"/>
      </w:pPr>
      <w:r>
        <w:rPr>
          <w:rFonts w:ascii="Aptos" w:hAnsi="Aptos"/>
          <w:color w:val="1F2937"/>
          <w:sz w:val="21"/>
        </w:rPr>
        <w:t>Consumers should ignore unknown fields and preserve unknown enum handling where possible. Producers should avoid emitting ambiguous or undocumented values. Tolerance is not an excuse for unlimited schema drift; contracts and compatibility tests remain necessary.</w:t>
      </w:r>
    </w:p>
    <w:p>
      <w:pPr>
        <w:pStyle w:val="Heading1"/>
        <w:keepNext/>
      </w:pPr>
      <w:r>
        <w:t>6. Versioning Strategies</w:t>
      </w:r>
    </w:p>
    <w:p>
      <w:pPr>
        <w:pStyle w:val="Heading2"/>
        <w:keepNext/>
      </w:pPr>
      <w:r>
        <w:t>6.1 Prefer compatible evolution</w:t>
      </w:r>
    </w:p>
    <w:p>
      <w:pPr>
        <w:spacing w:after="120" w:line="269" w:lineRule="auto"/>
      </w:pPr>
      <w:r>
        <w:rPr>
          <w:rFonts w:ascii="Aptos" w:hAnsi="Aptos"/>
          <w:color w:val="1F2937"/>
          <w:sz w:val="21"/>
        </w:rPr>
        <w:t>A new major version should be a last resort. Maintaining multiple versions multiplies documentation, security patches, testing, routing, monitoring, and support. First ask whether the new capability can be introduced through additive fields, a new operation, or a new resource.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vAlign w:val="center"/>
            <w:tcMar>
              <w:top w:w="110" w:type="dxa"/>
              <w:bottom w:w="110" w:type="dxa"/>
              <w:start w:w="120" w:type="dxa"/>
              <w:end w:w="120" w:type="dxa"/>
            </w:tcMar>
            <w:shd w:fill="17365D"/>
          </w:tcPr>
          <w:p>
            <w:pPr>
              <w:jc w:val="center"/>
            </w:pPr>
            <w:r/>
            <w:r>
              <w:rPr>
                <w:rFonts w:ascii="Aptos" w:hAnsi="Aptos"/>
                <w:b/>
                <w:color w:val="FFFFFF"/>
                <w:sz w:val="18"/>
              </w:rPr>
              <w:t>Strategy</w:t>
            </w:r>
          </w:p>
        </w:tc>
        <w:tc>
          <w:tcPr>
            <w:tcW w:type="dxa" w:w="3384"/>
            <w:vAlign w:val="center"/>
            <w:tcMar>
              <w:top w:w="110" w:type="dxa"/>
              <w:bottom w:w="110" w:type="dxa"/>
              <w:start w:w="120" w:type="dxa"/>
              <w:end w:w="120" w:type="dxa"/>
            </w:tcMar>
            <w:shd w:fill="17365D"/>
          </w:tcPr>
          <w:p>
            <w:pPr>
              <w:jc w:val="center"/>
            </w:pPr>
            <w:r/>
            <w:r>
              <w:rPr>
                <w:rFonts w:ascii="Aptos" w:hAnsi="Aptos"/>
                <w:b/>
                <w:color w:val="FFFFFF"/>
                <w:sz w:val="18"/>
              </w:rPr>
              <w:t>Strength</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Tradeoff</w:t>
            </w:r>
          </w:p>
        </w:tc>
      </w:tr>
      <w:tr>
        <w:tc>
          <w:tcPr>
            <w:tcW w:type="dxa" w:w="2376"/>
            <w:vAlign w:val="center"/>
            <w:tcMar>
              <w:top w:w="110" w:type="dxa"/>
              <w:bottom w:w="110" w:type="dxa"/>
              <w:start w:w="120" w:type="dxa"/>
              <w:end w:w="120" w:type="dxa"/>
            </w:tcMar>
          </w:tcPr>
          <w:p>
            <w:pPr>
              <w:jc w:val="left"/>
            </w:pPr>
            <w:r/>
            <w:r>
              <w:rPr>
                <w:rFonts w:ascii="Aptos" w:hAnsi="Aptos"/>
                <w:b w:val="0"/>
                <w:color w:val="1F2937"/>
                <w:sz w:val="18"/>
              </w:rPr>
              <w:t>URI version: /v2/orders</w:t>
            </w:r>
          </w:p>
        </w:tc>
        <w:tc>
          <w:tcPr>
            <w:tcW w:type="dxa" w:w="3384"/>
            <w:vAlign w:val="center"/>
            <w:tcMar>
              <w:top w:w="110" w:type="dxa"/>
              <w:bottom w:w="110" w:type="dxa"/>
              <w:start w:w="120" w:type="dxa"/>
              <w:end w:w="120" w:type="dxa"/>
            </w:tcMar>
          </w:tcPr>
          <w:p>
            <w:pPr>
              <w:jc w:val="left"/>
            </w:pPr>
            <w:r/>
            <w:r>
              <w:rPr>
                <w:rFonts w:ascii="Aptos" w:hAnsi="Aptos"/>
                <w:b w:val="0"/>
                <w:color w:val="1F2937"/>
                <w:sz w:val="18"/>
              </w:rPr>
              <w:t>Visible and easy to route</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Encourages whole-API duplication</w:t>
            </w:r>
          </w:p>
        </w:tc>
      </w:tr>
      <w:tr>
        <w:tc>
          <w:tcPr>
            <w:tcW w:type="dxa" w:w="2376"/>
            <w:vAlign w:val="center"/>
            <w:tcMar>
              <w:top w:w="110" w:type="dxa"/>
              <w:bottom w:w="110" w:type="dxa"/>
              <w:start w:w="120" w:type="dxa"/>
              <w:end w:w="120" w:type="dxa"/>
            </w:tcMar>
          </w:tcPr>
          <w:p>
            <w:pPr>
              <w:jc w:val="left"/>
            </w:pPr>
            <w:r/>
            <w:r>
              <w:rPr>
                <w:rFonts w:ascii="Aptos" w:hAnsi="Aptos"/>
                <w:b w:val="0"/>
                <w:color w:val="1F2937"/>
                <w:sz w:val="18"/>
              </w:rPr>
              <w:t>Media/header version</w:t>
            </w:r>
          </w:p>
        </w:tc>
        <w:tc>
          <w:tcPr>
            <w:tcW w:type="dxa" w:w="3384"/>
            <w:vAlign w:val="center"/>
            <w:tcMar>
              <w:top w:w="110" w:type="dxa"/>
              <w:bottom w:w="110" w:type="dxa"/>
              <w:start w:w="120" w:type="dxa"/>
              <w:end w:w="120" w:type="dxa"/>
            </w:tcMar>
          </w:tcPr>
          <w:p>
            <w:pPr>
              <w:jc w:val="left"/>
            </w:pPr>
            <w:r/>
            <w:r>
              <w:rPr>
                <w:rFonts w:ascii="Aptos" w:hAnsi="Aptos"/>
                <w:b w:val="0"/>
                <w:color w:val="1F2937"/>
                <w:sz w:val="18"/>
              </w:rPr>
              <w:t>Stable URI and granular representation</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Less visible to tools and operators</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Date-based version</w:t>
            </w:r>
          </w:p>
        </w:tc>
        <w:tc>
          <w:tcPr>
            <w:tcW w:type="dxa" w:w="3384"/>
            <w:vAlign w:val="center"/>
            <w:tcMar>
              <w:top w:w="110" w:type="dxa"/>
              <w:bottom w:w="110" w:type="dxa"/>
              <w:start w:w="120" w:type="dxa"/>
              <w:end w:w="120" w:type="dxa"/>
            </w:tcMar>
          </w:tcPr>
          <w:p>
            <w:pPr>
              <w:jc w:val="left"/>
            </w:pPr>
            <w:r/>
            <w:r>
              <w:rPr>
                <w:rFonts w:ascii="Aptos" w:hAnsi="Aptos"/>
                <w:b w:val="0"/>
                <w:color w:val="1F2937"/>
                <w:sz w:val="18"/>
              </w:rPr>
              <w:t>Clear support windows for public APIs</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Can hide semantic coupling behind dates</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Capability version</w:t>
            </w:r>
          </w:p>
        </w:tc>
        <w:tc>
          <w:tcPr>
            <w:tcW w:type="dxa" w:w="3384"/>
            <w:vAlign w:val="center"/>
            <w:tcMar>
              <w:top w:w="110" w:type="dxa"/>
              <w:bottom w:w="110" w:type="dxa"/>
              <w:start w:w="120" w:type="dxa"/>
              <w:end w:w="120" w:type="dxa"/>
            </w:tcMar>
          </w:tcPr>
          <w:p>
            <w:pPr>
              <w:jc w:val="left"/>
            </w:pPr>
            <w:r/>
            <w:r>
              <w:rPr>
                <w:rFonts w:ascii="Aptos" w:hAnsi="Aptos"/>
                <w:b w:val="0"/>
                <w:color w:val="1F2937"/>
                <w:sz w:val="18"/>
              </w:rPr>
              <w:t>Version only changed resource/operation</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More precise but requires disciplined design</w:t>
            </w:r>
          </w:p>
        </w:tc>
      </w:tr>
      <w:tr>
        <w:tc>
          <w:tcPr>
            <w:tcW w:type="dxa" w:w="2376"/>
            <w:vAlign w:val="center"/>
            <w:tcMar>
              <w:top w:w="110" w:type="dxa"/>
              <w:bottom w:w="110" w:type="dxa"/>
              <w:start w:w="120" w:type="dxa"/>
              <w:end w:w="120" w:type="dxa"/>
            </w:tcMar>
          </w:tcPr>
          <w:p>
            <w:pPr>
              <w:jc w:val="left"/>
            </w:pPr>
            <w:r/>
            <w:r>
              <w:rPr>
                <w:rFonts w:ascii="Aptos" w:hAnsi="Aptos"/>
                <w:b w:val="0"/>
                <w:color w:val="1F2937"/>
                <w:sz w:val="18"/>
              </w:rPr>
              <w:t>No explicit version</w:t>
            </w:r>
          </w:p>
        </w:tc>
        <w:tc>
          <w:tcPr>
            <w:tcW w:type="dxa" w:w="3384"/>
            <w:vAlign w:val="center"/>
            <w:tcMar>
              <w:top w:w="110" w:type="dxa"/>
              <w:bottom w:w="110" w:type="dxa"/>
              <w:start w:w="120" w:type="dxa"/>
              <w:end w:w="120" w:type="dxa"/>
            </w:tcMar>
          </w:tcPr>
          <w:p>
            <w:pPr>
              <w:jc w:val="left"/>
            </w:pPr>
            <w:r/>
            <w:r>
              <w:rPr>
                <w:rFonts w:ascii="Aptos" w:hAnsi="Aptos"/>
                <w:b w:val="0"/>
                <w:color w:val="1F2937"/>
                <w:sz w:val="18"/>
              </w:rPr>
              <w:t>Simple when additive evolution is strong</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Needs excellent compatibility governance</w:t>
            </w:r>
          </w:p>
        </w:tc>
      </w:tr>
    </w:tbl>
    <w:p>
      <w:pPr>
        <w:spacing w:after="40"/>
      </w:pPr>
    </w:p>
    <w:p>
      <w:pPr>
        <w:pStyle w:val="Heading2"/>
        <w:keepNext/>
      </w:pPr>
      <w:r>
        <w:t>6.2 GraphQL, gRPC, and events</w:t>
      </w:r>
    </w:p>
    <w:p>
      <w:pPr>
        <w:pStyle w:val="ListBullet"/>
        <w:spacing w:after="60"/>
      </w:pPr>
      <w:r>
        <w:rPr>
          <w:rFonts w:ascii="Aptos" w:hAnsi="Aptos"/>
          <w:color w:val="1F2937"/>
          <w:sz w:val="21"/>
        </w:rPr>
        <w:t>GraphQL usually evolves additively; deprecate fields with reasons and measure field usage before removal.</w:t>
      </w:r>
    </w:p>
    <w:p>
      <w:pPr>
        <w:pStyle w:val="ListBullet"/>
        <w:spacing w:after="60"/>
      </w:pPr>
      <w:r>
        <w:rPr>
          <w:rFonts w:ascii="Aptos" w:hAnsi="Aptos"/>
          <w:color w:val="1F2937"/>
          <w:sz w:val="21"/>
        </w:rPr>
        <w:t>Protobuf field numbers must never be reused. Removed names and numbers should be reserved.</w:t>
      </w:r>
    </w:p>
    <w:p>
      <w:pPr>
        <w:pStyle w:val="ListBullet"/>
        <w:spacing w:after="60"/>
      </w:pPr>
      <w:r>
        <w:rPr>
          <w:rFonts w:ascii="Aptos" w:hAnsi="Aptos"/>
          <w:color w:val="1F2937"/>
          <w:sz w:val="21"/>
        </w:rPr>
        <w:t>Event schemas need forward and backward compatibility rules based on producer/consumer deployment order.</w:t>
      </w:r>
    </w:p>
    <w:p>
      <w:pPr>
        <w:pStyle w:val="ListBullet"/>
        <w:spacing w:after="60"/>
      </w:pPr>
      <w:r>
        <w:rPr>
          <w:rFonts w:ascii="Aptos" w:hAnsi="Aptos"/>
          <w:color w:val="1F2937"/>
          <w:sz w:val="21"/>
        </w:rPr>
        <w:t>A new event type is often safer than silently changing the meaning of an existing event.</w:t>
      </w:r>
    </w:p>
    <w:p>
      <w:pPr>
        <w:pStyle w:val="Heading1"/>
        <w:keepNext/>
      </w:pPr>
      <w:r>
        <w:t>7. Testing the Contract and Behavior</w:t>
      </w:r>
    </w:p>
    <w:p>
      <w:pPr>
        <w:pStyle w:val="Heading2"/>
        <w:keepNext/>
      </w:pPr>
      <w:r>
        <w:t>7.1 Test pyramid for APIs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Test</w:t>
            </w:r>
          </w:p>
        </w:tc>
        <w:tc>
          <w:tcPr>
            <w:tcW w:type="dxa" w:w="3672"/>
            <w:vAlign w:val="center"/>
            <w:tcMar>
              <w:top w:w="110" w:type="dxa"/>
              <w:bottom w:w="110" w:type="dxa"/>
              <w:start w:w="120" w:type="dxa"/>
              <w:end w:w="120" w:type="dxa"/>
            </w:tcMar>
            <w:shd w:fill="17365D"/>
          </w:tcPr>
          <w:p>
            <w:pPr>
              <w:jc w:val="center"/>
            </w:pPr>
            <w:r/>
            <w:r>
              <w:rPr>
                <w:rFonts w:ascii="Aptos" w:hAnsi="Aptos"/>
                <w:b/>
                <w:color w:val="FFFFFF"/>
                <w:sz w:val="18"/>
              </w:rPr>
              <w:t>Validates</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Typical failure caught</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Schema/lint</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Contract structure and standards</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Missing error schema, unsafe naming</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Unit</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Business rules and transformations</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Invalid state transition</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Provider conformance</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Implementation matches contract</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Wrong status code or field type</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Consumer contract</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Provider still satisfies known consumer assumptions</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Breaking response change</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Integration</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Database, broker, identity, dependency behavior</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Transaction or serialization defects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8"/>
              </w:rPr>
              <w:t>End-to-end</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Critical cross-system user journey</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Routing, credentials, workflow issues</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8"/>
              </w:rPr>
              <w:t>Performance/resilience</w:t>
            </w:r>
          </w:p>
        </w:tc>
        <w:tc>
          <w:tcPr>
            <w:tcW w:type="dxa" w:w="3672"/>
            <w:vAlign w:val="center"/>
            <w:tcMar>
              <w:top w:w="110" w:type="dxa"/>
              <w:bottom w:w="110" w:type="dxa"/>
              <w:start w:w="120" w:type="dxa"/>
              <w:end w:w="120" w:type="dxa"/>
            </w:tcMar>
          </w:tcPr>
          <w:p>
            <w:pPr>
              <w:jc w:val="left"/>
            </w:pPr>
            <w:r/>
            <w:r>
              <w:rPr>
                <w:rFonts w:ascii="Aptos" w:hAnsi="Aptos"/>
                <w:b w:val="0"/>
                <w:color w:val="1F2937"/>
                <w:sz w:val="18"/>
              </w:rPr>
              <w:t>SLO under load and faults</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Pool exhaustion, retry storm</w:t>
            </w:r>
          </w:p>
        </w:tc>
      </w:tr>
    </w:tbl>
    <w:p>
      <w:pPr>
        <w:spacing w:after="40"/>
      </w:pPr>
    </w:p>
    <w:p>
      <w:pPr>
        <w:pStyle w:val="Heading2"/>
        <w:keepNext/>
      </w:pPr>
      <w:r>
        <w:t>7.2 Contract tests are not complete business tests</w:t>
      </w:r>
    </w:p>
    <w:p>
      <w:pPr>
        <w:spacing w:after="120" w:line="269" w:lineRule="auto"/>
      </w:pPr>
      <w:r>
        <w:rPr>
          <w:rFonts w:ascii="Aptos" w:hAnsi="Aptos"/>
          <w:color w:val="1F2937"/>
          <w:sz w:val="21"/>
        </w:rPr>
        <w:t>A schema can validate while the API returns the wrong balance, exposes another tenant’s data, or performs a duplicate charge. Contract testing must be combined with domain invariant, authorization, idempotency, concurrency, and failure-mode tests.</w:t>
      </w:r>
    </w:p>
    <w:p>
      <w:pPr>
        <w:pStyle w:val="Heading2"/>
        <w:keepNext/>
      </w:pPr>
      <w:r>
        <w:t>7.3 Negative and abuse testing</w:t>
      </w:r>
    </w:p>
    <w:p>
      <w:pPr>
        <w:pStyle w:val="ListBullet"/>
        <w:spacing w:after="60"/>
      </w:pPr>
      <w:r>
        <w:rPr>
          <w:rFonts w:ascii="Aptos" w:hAnsi="Aptos"/>
          <w:color w:val="1F2937"/>
          <w:sz w:val="21"/>
        </w:rPr>
        <w:t>Unknown and malformed identifiers</w:t>
      </w:r>
    </w:p>
    <w:p>
      <w:pPr>
        <w:pStyle w:val="ListBullet"/>
        <w:spacing w:after="60"/>
      </w:pPr>
      <w:r>
        <w:rPr>
          <w:rFonts w:ascii="Aptos" w:hAnsi="Aptos"/>
          <w:color w:val="1F2937"/>
          <w:sz w:val="21"/>
        </w:rPr>
        <w:t>Oversized payloads and deeply nested queries</w:t>
      </w:r>
    </w:p>
    <w:p>
      <w:pPr>
        <w:pStyle w:val="ListBullet"/>
        <w:spacing w:after="60"/>
      </w:pPr>
      <w:r>
        <w:rPr>
          <w:rFonts w:ascii="Aptos" w:hAnsi="Aptos"/>
          <w:color w:val="1F2937"/>
          <w:sz w:val="21"/>
        </w:rPr>
        <w:t>Expired, replayed, or wrong-audience tokens</w:t>
      </w:r>
    </w:p>
    <w:p>
      <w:pPr>
        <w:pStyle w:val="ListBullet"/>
        <w:spacing w:after="60"/>
      </w:pPr>
      <w:r>
        <w:rPr>
          <w:rFonts w:ascii="Aptos" w:hAnsi="Aptos"/>
          <w:color w:val="1F2937"/>
          <w:sz w:val="21"/>
        </w:rPr>
        <w:t>Cross-tenant resource identifiers</w:t>
      </w:r>
    </w:p>
    <w:p>
      <w:pPr>
        <w:pStyle w:val="ListBullet"/>
        <w:spacing w:after="60"/>
      </w:pPr>
      <w:r>
        <w:rPr>
          <w:rFonts w:ascii="Aptos" w:hAnsi="Aptos"/>
          <w:color w:val="1F2937"/>
          <w:sz w:val="21"/>
        </w:rPr>
        <w:t>Duplicate idempotency keys with different payloads</w:t>
      </w:r>
    </w:p>
    <w:p>
      <w:pPr>
        <w:pStyle w:val="ListBullet"/>
        <w:spacing w:after="60"/>
      </w:pPr>
      <w:r>
        <w:rPr>
          <w:rFonts w:ascii="Aptos" w:hAnsi="Aptos"/>
          <w:color w:val="1F2937"/>
          <w:sz w:val="21"/>
        </w:rPr>
        <w:t>Slow clients, cancelled requests, and dependency timeouts</w:t>
      </w:r>
    </w:p>
    <w:p>
      <w:pPr>
        <w:pStyle w:val="Heading1"/>
        <w:keepNext/>
      </w:pPr>
      <w:r>
        <w:t>8. Release and Rollout Safety</w:t>
      </w:r>
    </w:p>
    <w:p>
      <w:pPr>
        <w:pStyle w:val="Heading2"/>
        <w:keepNext/>
      </w:pPr>
      <w:r>
        <w:t>8.1 Expand and contract</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7"/>
              </w:rPr>
              <w:t>Release A: Add new_field as optional; producers do not require it</w:t>
              <w:br/>
            </w:r>
            <w:r>
              <w:rPr>
                <w:rFonts w:ascii="Consolas" w:hAnsi="Consolas"/>
                <w:color w:val="253858"/>
                <w:sz w:val="17"/>
              </w:rPr>
              <w:t>Release B: Consumers begin reading new_field with fallback</w:t>
              <w:br/>
            </w:r>
            <w:r>
              <w:rPr>
                <w:rFonts w:ascii="Consolas" w:hAnsi="Consolas"/>
                <w:color w:val="253858"/>
                <w:sz w:val="17"/>
              </w:rPr>
              <w:t>Release C: Producers populate new_field consistently</w:t>
              <w:br/>
            </w:r>
            <w:r>
              <w:rPr>
                <w:rFonts w:ascii="Consolas" w:hAnsi="Consolas"/>
                <w:color w:val="253858"/>
                <w:sz w:val="17"/>
              </w:rPr>
              <w:t>Release D: Measure old-field usage and migrate remaining consumers</w:t>
              <w:br/>
            </w:r>
            <w:r>
              <w:rPr>
                <w:rFonts w:ascii="Consolas" w:hAnsi="Consolas"/>
                <w:color w:val="253858"/>
                <w:sz w:val="17"/>
              </w:rPr>
              <w:t>Release E: Deprecate old_field</w:t>
              <w:br/>
            </w:r>
            <w:r>
              <w:rPr>
                <w:rFonts w:ascii="Consolas" w:hAnsi="Consolas"/>
                <w:color w:val="253858"/>
                <w:sz w:val="17"/>
              </w:rPr>
              <w:t>Release F: Remove only after policy and evidence allow it</w:t>
            </w:r>
          </w:p>
        </w:tc>
      </w:tr>
    </w:tbl>
    <w:p>
      <w:pPr>
        <w:spacing w:after="40"/>
      </w:pPr>
    </w:p>
    <w:p>
      <w:pPr>
        <w:pStyle w:val="Heading2"/>
        <w:keepNext/>
      </w:pPr>
      <w:r>
        <w:t>8.2 Deployment patterns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vAlign w:val="center"/>
            <w:tcMar>
              <w:top w:w="110" w:type="dxa"/>
              <w:bottom w:w="110" w:type="dxa"/>
              <w:start w:w="120" w:type="dxa"/>
              <w:end w:w="120" w:type="dxa"/>
            </w:tcMar>
            <w:shd w:fill="17365D"/>
          </w:tcPr>
          <w:p>
            <w:pPr>
              <w:jc w:val="center"/>
            </w:pPr>
            <w:r/>
            <w:r>
              <w:rPr>
                <w:rFonts w:ascii="Aptos" w:hAnsi="Aptos"/>
                <w:b/>
                <w:color w:val="FFFFFF"/>
                <w:sz w:val="18"/>
              </w:rPr>
              <w:t>Pattern</w:t>
            </w:r>
          </w:p>
        </w:tc>
        <w:tc>
          <w:tcPr>
            <w:tcW w:type="dxa" w:w="3816"/>
            <w:vAlign w:val="center"/>
            <w:tcMar>
              <w:top w:w="110" w:type="dxa"/>
              <w:bottom w:w="110" w:type="dxa"/>
              <w:start w:w="120" w:type="dxa"/>
              <w:end w:w="120" w:type="dxa"/>
            </w:tcMar>
            <w:shd w:fill="17365D"/>
          </w:tcPr>
          <w:p>
            <w:pPr>
              <w:jc w:val="center"/>
            </w:pPr>
            <w:r/>
            <w:r>
              <w:rPr>
                <w:rFonts w:ascii="Aptos" w:hAnsi="Aptos"/>
                <w:b/>
                <w:color w:val="FFFFFF"/>
                <w:sz w:val="18"/>
              </w:rPr>
              <w:t>Best use</w:t>
            </w:r>
          </w:p>
        </w:tc>
        <w:tc>
          <w:tcPr>
            <w:tcW w:type="dxa" w:w="3960"/>
            <w:vAlign w:val="center"/>
            <w:tcMar>
              <w:top w:w="110" w:type="dxa"/>
              <w:bottom w:w="110" w:type="dxa"/>
              <w:start w:w="120" w:type="dxa"/>
              <w:end w:w="120" w:type="dxa"/>
            </w:tcMar>
            <w:shd w:fill="17365D"/>
          </w:tcPr>
          <w:p>
            <w:pPr>
              <w:jc w:val="center"/>
            </w:pPr>
            <w:r/>
            <w:r>
              <w:rPr>
                <w:rFonts w:ascii="Aptos" w:hAnsi="Aptos"/>
                <w:b/>
                <w:color w:val="FFFFFF"/>
                <w:sz w:val="18"/>
              </w:rPr>
              <w:t>Key check</w:t>
            </w:r>
          </w:p>
        </w:tc>
      </w:tr>
      <w:tr>
        <w:tc>
          <w:tcPr>
            <w:tcW w:type="dxa" w:w="1800"/>
            <w:vAlign w:val="center"/>
            <w:tcMar>
              <w:top w:w="110" w:type="dxa"/>
              <w:bottom w:w="110" w:type="dxa"/>
              <w:start w:w="120" w:type="dxa"/>
              <w:end w:w="120" w:type="dxa"/>
            </w:tcMar>
          </w:tcPr>
          <w:p>
            <w:pPr>
              <w:jc w:val="center"/>
            </w:pPr>
            <w:r/>
            <w:r>
              <w:rPr>
                <w:rFonts w:ascii="Aptos" w:hAnsi="Aptos"/>
                <w:b w:val="0"/>
                <w:color w:val="1F2937"/>
                <w:sz w:val="18"/>
              </w:rPr>
              <w:t>Canary</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Small production traffic to new implementation</w:t>
            </w:r>
          </w:p>
        </w:tc>
        <w:tc>
          <w:tcPr>
            <w:tcW w:type="dxa" w:w="3960"/>
            <w:vAlign w:val="center"/>
            <w:tcMar>
              <w:top w:w="110" w:type="dxa"/>
              <w:bottom w:w="110" w:type="dxa"/>
              <w:start w:w="120" w:type="dxa"/>
              <w:end w:w="120" w:type="dxa"/>
            </w:tcMar>
          </w:tcPr>
          <w:p>
            <w:pPr>
              <w:jc w:val="left"/>
            </w:pPr>
            <w:r/>
            <w:r>
              <w:rPr>
                <w:rFonts w:ascii="Aptos" w:hAnsi="Aptos"/>
                <w:b w:val="0"/>
                <w:color w:val="1F2937"/>
                <w:sz w:val="18"/>
              </w:rPr>
              <w:t>Compare errors, latency, and semantics</w:t>
            </w:r>
          </w:p>
        </w:tc>
      </w:tr>
      <w:tr>
        <w:tc>
          <w:tcPr>
            <w:tcW w:type="dxa" w:w="1800"/>
            <w:vAlign w:val="center"/>
            <w:tcMar>
              <w:top w:w="110" w:type="dxa"/>
              <w:bottom w:w="110" w:type="dxa"/>
              <w:start w:w="120" w:type="dxa"/>
              <w:end w:w="120" w:type="dxa"/>
            </w:tcMar>
          </w:tcPr>
          <w:p>
            <w:pPr>
              <w:jc w:val="center"/>
            </w:pPr>
            <w:r/>
            <w:r>
              <w:rPr>
                <w:rFonts w:ascii="Aptos" w:hAnsi="Aptos"/>
                <w:b w:val="0"/>
                <w:color w:val="1F2937"/>
                <w:sz w:val="18"/>
              </w:rPr>
              <w:t>Blue/green</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Fast switch and rollback</w:t>
            </w:r>
          </w:p>
        </w:tc>
        <w:tc>
          <w:tcPr>
            <w:tcW w:type="dxa" w:w="3960"/>
            <w:vAlign w:val="center"/>
            <w:tcMar>
              <w:top w:w="110" w:type="dxa"/>
              <w:bottom w:w="110" w:type="dxa"/>
              <w:start w:w="120" w:type="dxa"/>
              <w:end w:w="120" w:type="dxa"/>
            </w:tcMar>
          </w:tcPr>
          <w:p>
            <w:pPr>
              <w:jc w:val="left"/>
            </w:pPr>
            <w:r/>
            <w:r>
              <w:rPr>
                <w:rFonts w:ascii="Aptos" w:hAnsi="Aptos"/>
                <w:b w:val="0"/>
                <w:color w:val="1F2937"/>
                <w:sz w:val="18"/>
              </w:rPr>
              <w:t>Database and event compatibility</w:t>
            </w:r>
          </w:p>
        </w:tc>
      </w:tr>
      <w:tr>
        <w:tc>
          <w:tcPr>
            <w:tcW w:type="dxa" w:w="1800"/>
            <w:vAlign w:val="center"/>
            <w:tcMar>
              <w:top w:w="110" w:type="dxa"/>
              <w:bottom w:w="110" w:type="dxa"/>
              <w:start w:w="120" w:type="dxa"/>
              <w:end w:w="120" w:type="dxa"/>
            </w:tcMar>
          </w:tcPr>
          <w:p>
            <w:pPr>
              <w:jc w:val="center"/>
            </w:pPr>
            <w:r/>
            <w:r>
              <w:rPr>
                <w:rFonts w:ascii="Aptos" w:hAnsi="Aptos"/>
                <w:b w:val="0"/>
                <w:color w:val="1F2937"/>
                <w:sz w:val="18"/>
              </w:rPr>
              <w:t>Feature flag</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Separate deployment from capability release</w:t>
            </w:r>
          </w:p>
        </w:tc>
        <w:tc>
          <w:tcPr>
            <w:tcW w:type="dxa" w:w="3960"/>
            <w:vAlign w:val="center"/>
            <w:tcMar>
              <w:top w:w="110" w:type="dxa"/>
              <w:bottom w:w="110" w:type="dxa"/>
              <w:start w:w="120" w:type="dxa"/>
              <w:end w:w="120" w:type="dxa"/>
            </w:tcMar>
          </w:tcPr>
          <w:p>
            <w:pPr>
              <w:jc w:val="left"/>
            </w:pPr>
            <w:r/>
            <w:r>
              <w:rPr>
                <w:rFonts w:ascii="Aptos" w:hAnsi="Aptos"/>
                <w:b w:val="0"/>
                <w:color w:val="1F2937"/>
                <w:sz w:val="18"/>
              </w:rPr>
              <w:t>Flag ownership and cleanup</w:t>
            </w:r>
          </w:p>
        </w:tc>
      </w:tr>
      <w:tr>
        <w:tc>
          <w:tcPr>
            <w:tcW w:type="dxa" w:w="1800"/>
            <w:vAlign w:val="center"/>
            <w:tcMar>
              <w:top w:w="110" w:type="dxa"/>
              <w:bottom w:w="110" w:type="dxa"/>
              <w:start w:w="120" w:type="dxa"/>
              <w:end w:w="120" w:type="dxa"/>
            </w:tcMar>
          </w:tcPr>
          <w:p>
            <w:pPr>
              <w:jc w:val="center"/>
            </w:pPr>
            <w:r/>
            <w:r>
              <w:rPr>
                <w:rFonts w:ascii="Aptos" w:hAnsi="Aptos"/>
                <w:b w:val="0"/>
                <w:color w:val="1F2937"/>
                <w:sz w:val="18"/>
              </w:rPr>
              <w:t>Shadow traffic</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Compare new path without affecting response</w:t>
            </w:r>
          </w:p>
        </w:tc>
        <w:tc>
          <w:tcPr>
            <w:tcW w:type="dxa" w:w="3960"/>
            <w:vAlign w:val="center"/>
            <w:tcMar>
              <w:top w:w="110" w:type="dxa"/>
              <w:bottom w:w="110" w:type="dxa"/>
              <w:start w:w="120" w:type="dxa"/>
              <w:end w:w="120" w:type="dxa"/>
            </w:tcMar>
          </w:tcPr>
          <w:p>
            <w:pPr>
              <w:jc w:val="left"/>
            </w:pPr>
            <w:r/>
            <w:r>
              <w:rPr>
                <w:rFonts w:ascii="Aptos" w:hAnsi="Aptos"/>
                <w:b w:val="0"/>
                <w:color w:val="1F2937"/>
                <w:sz w:val="18"/>
              </w:rPr>
              <w:t>Privacy and side-effect suppression</w:t>
            </w:r>
          </w:p>
        </w:tc>
      </w:tr>
      <w:tr>
        <w:tc>
          <w:tcPr>
            <w:tcW w:type="dxa" w:w="1800"/>
            <w:vAlign w:val="center"/>
            <w:tcMar>
              <w:top w:w="110" w:type="dxa"/>
              <w:bottom w:w="110" w:type="dxa"/>
              <w:start w:w="120" w:type="dxa"/>
              <w:end w:w="120" w:type="dxa"/>
            </w:tcMar>
          </w:tcPr>
          <w:p>
            <w:pPr>
              <w:jc w:val="center"/>
            </w:pPr>
            <w:r/>
            <w:r>
              <w:rPr>
                <w:rFonts w:ascii="Aptos" w:hAnsi="Aptos"/>
                <w:b w:val="0"/>
                <w:color w:val="1F2937"/>
                <w:sz w:val="18"/>
              </w:rPr>
              <w:t>Dual write/read</w:t>
            </w:r>
          </w:p>
        </w:tc>
        <w:tc>
          <w:tcPr>
            <w:tcW w:type="dxa" w:w="3816"/>
            <w:vAlign w:val="center"/>
            <w:tcMar>
              <w:top w:w="110" w:type="dxa"/>
              <w:bottom w:w="110" w:type="dxa"/>
              <w:start w:w="120" w:type="dxa"/>
              <w:end w:w="120" w:type="dxa"/>
            </w:tcMar>
          </w:tcPr>
          <w:p>
            <w:pPr>
              <w:jc w:val="left"/>
            </w:pPr>
            <w:r/>
            <w:r>
              <w:rPr>
                <w:rFonts w:ascii="Aptos" w:hAnsi="Aptos"/>
                <w:b w:val="0"/>
                <w:color w:val="1F2937"/>
                <w:sz w:val="18"/>
              </w:rPr>
              <w:t>Data or contract migration</w:t>
            </w:r>
          </w:p>
        </w:tc>
        <w:tc>
          <w:tcPr>
            <w:tcW w:type="dxa" w:w="3960"/>
            <w:vAlign w:val="center"/>
            <w:tcMar>
              <w:top w:w="110" w:type="dxa"/>
              <w:bottom w:w="110" w:type="dxa"/>
              <w:start w:w="120" w:type="dxa"/>
              <w:end w:w="120" w:type="dxa"/>
            </w:tcMar>
          </w:tcPr>
          <w:p>
            <w:pPr>
              <w:jc w:val="left"/>
            </w:pPr>
            <w:r/>
            <w:r>
              <w:rPr>
                <w:rFonts w:ascii="Aptos" w:hAnsi="Aptos"/>
                <w:b w:val="0"/>
                <w:color w:val="1F2937"/>
                <w:sz w:val="18"/>
              </w:rPr>
              <w:t>Divergence detection and reconciliation</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Rollback warning</w:t>
            </w:r>
          </w:p>
          <w:p>
            <w:pPr>
              <w:spacing w:after="0" w:line="259" w:lineRule="auto"/>
            </w:pPr>
            <w:r>
              <w:rPr>
                <w:rFonts w:ascii="Aptos" w:hAnsi="Aptos"/>
                <w:color w:val="1F2937"/>
                <w:sz w:val="19"/>
              </w:rPr>
              <w:t>Code rollback is not sufficient after a destructive database migration, emitted event, external payment, or irreversible client-visible action. Design rollback and compensation before release.</w:t>
            </w:r>
          </w:p>
        </w:tc>
      </w:tr>
    </w:tbl>
    <w:p>
      <w:pPr>
        <w:spacing w:after="40"/>
      </w:pPr>
    </w:p>
    <w:p>
      <w:pPr>
        <w:pStyle w:val="Heading1"/>
        <w:keepNext/>
      </w:pPr>
      <w:r>
        <w:t>9. Deprecation and Retirement</w:t>
      </w:r>
    </w:p>
    <w:p>
      <w:pPr>
        <w:pStyle w:val="Heading2"/>
        <w:keepNext/>
      </w:pPr>
      <w:r>
        <w:t>9.1 A safe deprecation process</w:t>
      </w:r>
    </w:p>
    <w:p>
      <w:pPr>
        <w:pStyle w:val="ListNumber"/>
        <w:spacing w:after="60"/>
      </w:pPr>
      <w:r>
        <w:rPr>
          <w:rFonts w:ascii="Aptos" w:hAnsi="Aptos"/>
          <w:color w:val="1F2937"/>
          <w:sz w:val="21"/>
        </w:rPr>
        <w:t>Mark the API, operation, field, or event as deprecated in the contract and catalog.</w:t>
      </w:r>
    </w:p>
    <w:p>
      <w:pPr>
        <w:pStyle w:val="ListNumber"/>
        <w:spacing w:after="60"/>
      </w:pPr>
      <w:r>
        <w:rPr>
          <w:rFonts w:ascii="Aptos" w:hAnsi="Aptos"/>
          <w:color w:val="1F2937"/>
          <w:sz w:val="21"/>
        </w:rPr>
        <w:t>State the replacement, migration instructions, and final support date.</w:t>
      </w:r>
    </w:p>
    <w:p>
      <w:pPr>
        <w:pStyle w:val="ListNumber"/>
        <w:spacing w:after="60"/>
      </w:pPr>
      <w:r>
        <w:rPr>
          <w:rFonts w:ascii="Aptos" w:hAnsi="Aptos"/>
          <w:color w:val="1F2937"/>
          <w:sz w:val="21"/>
        </w:rPr>
        <w:t>Notify identified consumers through agreed channels.</w:t>
      </w:r>
    </w:p>
    <w:p>
      <w:pPr>
        <w:pStyle w:val="ListNumber"/>
        <w:spacing w:after="60"/>
      </w:pPr>
      <w:r>
        <w:rPr>
          <w:rFonts w:ascii="Aptos" w:hAnsi="Aptos"/>
          <w:color w:val="1F2937"/>
          <w:sz w:val="21"/>
        </w:rPr>
        <w:t>Measure actual usage by client, tenant, operation, field, or event subscription.</w:t>
      </w:r>
    </w:p>
    <w:p>
      <w:pPr>
        <w:pStyle w:val="ListNumber"/>
        <w:spacing w:after="60"/>
      </w:pPr>
      <w:r>
        <w:rPr>
          <w:rFonts w:ascii="Aptos" w:hAnsi="Aptos"/>
          <w:color w:val="1F2937"/>
          <w:sz w:val="21"/>
        </w:rPr>
        <w:t>Provide migration support and test environments where required.</w:t>
      </w:r>
    </w:p>
    <w:p>
      <w:pPr>
        <w:pStyle w:val="ListNumber"/>
        <w:spacing w:after="60"/>
      </w:pPr>
      <w:r>
        <w:rPr>
          <w:rFonts w:ascii="Aptos" w:hAnsi="Aptos"/>
          <w:color w:val="1F2937"/>
          <w:sz w:val="21"/>
        </w:rPr>
        <w:t>Restrict new adoption of the deprecated interface.</w:t>
      </w:r>
    </w:p>
    <w:p>
      <w:pPr>
        <w:pStyle w:val="ListNumber"/>
        <w:spacing w:after="60"/>
      </w:pPr>
      <w:r>
        <w:rPr>
          <w:rFonts w:ascii="Aptos" w:hAnsi="Aptos"/>
          <w:color w:val="1F2937"/>
          <w:sz w:val="21"/>
        </w:rPr>
        <w:t>Retire only after approval and evidence that remaining traffic is understood.</w:t>
      </w:r>
    </w:p>
    <w:p>
      <w:pPr>
        <w:pStyle w:val="Heading2"/>
        <w:keepNext/>
      </w:pPr>
      <w:r>
        <w:t>9.2 Why “no traffic for seven days” may be insufficient</w:t>
      </w:r>
    </w:p>
    <w:p>
      <w:pPr>
        <w:spacing w:after="120" w:line="269" w:lineRule="auto"/>
      </w:pPr>
      <w:r>
        <w:rPr>
          <w:rFonts w:ascii="Aptos" w:hAnsi="Aptos"/>
          <w:color w:val="1F2937"/>
          <w:sz w:val="21"/>
        </w:rPr>
        <w:t>Some consumers run monthly reconciliation, annual reporting, emergency-only healthcare workflows, or disaster-recovery tests. Usage evidence must cover the real business frequency and include batch, partner, and failover paths.</w:t>
      </w:r>
    </w:p>
    <w:p>
      <w:pPr>
        <w:pStyle w:val="Heading2"/>
        <w:keepNext/>
      </w:pPr>
      <w:r>
        <w:t>9.3 Consumer identification</w:t>
      </w:r>
    </w:p>
    <w:p>
      <w:pPr>
        <w:spacing w:after="120" w:line="269" w:lineRule="auto"/>
      </w:pPr>
      <w:r>
        <w:rPr>
          <w:rFonts w:ascii="Aptos" w:hAnsi="Aptos"/>
          <w:color w:val="1F2937"/>
          <w:sz w:val="21"/>
        </w:rPr>
        <w:t>Use authenticated client IDs, application registrations, API keys, service identities, subscription ownership, and catalog metadata. IP addresses and user agents are weak identifiers and often represent shared infrastructure.</w:t>
      </w:r>
    </w:p>
    <w:p>
      <w:pPr>
        <w:pStyle w:val="Heading1"/>
        <w:keepNext/>
      </w:pPr>
      <w:r>
        <w:t>10. Documentation and Developer Experience</w:t>
      </w:r>
    </w:p>
    <w:p>
      <w:pPr>
        <w:spacing w:after="120" w:line="269" w:lineRule="auto"/>
      </w:pPr>
      <w:r>
        <w:rPr>
          <w:rFonts w:ascii="Aptos" w:hAnsi="Aptos"/>
          <w:color w:val="1F2937"/>
          <w:sz w:val="21"/>
        </w:rPr>
        <w:t>Good documentation reduces support cost and unsafe workarounds. A machine-readable contract is necessary but not sufficient.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vAlign w:val="center"/>
            <w:tcMar>
              <w:top w:w="110" w:type="dxa"/>
              <w:bottom w:w="110" w:type="dxa"/>
              <w:start w:w="120" w:type="dxa"/>
              <w:end w:w="120" w:type="dxa"/>
            </w:tcMar>
            <w:shd w:fill="17365D"/>
          </w:tcPr>
          <w:p>
            <w:pPr>
              <w:jc w:val="center"/>
            </w:pPr>
            <w:r/>
            <w:r>
              <w:rPr>
                <w:rFonts w:ascii="Aptos" w:hAnsi="Aptos"/>
                <w:b/>
                <w:color w:val="FFFFFF"/>
                <w:sz w:val="18"/>
              </w:rPr>
              <w:t>Documentation element</w:t>
            </w:r>
          </w:p>
        </w:tc>
        <w:tc>
          <w:tcPr>
            <w:tcW w:type="dxa" w:w="6984"/>
            <w:vAlign w:val="center"/>
            <w:tcMar>
              <w:top w:w="110" w:type="dxa"/>
              <w:bottom w:w="110" w:type="dxa"/>
              <w:start w:w="120" w:type="dxa"/>
              <w:end w:w="120" w:type="dxa"/>
            </w:tcMar>
            <w:shd w:fill="17365D"/>
          </w:tcPr>
          <w:p>
            <w:pPr>
              <w:jc w:val="center"/>
            </w:pPr>
            <w:r/>
            <w:r>
              <w:rPr>
                <w:rFonts w:ascii="Aptos" w:hAnsi="Aptos"/>
                <w:b/>
                <w:color w:val="FFFFFF"/>
                <w:sz w:val="18"/>
              </w:rPr>
              <w:t>What it should answer</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Overview</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What capability does this API provide and who should use it?</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Quick start</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What is the smallest successful call?</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Authentication</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How are credentials obtained, scoped, and renewed?</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Concepts</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What do states, identifiers, money, time, and tenancy mean?</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Operations</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Requests, responses, errors, idempotency, pagination, limits</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Workflows</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How do multi-step business processes progress?</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Change log</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What changed, when, and what must consumers do?</w:t>
            </w:r>
          </w:p>
        </w:tc>
      </w:tr>
      <w:tr>
        <w:tc>
          <w:tcPr>
            <w:tcW w:type="dxa" w:w="2592"/>
            <w:vAlign w:val="center"/>
            <w:tcMar>
              <w:top w:w="110" w:type="dxa"/>
              <w:bottom w:w="110" w:type="dxa"/>
              <w:start w:w="120" w:type="dxa"/>
              <w:end w:w="120" w:type="dxa"/>
            </w:tcMar>
          </w:tcPr>
          <w:p>
            <w:pPr>
              <w:jc w:val="center"/>
            </w:pPr>
            <w:r/>
            <w:r>
              <w:rPr>
                <w:rFonts w:ascii="Aptos" w:hAnsi="Aptos"/>
                <w:b w:val="0"/>
                <w:color w:val="1F2937"/>
                <w:sz w:val="18"/>
              </w:rPr>
              <w:t>Support</w:t>
            </w:r>
          </w:p>
        </w:tc>
        <w:tc>
          <w:tcPr>
            <w:tcW w:type="dxa" w:w="6984"/>
            <w:vAlign w:val="center"/>
            <w:tcMar>
              <w:top w:w="110" w:type="dxa"/>
              <w:bottom w:w="110" w:type="dxa"/>
              <w:start w:w="120" w:type="dxa"/>
              <w:end w:w="120" w:type="dxa"/>
            </w:tcMar>
          </w:tcPr>
          <w:p>
            <w:pPr>
              <w:jc w:val="left"/>
            </w:pPr>
            <w:r/>
            <w:r>
              <w:rPr>
                <w:rFonts w:ascii="Aptos" w:hAnsi="Aptos"/>
                <w:b w:val="0"/>
                <w:color w:val="1F2937"/>
                <w:sz w:val="18"/>
              </w:rPr>
              <w:t>Where are incidents and questions routed?</w:t>
            </w:r>
          </w:p>
        </w:tc>
      </w:tr>
    </w:tbl>
    <w:p>
      <w:pPr>
        <w:spacing w:after="40"/>
      </w:pPr>
    </w:p>
    <w:p>
      <w:pPr>
        <w:pStyle w:val="Heading2"/>
        <w:keepNext/>
      </w:pPr>
      <w:r>
        <w:t>10.1 SDK governance</w:t>
      </w:r>
    </w:p>
    <w:p>
      <w:pPr>
        <w:spacing w:after="120" w:line="269" w:lineRule="auto"/>
      </w:pPr>
      <w:r>
        <w:rPr>
          <w:rFonts w:ascii="Aptos" w:hAnsi="Aptos"/>
          <w:color w:val="1F2937"/>
          <w:sz w:val="21"/>
        </w:rPr>
        <w:t>Generated SDKs can speed adoption, but they become products with versioning, security updates, language support, release pipelines, and compatibility obligations. Generate clients selectively and keep raw HTTP or protocol documentation available.</w:t>
      </w:r>
    </w:p>
    <w:p>
      <w:pPr>
        <w:pStyle w:val="Heading1"/>
        <w:keepNext/>
      </w:pPr>
      <w:r>
        <w:t>11. Observability as Governance Evidence</w:t>
      </w:r>
    </w:p>
    <w:p>
      <w:pPr>
        <w:pStyle w:val="Heading2"/>
        <w:keepNext/>
      </w:pPr>
      <w:r>
        <w:t>11.1 Measure by API operation and consumer</w:t>
      </w:r>
    </w:p>
    <w:p>
      <w:pPr>
        <w:pStyle w:val="ListBullet"/>
        <w:spacing w:after="60"/>
      </w:pPr>
      <w:r>
        <w:rPr>
          <w:rFonts w:ascii="Aptos" w:hAnsi="Aptos"/>
          <w:color w:val="1F2937"/>
          <w:sz w:val="21"/>
        </w:rPr>
        <w:t>Request or message rate</w:t>
      </w:r>
    </w:p>
    <w:p>
      <w:pPr>
        <w:pStyle w:val="ListBullet"/>
        <w:spacing w:after="60"/>
      </w:pPr>
      <w:r>
        <w:rPr>
          <w:rFonts w:ascii="Aptos" w:hAnsi="Aptos"/>
          <w:color w:val="1F2937"/>
          <w:sz w:val="21"/>
        </w:rPr>
        <w:t>Error and business-rejection rate</w:t>
      </w:r>
    </w:p>
    <w:p>
      <w:pPr>
        <w:pStyle w:val="ListBullet"/>
        <w:spacing w:after="60"/>
      </w:pPr>
      <w:r>
        <w:rPr>
          <w:rFonts w:ascii="Aptos" w:hAnsi="Aptos"/>
          <w:color w:val="1F2937"/>
          <w:sz w:val="21"/>
        </w:rPr>
        <w:t>P50, P95, and P99 latency</w:t>
      </w:r>
    </w:p>
    <w:p>
      <w:pPr>
        <w:pStyle w:val="ListBullet"/>
        <w:spacing w:after="60"/>
      </w:pPr>
      <w:r>
        <w:rPr>
          <w:rFonts w:ascii="Aptos" w:hAnsi="Aptos"/>
          <w:color w:val="1F2937"/>
          <w:sz w:val="21"/>
        </w:rPr>
        <w:t>Payload size and response cardinality</w:t>
      </w:r>
    </w:p>
    <w:p>
      <w:pPr>
        <w:pStyle w:val="ListBullet"/>
        <w:spacing w:after="60"/>
      </w:pPr>
      <w:r>
        <w:rPr>
          <w:rFonts w:ascii="Aptos" w:hAnsi="Aptos"/>
          <w:color w:val="1F2937"/>
          <w:sz w:val="21"/>
        </w:rPr>
        <w:t>Rate-limit and timeout frequency</w:t>
      </w:r>
    </w:p>
    <w:p>
      <w:pPr>
        <w:pStyle w:val="ListBullet"/>
        <w:spacing w:after="60"/>
      </w:pPr>
      <w:r>
        <w:rPr>
          <w:rFonts w:ascii="Aptos" w:hAnsi="Aptos"/>
          <w:color w:val="1F2937"/>
          <w:sz w:val="21"/>
        </w:rPr>
        <w:t>Consumer/client adoption by version</w:t>
      </w:r>
    </w:p>
    <w:p>
      <w:pPr>
        <w:pStyle w:val="ListBullet"/>
        <w:spacing w:after="60"/>
      </w:pPr>
      <w:r>
        <w:rPr>
          <w:rFonts w:ascii="Aptos" w:hAnsi="Aptos"/>
          <w:color w:val="1F2937"/>
          <w:sz w:val="21"/>
        </w:rPr>
        <w:t>Deprecated operation or field usage</w:t>
      </w:r>
    </w:p>
    <w:p>
      <w:pPr>
        <w:pStyle w:val="ListBullet"/>
        <w:spacing w:after="60"/>
      </w:pPr>
      <w:r>
        <w:rPr>
          <w:rFonts w:ascii="Aptos" w:hAnsi="Aptos"/>
          <w:color w:val="1F2937"/>
          <w:sz w:val="21"/>
        </w:rPr>
        <w:t>Dependency latency and failure contribution</w:t>
      </w:r>
    </w:p>
    <w:p>
      <w:pPr>
        <w:pStyle w:val="Heading2"/>
        <w:keepNext/>
      </w:pPr>
      <w:r>
        <w:t>11.2 Semantic observability</w:t>
      </w:r>
    </w:p>
    <w:p>
      <w:pPr>
        <w:spacing w:after="120" w:line="269" w:lineRule="auto"/>
      </w:pPr>
      <w:r>
        <w:rPr>
          <w:rFonts w:ascii="Aptos" w:hAnsi="Aptos"/>
          <w:color w:val="1F2937"/>
          <w:sz w:val="21"/>
        </w:rPr>
        <w:t>HTTP 200 rates can look healthy while business outcomes fail. Track meaningful results such as orders accepted, transfers rejected, clinical searches returning partial data, webhook deliveries exhausted, and event-processing lag.</w:t>
      </w:r>
    </w:p>
    <w:p>
      <w:pPr>
        <w:pStyle w:val="Heading1"/>
        <w:keepNext/>
      </w:pPr>
      <w:r>
        <w:t>12. Governance by API Style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vAlign w:val="center"/>
            <w:tcMar>
              <w:top w:w="110" w:type="dxa"/>
              <w:bottom w:w="110" w:type="dxa"/>
              <w:start w:w="120" w:type="dxa"/>
              <w:end w:w="120" w:type="dxa"/>
            </w:tcMar>
            <w:shd w:fill="17365D"/>
          </w:tcPr>
          <w:p>
            <w:pPr>
              <w:jc w:val="center"/>
            </w:pPr>
            <w:r/>
            <w:r>
              <w:rPr>
                <w:rFonts w:ascii="Aptos" w:hAnsi="Aptos"/>
                <w:b/>
                <w:color w:val="FFFFFF"/>
                <w:sz w:val="18"/>
              </w:rPr>
              <w:t>Style</w:t>
            </w:r>
          </w:p>
        </w:tc>
        <w:tc>
          <w:tcPr>
            <w:tcW w:type="dxa" w:w="4680"/>
            <w:vAlign w:val="center"/>
            <w:tcMar>
              <w:top w:w="110" w:type="dxa"/>
              <w:bottom w:w="110" w:type="dxa"/>
              <w:start w:w="120" w:type="dxa"/>
              <w:end w:w="120" w:type="dxa"/>
            </w:tcMar>
            <w:shd w:fill="17365D"/>
          </w:tcPr>
          <w:p>
            <w:pPr>
              <w:jc w:val="center"/>
            </w:pPr>
            <w:r/>
            <w:r>
              <w:rPr>
                <w:rFonts w:ascii="Aptos" w:hAnsi="Aptos"/>
                <w:b/>
                <w:color w:val="FFFFFF"/>
                <w:sz w:val="18"/>
              </w:rPr>
              <w:t>Key governance controls</w:t>
            </w:r>
          </w:p>
        </w:tc>
        <w:tc>
          <w:tcPr>
            <w:tcW w:type="dxa" w:w="3456"/>
            <w:vAlign w:val="center"/>
            <w:tcMar>
              <w:top w:w="110" w:type="dxa"/>
              <w:bottom w:w="110" w:type="dxa"/>
              <w:start w:w="120" w:type="dxa"/>
              <w:end w:w="120" w:type="dxa"/>
            </w:tcMar>
            <w:shd w:fill="17365D"/>
          </w:tcPr>
          <w:p>
            <w:pPr>
              <w:jc w:val="center"/>
            </w:pPr>
            <w:r/>
            <w:r>
              <w:rPr>
                <w:rFonts w:ascii="Aptos" w:hAnsi="Aptos"/>
                <w:b/>
                <w:color w:val="FFFFFF"/>
                <w:sz w:val="18"/>
              </w:rPr>
              <w:t>Common failure</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REST</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OpenAPI lint, status/error rules, pagination, idempotency, deprecation</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Database-shaped endpoints and inconsistent semantics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GraphQL</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Schema ownership, cost limits, field usage, deprecation, persisted queries</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Universal graph with unsafe arbitrary queries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gRPC</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Protobuf compatibility, deadlines, status policy, generated-client versions</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Field-number reuse and chatty RPC design</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Events</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Schema compatibility, ownership, partition keys, retention, replay policy</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Semantic changes and unknown consumers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Streaming</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Connection limits, resume protocol, sequence rules, auth renewal</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Unbounded buffers and silent gaps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8"/>
              </w:rPr>
              <w:t>Webhooks</w:t>
            </w:r>
          </w:p>
        </w:tc>
        <w:tc>
          <w:tcPr>
            <w:tcW w:type="dxa" w:w="4680"/>
            <w:vAlign w:val="center"/>
            <w:tcMar>
              <w:top w:w="110" w:type="dxa"/>
              <w:bottom w:w="110" w:type="dxa"/>
              <w:start w:w="120" w:type="dxa"/>
              <w:end w:w="120" w:type="dxa"/>
            </w:tcMar>
          </w:tcPr>
          <w:p>
            <w:pPr>
              <w:jc w:val="left"/>
            </w:pPr>
            <w:r/>
            <w:r>
              <w:rPr>
                <w:rFonts w:ascii="Aptos" w:hAnsi="Aptos"/>
                <w:b w:val="0"/>
                <w:color w:val="1F2937"/>
                <w:sz w:val="18"/>
              </w:rPr>
              <w:t>Signature, retries, event IDs, delivery logs, endpoint verification</w:t>
            </w:r>
          </w:p>
        </w:tc>
        <w:tc>
          <w:tcPr>
            <w:tcW w:type="dxa" w:w="3456"/>
            <w:vAlign w:val="center"/>
            <w:tcMar>
              <w:top w:w="110" w:type="dxa"/>
              <w:bottom w:w="110" w:type="dxa"/>
              <w:start w:w="120" w:type="dxa"/>
              <w:end w:w="120" w:type="dxa"/>
            </w:tcMar>
          </w:tcPr>
          <w:p>
            <w:pPr>
              <w:jc w:val="left"/>
            </w:pPr>
            <w:r/>
            <w:r>
              <w:rPr>
                <w:rFonts w:ascii="Aptos" w:hAnsi="Aptos"/>
                <w:b w:val="0"/>
                <w:color w:val="1F2937"/>
                <w:sz w:val="18"/>
              </w:rPr>
              <w:t>Duplicate side effects and weak consumer identity</w:t>
            </w:r>
          </w:p>
        </w:tc>
      </w:tr>
    </w:tbl>
    <w:p>
      <w:pPr>
        <w:spacing w:after="40"/>
      </w:pPr>
    </w:p>
    <w:p>
      <w:pPr>
        <w:pStyle w:val="Heading1"/>
        <w:keepNext/>
      </w:pPr>
      <w:r>
        <w:t>13. Practical Domain Case Studies</w:t>
      </w:r>
    </w:p>
    <w:p>
      <w:pPr>
        <w:pStyle w:val="Heading2"/>
        <w:keepNext/>
      </w:pPr>
      <w:r>
        <w:t>13.1 Food delivery: evolving order status</w:t>
      </w:r>
    </w:p>
    <w:p>
      <w:pPr>
        <w:spacing w:after="120" w:line="269" w:lineRule="auto"/>
      </w:pPr>
      <w:r>
        <w:rPr>
          <w:rFonts w:ascii="Aptos" w:hAnsi="Aptos"/>
          <w:color w:val="1F2937"/>
          <w:sz w:val="21"/>
        </w:rPr>
        <w:t>Suppose the original status enum is PENDING, ACCEPTED, PICKED_UP, and DELIVERED. The business introduces DRIVER_ASSIGNED and READY_FOR_PICKUP. Adding values is syntactically additive but can break mobile clients that assume all unknown states are terminal or display an empty label.</w:t>
      </w:r>
    </w:p>
    <w:p>
      <w:pPr>
        <w:pStyle w:val="ListBullet"/>
        <w:spacing w:after="60"/>
      </w:pPr>
      <w:r>
        <w:rPr>
          <w:rFonts w:ascii="Aptos" w:hAnsi="Aptos"/>
          <w:color w:val="1F2937"/>
          <w:sz w:val="21"/>
        </w:rPr>
        <w:t>Add an UNKNOWN fallback in client contracts before introducing future values.</w:t>
      </w:r>
    </w:p>
    <w:p>
      <w:pPr>
        <w:pStyle w:val="ListBullet"/>
        <w:spacing w:after="60"/>
      </w:pPr>
      <w:r>
        <w:rPr>
          <w:rFonts w:ascii="Aptos" w:hAnsi="Aptos"/>
          <w:color w:val="1F2937"/>
          <w:sz w:val="21"/>
        </w:rPr>
        <w:t>Publish state-machine semantics, not only enum names.</w:t>
      </w:r>
    </w:p>
    <w:p>
      <w:pPr>
        <w:pStyle w:val="ListBullet"/>
        <w:spacing w:after="60"/>
      </w:pPr>
      <w:r>
        <w:rPr>
          <w:rFonts w:ascii="Aptos" w:hAnsi="Aptos"/>
          <w:color w:val="1F2937"/>
          <w:sz w:val="21"/>
        </w:rPr>
        <w:t>Use telemetry to identify app versions still using exhaustive handling.</w:t>
      </w:r>
    </w:p>
    <w:p>
      <w:pPr>
        <w:pStyle w:val="ListBullet"/>
        <w:spacing w:after="60"/>
      </w:pPr>
      <w:r>
        <w:rPr>
          <w:rFonts w:ascii="Aptos" w:hAnsi="Aptos"/>
          <w:color w:val="1F2937"/>
          <w:sz w:val="21"/>
        </w:rPr>
        <w:t>Roll out server emission gradually and keep compatible fallback behavior.</w:t>
      </w:r>
    </w:p>
    <w:p>
      <w:pPr>
        <w:pStyle w:val="Heading2"/>
        <w:keepNext/>
      </w:pPr>
      <w:r>
        <w:t>13.2 Healthcare: profile and search evolution</w:t>
      </w:r>
    </w:p>
    <w:p>
      <w:pPr>
        <w:spacing w:after="120" w:line="269" w:lineRule="auto"/>
      </w:pPr>
      <w:r>
        <w:rPr>
          <w:rFonts w:ascii="Aptos" w:hAnsi="Aptos"/>
          <w:color w:val="1F2937"/>
          <w:sz w:val="21"/>
        </w:rPr>
        <w:t>A FHIR-facing or healthcare interoperability API may be constrained by external profiles, terminology versions, mandatory fields, and national implementation guides. Governance must distinguish local convenience changes from standards-conformant extensions and preserve provenance, consent, and audit semantics.</w:t>
      </w:r>
    </w:p>
    <w:p>
      <w:pPr>
        <w:pStyle w:val="Heading2"/>
        <w:keepNext/>
      </w:pPr>
      <w:r>
        <w:t>13.3 Finance: transfer API migration</w:t>
      </w:r>
    </w:p>
    <w:p>
      <w:pPr>
        <w:spacing w:after="120" w:line="269" w:lineRule="auto"/>
      </w:pPr>
      <w:r>
        <w:rPr>
          <w:rFonts w:ascii="Aptos" w:hAnsi="Aptos"/>
          <w:color w:val="1F2937"/>
          <w:sz w:val="21"/>
        </w:rPr>
        <w:t>A transfer API cannot simply rename amount to instructedAmount if external clients, audit evidence, signatures, reconciliation, or idempotency fingerprints depend on the original request. Introduce the new field additively, define precedence, reject conflicting values, migrate clients, and preserve historical interpretation.</w:t>
      </w:r>
    </w:p>
    <w:p>
      <w:pPr>
        <w:pStyle w:val="Heading1"/>
        <w:keepNext/>
      </w:pPr>
      <w:r>
        <w:t>14. Governance Operating Model</w:t>
      </w:r>
    </w:p>
    <w:p>
      <w:pPr>
        <w:pStyle w:val="Heading2"/>
        <w:keepNext/>
      </w:pPr>
      <w:r>
        <w:t>14.1 Federated governance</w:t>
      </w:r>
    </w:p>
    <w:p>
      <w:pPr>
        <w:spacing w:after="120" w:line="269" w:lineRule="auto"/>
      </w:pPr>
      <w:r>
        <w:rPr>
          <w:rFonts w:ascii="Aptos" w:hAnsi="Aptos"/>
          <w:color w:val="1F2937"/>
          <w:sz w:val="21"/>
        </w:rPr>
        <w:t>A central platform team provides standards, templates, lint rules, catalogs, gateways, security integrations, and common observability. Domain teams own API semantics, reliability, documentation, consumer relationships, and operations. Architects review high-impact exceptions and cross-domain contracts.</w:t>
      </w:r>
    </w:p>
    <w:p>
      <w:pPr>
        <w:pStyle w:val="Heading2"/>
        <w:keepNext/>
      </w:pPr>
      <w:r>
        <w:t>14.2 Quality gates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vAlign w:val="center"/>
            <w:tcMar>
              <w:top w:w="110" w:type="dxa"/>
              <w:bottom w:w="110" w:type="dxa"/>
              <w:start w:w="120" w:type="dxa"/>
              <w:end w:w="120" w:type="dxa"/>
            </w:tcMar>
            <w:shd w:fill="17365D"/>
          </w:tcPr>
          <w:p>
            <w:pPr>
              <w:jc w:val="center"/>
            </w:pPr>
            <w:r/>
            <w:r>
              <w:rPr>
                <w:rFonts w:ascii="Aptos" w:hAnsi="Aptos"/>
                <w:b/>
                <w:color w:val="FFFFFF"/>
                <w:sz w:val="18"/>
              </w:rPr>
              <w:t>Gate</w:t>
            </w:r>
          </w:p>
        </w:tc>
        <w:tc>
          <w:tcPr>
            <w:tcW w:type="dxa" w:w="1440"/>
            <w:vAlign w:val="center"/>
            <w:tcMar>
              <w:top w:w="110" w:type="dxa"/>
              <w:bottom w:w="110" w:type="dxa"/>
              <w:start w:w="120" w:type="dxa"/>
              <w:end w:w="120" w:type="dxa"/>
            </w:tcMar>
            <w:shd w:fill="17365D"/>
          </w:tcPr>
          <w:p>
            <w:pPr>
              <w:jc w:val="center"/>
            </w:pPr>
            <w:r/>
            <w:r>
              <w:rPr>
                <w:rFonts w:ascii="Aptos" w:hAnsi="Aptos"/>
                <w:b/>
                <w:color w:val="FFFFFF"/>
                <w:sz w:val="18"/>
              </w:rPr>
              <w:t>Automate?</w:t>
            </w:r>
          </w:p>
        </w:tc>
        <w:tc>
          <w:tcPr>
            <w:tcW w:type="dxa" w:w="5760"/>
            <w:vAlign w:val="center"/>
            <w:tcMar>
              <w:top w:w="110" w:type="dxa"/>
              <w:bottom w:w="110" w:type="dxa"/>
              <w:start w:w="120" w:type="dxa"/>
              <w:end w:w="120" w:type="dxa"/>
            </w:tcMar>
            <w:shd w:fill="17365D"/>
          </w:tcPr>
          <w:p>
            <w:pPr>
              <w:jc w:val="center"/>
            </w:pPr>
            <w:r/>
            <w:r>
              <w:rPr>
                <w:rFonts w:ascii="Aptos" w:hAnsi="Aptos"/>
                <w:b/>
                <w:color w:val="FFFFFF"/>
                <w:sz w:val="18"/>
              </w:rPr>
              <w:t>Examples</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Style and schema</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Yes</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Naming, examples, required metadata</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Compatibility</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Yes</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OpenAPI diff, protobuf breaking-change check</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Security baseline</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Mostly</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Authentication, scopes, sensitive-field rules</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Performance policy</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Partly</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Query limits, payload bounds, timeouts</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Domain semantics</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Human</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State model, invariants, responsibility</w:t>
            </w:r>
          </w:p>
        </w:tc>
      </w:tr>
      <w:tr>
        <w:tc>
          <w:tcPr>
            <w:tcW w:type="dxa" w:w="2376"/>
            <w:vAlign w:val="center"/>
            <w:tcMar>
              <w:top w:w="110" w:type="dxa"/>
              <w:bottom w:w="110" w:type="dxa"/>
              <w:start w:w="120" w:type="dxa"/>
              <w:end w:w="120" w:type="dxa"/>
            </w:tcMar>
          </w:tcPr>
          <w:p>
            <w:pPr>
              <w:jc w:val="center"/>
            </w:pPr>
            <w:r/>
            <w:r>
              <w:rPr>
                <w:rFonts w:ascii="Aptos" w:hAnsi="Aptos"/>
                <w:b w:val="0"/>
                <w:color w:val="1F2937"/>
                <w:sz w:val="18"/>
              </w:rPr>
              <w:t>Regulatory impact</w:t>
            </w:r>
          </w:p>
        </w:tc>
        <w:tc>
          <w:tcPr>
            <w:tcW w:type="dxa" w:w="1440"/>
            <w:vAlign w:val="center"/>
            <w:tcMar>
              <w:top w:w="110" w:type="dxa"/>
              <w:bottom w:w="110" w:type="dxa"/>
              <w:start w:w="120" w:type="dxa"/>
              <w:end w:w="120" w:type="dxa"/>
            </w:tcMar>
          </w:tcPr>
          <w:p>
            <w:pPr>
              <w:jc w:val="center"/>
            </w:pPr>
            <w:r/>
            <w:r>
              <w:rPr>
                <w:rFonts w:ascii="Aptos" w:hAnsi="Aptos"/>
                <w:b w:val="0"/>
                <w:color w:val="1F2937"/>
                <w:sz w:val="18"/>
              </w:rPr>
              <w:t>Human + evidence</w:t>
            </w:r>
          </w:p>
        </w:tc>
        <w:tc>
          <w:tcPr>
            <w:tcW w:type="dxa" w:w="5760"/>
            <w:vAlign w:val="center"/>
            <w:tcMar>
              <w:top w:w="110" w:type="dxa"/>
              <w:bottom w:w="110" w:type="dxa"/>
              <w:start w:w="120" w:type="dxa"/>
              <w:end w:w="120" w:type="dxa"/>
            </w:tcMar>
          </w:tcPr>
          <w:p>
            <w:pPr>
              <w:jc w:val="left"/>
            </w:pPr>
            <w:r/>
            <w:r>
              <w:rPr>
                <w:rFonts w:ascii="Aptos" w:hAnsi="Aptos"/>
                <w:b w:val="0"/>
                <w:color w:val="1F2937"/>
                <w:sz w:val="18"/>
              </w:rPr>
              <w:t>Consent, retention, audit, data residency</w:t>
            </w:r>
          </w:p>
        </w:tc>
      </w:tr>
    </w:tbl>
    <w:p>
      <w:pPr>
        <w:spacing w:after="40"/>
      </w:pPr>
    </w:p>
    <w:p>
      <w:pPr>
        <w:pStyle w:val="Heading1"/>
        <w:keepNext/>
      </w:pPr>
      <w:r>
        <w:t>15. Architecture Review Checklist</w:t>
      </w:r>
    </w:p>
    <w:p>
      <w:pPr>
        <w:pStyle w:val="ListNumber"/>
        <w:spacing w:after="60"/>
      </w:pPr>
      <w:r>
        <w:rPr>
          <w:rFonts w:ascii="Aptos" w:hAnsi="Aptos"/>
          <w:color w:val="1F2937"/>
          <w:sz w:val="21"/>
        </w:rPr>
        <w:t>Is the API already available in the catalog, and is reuse appropriate?</w:t>
      </w:r>
    </w:p>
    <w:p>
      <w:pPr>
        <w:pStyle w:val="ListNumber"/>
        <w:spacing w:after="60"/>
      </w:pPr>
      <w:r>
        <w:rPr>
          <w:rFonts w:ascii="Aptos" w:hAnsi="Aptos"/>
          <w:color w:val="1F2937"/>
          <w:sz w:val="21"/>
        </w:rPr>
        <w:t>Who owns the capability, contract, operation, support, and retirement?</w:t>
      </w:r>
    </w:p>
    <w:p>
      <w:pPr>
        <w:pStyle w:val="ListNumber"/>
        <w:spacing w:after="60"/>
      </w:pPr>
      <w:r>
        <w:rPr>
          <w:rFonts w:ascii="Aptos" w:hAnsi="Aptos"/>
          <w:color w:val="1F2937"/>
          <w:sz w:val="21"/>
        </w:rPr>
        <w:t>Is the interface resource-, command-, event-, stream-, or bulk-oriented?</w:t>
      </w:r>
    </w:p>
    <w:p>
      <w:pPr>
        <w:pStyle w:val="ListNumber"/>
        <w:spacing w:after="60"/>
      </w:pPr>
      <w:r>
        <w:rPr>
          <w:rFonts w:ascii="Aptos" w:hAnsi="Aptos"/>
          <w:color w:val="1F2937"/>
          <w:sz w:val="21"/>
        </w:rPr>
        <w:t>Are examples and error outcomes complete enough for consumer review?</w:t>
      </w:r>
    </w:p>
    <w:p>
      <w:pPr>
        <w:pStyle w:val="ListNumber"/>
        <w:spacing w:after="60"/>
      </w:pPr>
      <w:r>
        <w:rPr>
          <w:rFonts w:ascii="Aptos" w:hAnsi="Aptos"/>
          <w:color w:val="1F2937"/>
          <w:sz w:val="21"/>
        </w:rPr>
        <w:t>What compatibility rules apply, including semantic and operational changes?</w:t>
      </w:r>
    </w:p>
    <w:p>
      <w:pPr>
        <w:pStyle w:val="ListNumber"/>
        <w:spacing w:after="60"/>
      </w:pPr>
      <w:r>
        <w:rPr>
          <w:rFonts w:ascii="Aptos" w:hAnsi="Aptos"/>
          <w:color w:val="1F2937"/>
          <w:sz w:val="21"/>
        </w:rPr>
        <w:t>How will the implementation be tested for conformance and business invariants?</w:t>
      </w:r>
    </w:p>
    <w:p>
      <w:pPr>
        <w:pStyle w:val="ListNumber"/>
        <w:spacing w:after="60"/>
      </w:pPr>
      <w:r>
        <w:rPr>
          <w:rFonts w:ascii="Aptos" w:hAnsi="Aptos"/>
          <w:color w:val="1F2937"/>
          <w:sz w:val="21"/>
        </w:rPr>
        <w:t>What deployment, migration, rollback, and compensation strategy is required?</w:t>
      </w:r>
    </w:p>
    <w:p>
      <w:pPr>
        <w:pStyle w:val="ListNumber"/>
        <w:spacing w:after="60"/>
      </w:pPr>
      <w:r>
        <w:rPr>
          <w:rFonts w:ascii="Aptos" w:hAnsi="Aptos"/>
          <w:color w:val="1F2937"/>
          <w:sz w:val="21"/>
        </w:rPr>
        <w:t>How are consumers and usage identified?</w:t>
      </w:r>
    </w:p>
    <w:p>
      <w:pPr>
        <w:pStyle w:val="ListNumber"/>
        <w:spacing w:after="60"/>
      </w:pPr>
      <w:r>
        <w:rPr>
          <w:rFonts w:ascii="Aptos" w:hAnsi="Aptos"/>
          <w:color w:val="1F2937"/>
          <w:sz w:val="21"/>
        </w:rPr>
        <w:t>What SLO, security classification, rate limits, and observability apply?</w:t>
      </w:r>
    </w:p>
    <w:p>
      <w:pPr>
        <w:pStyle w:val="ListNumber"/>
        <w:spacing w:after="60"/>
      </w:pPr>
      <w:r>
        <w:rPr>
          <w:rFonts w:ascii="Aptos" w:hAnsi="Aptos"/>
          <w:color w:val="1F2937"/>
          <w:sz w:val="21"/>
        </w:rPr>
        <w:t>What is the deprecation policy and minimum evidence before removal?</w:t>
      </w:r>
    </w:p>
    <w:p>
      <w:pPr>
        <w:pStyle w:val="Heading1"/>
        <w:keepNext/>
      </w:pPr>
      <w:r>
        <w:t>16. Practice Exercises</w:t>
      </w:r>
    </w:p>
    <w:p>
      <w:pPr>
        <w:pStyle w:val="Heading2"/>
        <w:keepNext/>
      </w:pPr>
      <w:r>
        <w:t>Exercise 1: Breaking REST change</w:t>
      </w:r>
    </w:p>
    <w:p>
      <w:pPr>
        <w:spacing w:after="120" w:line="269" w:lineRule="auto"/>
      </w:pPr>
      <w:r>
        <w:rPr>
          <w:rFonts w:ascii="Aptos" w:hAnsi="Aptos"/>
          <w:color w:val="1F2937"/>
          <w:sz w:val="21"/>
        </w:rPr>
        <w:t>An order API changes estimatedDeliveryMinutes from an integer to a range object. Design a compatible migration, including contract changes, rollout, consumer telemetry, and retirement.</w:t>
      </w:r>
    </w:p>
    <w:p>
      <w:pPr>
        <w:pStyle w:val="Heading2"/>
        <w:keepNext/>
      </w:pPr>
      <w:r>
        <w:t>Exercise 2: GraphQL field retirement</w:t>
      </w:r>
    </w:p>
    <w:p>
      <w:pPr>
        <w:spacing w:after="120" w:line="269" w:lineRule="auto"/>
      </w:pPr>
      <w:r>
        <w:rPr>
          <w:rFonts w:ascii="Aptos" w:hAnsi="Aptos"/>
          <w:color w:val="1F2937"/>
          <w:sz w:val="21"/>
        </w:rPr>
        <w:t>A sensitive patient field is deprecated but still queried by three applications. Define ownership, authorization, usage measurement, migration, and removal steps.</w:t>
      </w:r>
    </w:p>
    <w:p>
      <w:pPr>
        <w:pStyle w:val="Heading2"/>
        <w:keepNext/>
      </w:pPr>
      <w:r>
        <w:t>Exercise 3: Protobuf evolution</w:t>
      </w:r>
    </w:p>
    <w:p>
      <w:pPr>
        <w:spacing w:after="120" w:line="269" w:lineRule="auto"/>
      </w:pPr>
      <w:r>
        <w:rPr>
          <w:rFonts w:ascii="Aptos" w:hAnsi="Aptos"/>
          <w:color w:val="1F2937"/>
          <w:sz w:val="21"/>
        </w:rPr>
        <w:t>A team wants to reuse deleted field number 7 for a new meaning. Explain the risk and propose a compatible schema change.</w:t>
      </w:r>
    </w:p>
    <w:p>
      <w:pPr>
        <w:pStyle w:val="Heading2"/>
        <w:keepNext/>
      </w:pPr>
      <w:r>
        <w:t>Exercise 4: Event semantic change</w:t>
      </w:r>
    </w:p>
    <w:p>
      <w:pPr>
        <w:spacing w:after="120" w:line="269" w:lineRule="auto"/>
      </w:pPr>
      <w:r>
        <w:rPr>
          <w:rFonts w:ascii="Aptos" w:hAnsi="Aptos"/>
          <w:color w:val="1F2937"/>
          <w:sz w:val="21"/>
        </w:rPr>
        <w:t>PaymentCompleted previously meant ledger posting succeeded; the team now wants it to mean external settlement completed. Decide whether to version, introduce a new event, or rename the existing event, and explain replay consequences.</w:t>
      </w:r>
    </w:p>
    <w:p>
      <w:pPr>
        <w:pStyle w:val="Heading2"/>
        <w:keepNext/>
      </w:pPr>
      <w:r>
        <w:t>Exercise 5: Unknown consumer</w:t>
      </w:r>
    </w:p>
    <w:p>
      <w:pPr>
        <w:spacing w:after="120" w:line="269" w:lineRule="auto"/>
      </w:pPr>
      <w:r>
        <w:rPr>
          <w:rFonts w:ascii="Aptos" w:hAnsi="Aptos"/>
          <w:color w:val="1F2937"/>
          <w:sz w:val="21"/>
        </w:rPr>
        <w:t>A deprecated endpoint still receives low monthly traffic from an unidentified client. Define the investigation and retirement decision.</w:t>
      </w:r>
    </w:p>
    <w:p>
      <w:pPr>
        <w:pStyle w:val="Heading1"/>
        <w:keepNext/>
      </w:pPr>
      <w:r>
        <w:t>17. Final Mental Model</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Lifecycle formula</w:t>
            </w:r>
          </w:p>
          <w:p>
            <w:pPr>
              <w:spacing w:after="0" w:line="259" w:lineRule="auto"/>
            </w:pPr>
            <w:r>
              <w:rPr>
                <w:rFonts w:ascii="Aptos" w:hAnsi="Aptos"/>
                <w:color w:val="1F2937"/>
                <w:sz w:val="19"/>
              </w:rPr>
              <w:t>Safe API evolution = explicit ownership + contract-first design + compatibility rules + automated evidence + consumer visibility + operational measurement + disciplined retirement.</w:t>
            </w:r>
          </w:p>
        </w:tc>
      </w:tr>
    </w:tbl>
    <w:p>
      <w:pPr>
        <w:spacing w:after="40"/>
      </w:pPr>
    </w:p>
    <w:p>
      <w:pPr>
        <w:spacing w:after="120" w:line="269" w:lineRule="auto"/>
      </w:pPr>
      <w:r>
        <w:rPr>
          <w:rFonts w:ascii="Aptos" w:hAnsi="Aptos"/>
          <w:color w:val="1F2937"/>
          <w:sz w:val="21"/>
        </w:rPr>
        <w:t>The goal of governance is not uniformity for its own sake. It is to let teams move quickly while preserving consumer trust, domain correctness, security, regulatory obligations, and operability. A well-governed API can evolve for years without forcing coordinated rewrites; a poorly governed API becomes legacy immediately after its first release.</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API Design Series  |  Document 8  |  API Lifecycle and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