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0F6B78"/>
          <w:sz w:val="24"/>
        </w:rPr>
        <w:t>API DESIGN SERIES</w:t>
      </w:r>
    </w:p>
    <w:p>
      <w:pPr>
        <w:spacing w:before="240"/>
        <w:jc w:val="center"/>
      </w:pPr>
      <w:r>
        <w:rPr>
          <w:rFonts w:ascii="Aptos Display" w:hAnsi="Aptos Display"/>
          <w:color w:val="667085"/>
          <w:sz w:val="36"/>
        </w:rPr>
        <w:t>Document 10</w:t>
      </w:r>
    </w:p>
    <w:p>
      <w:pPr>
        <w:spacing w:before="160"/>
        <w:jc w:val="center"/>
      </w:pPr>
      <w:r>
        <w:rPr>
          <w:rFonts w:ascii="Aptos Display" w:hAnsi="Aptos Display"/>
          <w:b/>
          <w:color w:val="17365D"/>
          <w:sz w:val="54"/>
        </w:rPr>
        <w:t>Architecture Decision and Interview Workbook</w:t>
      </w:r>
    </w:p>
    <w:p>
      <w:pPr>
        <w:spacing w:before="280"/>
        <w:jc w:val="center"/>
      </w:pPr>
      <w:r>
        <w:rPr>
          <w:rFonts w:ascii="Aptos" w:hAnsi="Aptos"/>
          <w:color w:val="0F6B78"/>
          <w:sz w:val="26"/>
        </w:rPr>
        <w:t>A practical playbook for selecting, defending, and reviewing API architectures</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Architect outcome</w:t>
            </w:r>
          </w:p>
          <w:p>
            <w:pPr>
              <w:spacing w:after="0" w:line="259" w:lineRule="auto"/>
            </w:pPr>
            <w:r>
              <w:rPr>
                <w:rFonts w:ascii="Aptos" w:hAnsi="Aptos"/>
                <w:color w:val="1F2937"/>
                <w:sz w:val="19"/>
              </w:rPr>
              <w:t>After this workbook, you should be able to structure an ambiguous API-design problem, ask high-value questions, estimate scale, choose API styles per workflow, defend consistency and security decisions, identify failure modes, and communicate tradeoffs clearly in architecture reviews and interviews.</w:t>
            </w:r>
          </w:p>
        </w:tc>
      </w:tr>
    </w:tbl>
    <w:p>
      <w:pPr>
        <w:spacing w:after="40"/>
      </w:pPr>
    </w:p>
    <w:p>
      <w:pPr>
        <w:spacing w:before="680"/>
        <w:jc w:val="center"/>
      </w:pPr>
      <w:r>
        <w:rPr>
          <w:rFonts w:ascii="Aptos" w:hAnsi="Aptos"/>
          <w:i/>
          <w:color w:val="667085"/>
          <w:sz w:val="21"/>
        </w:rPr>
        <w:t>Includes decision templates, model answers, scoring rubrics, and practice scenarios</w:t>
      </w:r>
    </w:p>
    <w:p>
      <w:r>
        <w:br w:type="page"/>
      </w:r>
    </w:p>
    <w:p>
      <w:pPr>
        <w:pStyle w:val="Heading1"/>
        <w:keepNext/>
      </w:pPr>
      <w:r>
        <w:t>1. The Architect Answer Framework</w:t>
      </w:r>
    </w:p>
    <w:p>
      <w:pPr>
        <w:spacing w:after="120" w:line="269" w:lineRule="auto"/>
      </w:pPr>
      <w:r>
        <w:rPr>
          <w:rFonts w:ascii="Aptos" w:hAnsi="Aptos"/>
          <w:color w:val="1F2937"/>
          <w:sz w:val="21"/>
        </w:rPr>
        <w:t>Strong answers do not begin with a protocol. They begin by converting an ambiguous business problem into explicit workloads, invariants, trust boundaries, failure consequences, and operational targets. Technology selection follows from those constraints.</w:t>
      </w:r>
    </w:p>
    <w:p>
      <w:pPr>
        <w:pStyle w:val="Heading2"/>
        <w:keepNext/>
      </w:pPr>
      <w:r>
        <w:t>1.1 The eight-part answer</w:t>
      </w:r>
    </w:p>
    <w:p>
      <w:pPr>
        <w:pStyle w:val="ListNumber"/>
        <w:spacing w:after="60"/>
      </w:pPr>
      <w:r>
        <w:rPr>
          <w:rFonts w:ascii="Aptos" w:hAnsi="Aptos"/>
          <w:color w:val="1F2937"/>
          <w:sz w:val="20"/>
        </w:rPr>
        <w:t>Clarify actors, workflows, system boundaries, and whether consumers are internal, external, browser, mobile, device, or partner systems.</w:t>
      </w:r>
    </w:p>
    <w:p>
      <w:pPr>
        <w:pStyle w:val="ListNumber"/>
        <w:spacing w:after="60"/>
      </w:pPr>
      <w:r>
        <w:rPr>
          <w:rFonts w:ascii="Aptos" w:hAnsi="Aptos"/>
          <w:color w:val="1F2937"/>
          <w:sz w:val="20"/>
        </w:rPr>
        <w:t>Estimate workload: active users, peak requests per second, burst factor, payload sizes, read/write ratio, streaming connections, and geographic distribution.</w:t>
      </w:r>
    </w:p>
    <w:p>
      <w:pPr>
        <w:pStyle w:val="ListNumber"/>
        <w:spacing w:after="60"/>
      </w:pPr>
      <w:r>
        <w:rPr>
          <w:rFonts w:ascii="Aptos" w:hAnsi="Aptos"/>
          <w:color w:val="1F2937"/>
          <w:sz w:val="20"/>
        </w:rPr>
        <w:t>Define correctness: authoritative state, idempotency, transactional boundaries, consistency, concurrency, ordering, and reconciliation.</w:t>
      </w:r>
    </w:p>
    <w:p>
      <w:pPr>
        <w:pStyle w:val="ListNumber"/>
        <w:spacing w:after="60"/>
      </w:pPr>
      <w:r>
        <w:rPr>
          <w:rFonts w:ascii="Aptos" w:hAnsi="Aptos"/>
          <w:color w:val="1F2937"/>
          <w:sz w:val="20"/>
        </w:rPr>
        <w:t>Classify interactions as query, command, event, stream, webhook, or bulk transfer.</w:t>
      </w:r>
    </w:p>
    <w:p>
      <w:pPr>
        <w:pStyle w:val="ListNumber"/>
        <w:spacing w:after="60"/>
      </w:pPr>
      <w:r>
        <w:rPr>
          <w:rFonts w:ascii="Aptos" w:hAnsi="Aptos"/>
          <w:color w:val="1F2937"/>
          <w:sz w:val="20"/>
        </w:rPr>
        <w:t>Choose an API style per interaction and explain why simpler alternatives are insufficient.</w:t>
      </w:r>
    </w:p>
    <w:p>
      <w:pPr>
        <w:pStyle w:val="ListNumber"/>
        <w:spacing w:after="60"/>
      </w:pPr>
      <w:r>
        <w:rPr>
          <w:rFonts w:ascii="Aptos" w:hAnsi="Aptos"/>
          <w:color w:val="1F2937"/>
          <w:sz w:val="20"/>
        </w:rPr>
        <w:t>Design security: authentication, resource authorization, tenant isolation, sensitive-data handling, consent, audit, and abuse controls.</w:t>
      </w:r>
    </w:p>
    <w:p>
      <w:pPr>
        <w:pStyle w:val="ListNumber"/>
        <w:spacing w:after="60"/>
      </w:pPr>
      <w:r>
        <w:rPr>
          <w:rFonts w:ascii="Aptos" w:hAnsi="Aptos"/>
          <w:color w:val="1F2937"/>
          <w:sz w:val="20"/>
        </w:rPr>
        <w:t>Design failure behavior: timeouts, retries, degradation, queueing, compensation, replay, dead-letter handling, RTO, and RPO.</w:t>
      </w:r>
    </w:p>
    <w:p>
      <w:pPr>
        <w:pStyle w:val="ListNumber"/>
        <w:spacing w:after="60"/>
      </w:pPr>
      <w:r>
        <w:rPr>
          <w:rFonts w:ascii="Aptos" w:hAnsi="Aptos"/>
          <w:color w:val="1F2937"/>
          <w:sz w:val="20"/>
        </w:rPr>
        <w:t>Close with tradeoffs, evolution path, cost, observability, and what you would validate through load or failure testing.</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Communication rule</w:t>
            </w:r>
          </w:p>
          <w:p>
            <w:pPr>
              <w:spacing w:after="0" w:line="259" w:lineRule="auto"/>
            </w:pPr>
            <w:r>
              <w:rPr>
                <w:rFonts w:ascii="Aptos" w:hAnsi="Aptos"/>
                <w:color w:val="1F2937"/>
                <w:sz w:val="19"/>
              </w:rPr>
              <w:t>State assumptions explicitly. A defensible assumption is better than silently inventing precision. Then explain how the design would change if that assumption changes.</w:t>
            </w:r>
          </w:p>
        </w:tc>
      </w:tr>
    </w:tbl>
    <w:p>
      <w:pPr>
        <w:spacing w:after="40"/>
      </w:pPr>
    </w:p>
    <w:p>
      <w:pPr>
        <w:pStyle w:val="Heading2"/>
        <w:keepNext/>
      </w:pPr>
      <w:r>
        <w:t>1.2 Interaction selection card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bottom w:w="110" w:type="dxa"/>
              <w:start w:w="120" w:type="dxa"/>
              <w:end w:w="120" w:type="dxa"/>
            </w:tcMar>
            <w:shd w:fill="17365D"/>
          </w:tcPr>
          <w:p>
            <w:pPr>
              <w:jc w:val="center"/>
            </w:pPr>
            <w:r/>
            <w:r>
              <w:rPr>
                <w:rFonts w:ascii="Aptos" w:hAnsi="Aptos"/>
                <w:b/>
                <w:color w:val="FFFFFF"/>
                <w:sz w:val="18"/>
              </w:rPr>
              <w:t>Interaction</w:t>
            </w:r>
          </w:p>
        </w:tc>
        <w:tc>
          <w:tcPr>
            <w:tcW w:type="dxa" w:w="2376"/>
            <w:vAlign w:val="center"/>
            <w:tcMar>
              <w:top w:w="110" w:type="dxa"/>
              <w:bottom w:w="110" w:type="dxa"/>
              <w:start w:w="120" w:type="dxa"/>
              <w:end w:w="120" w:type="dxa"/>
            </w:tcMar>
            <w:shd w:fill="17365D"/>
          </w:tcPr>
          <w:p>
            <w:pPr>
              <w:jc w:val="center"/>
            </w:pPr>
            <w:r/>
            <w:r>
              <w:rPr>
                <w:rFonts w:ascii="Aptos" w:hAnsi="Aptos"/>
                <w:b/>
                <w:color w:val="FFFFFF"/>
                <w:sz w:val="18"/>
              </w:rPr>
              <w:t>Default</w:t>
            </w:r>
          </w:p>
        </w:tc>
        <w:tc>
          <w:tcPr>
            <w:tcW w:type="dxa" w:w="4824"/>
            <w:vAlign w:val="center"/>
            <w:tcMar>
              <w:top w:w="110" w:type="dxa"/>
              <w:bottom w:w="110" w:type="dxa"/>
              <w:start w:w="120" w:type="dxa"/>
              <w:end w:w="120" w:type="dxa"/>
            </w:tcMar>
            <w:shd w:fill="17365D"/>
          </w:tcPr>
          <w:p>
            <w:pPr>
              <w:jc w:val="center"/>
            </w:pPr>
            <w:r/>
            <w:r>
              <w:rPr>
                <w:rFonts w:ascii="Aptos" w:hAnsi="Aptos"/>
                <w:b/>
                <w:color w:val="FFFFFF"/>
                <w:sz w:val="18"/>
              </w:rPr>
              <w:t>Use another style when...</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External query or CRUD</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REST</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Frontend requires cross-domain flexible composition</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Frontend composition</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BFF or GraphQL</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Views are simple and cacheable; REST is cheaper</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High-volume internal call</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gRPC</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Traffic is modest or public compatibility dominates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Long-running workflow</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Command + events</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The full result is truly immediate and atomic</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One-way client updates</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SSE</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Client must also send frequent real-time messages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Bidirectional real time</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WebSocket</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Durable processing or offline replay is required</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Business event fan-out</w:t>
            </w:r>
          </w:p>
        </w:tc>
        <w:tc>
          <w:tcPr>
            <w:tcW w:type="dxa" w:w="2376"/>
            <w:vAlign w:val="center"/>
            <w:tcMar>
              <w:top w:w="110" w:type="dxa"/>
              <w:bottom w:w="110" w:type="dxa"/>
              <w:start w:w="120" w:type="dxa"/>
              <w:end w:w="120" w:type="dxa"/>
            </w:tcMar>
          </w:tcPr>
          <w:p>
            <w:pPr>
              <w:jc w:val="center"/>
            </w:pPr>
            <w:r/>
            <w:r>
              <w:rPr>
                <w:rFonts w:ascii="Aptos" w:hAnsi="Aptos"/>
                <w:b w:val="0"/>
                <w:color w:val="1F2937"/>
                <w:sz w:val="17"/>
              </w:rPr>
              <w:t>Broker/event log</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Only one external partner needs a callback</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Large export/upload</w:t>
            </w:r>
          </w:p>
        </w:tc>
        <w:tc>
          <w:tcPr>
            <w:tcW w:type="dxa" w:w="2376"/>
            <w:vAlign w:val="center"/>
            <w:tcMar>
              <w:top w:w="110" w:type="dxa"/>
              <w:bottom w:w="110" w:type="dxa"/>
              <w:start w:w="120" w:type="dxa"/>
              <w:end w:w="120" w:type="dxa"/>
            </w:tcMar>
          </w:tcPr>
          <w:p>
            <w:pPr>
              <w:jc w:val="left"/>
            </w:pPr>
            <w:r/>
            <w:r>
              <w:rPr>
                <w:rFonts w:ascii="Aptos" w:hAnsi="Aptos"/>
                <w:b w:val="0"/>
                <w:color w:val="1F2937"/>
                <w:sz w:val="17"/>
              </w:rPr>
              <w:t>Async job + object storage</w:t>
            </w:r>
          </w:p>
        </w:tc>
        <w:tc>
          <w:tcPr>
            <w:tcW w:type="dxa" w:w="4824"/>
            <w:vAlign w:val="center"/>
            <w:tcMar>
              <w:top w:w="110" w:type="dxa"/>
              <w:bottom w:w="110" w:type="dxa"/>
              <w:start w:w="120" w:type="dxa"/>
              <w:end w:w="120" w:type="dxa"/>
            </w:tcMar>
          </w:tcPr>
          <w:p>
            <w:pPr>
              <w:jc w:val="left"/>
            </w:pPr>
            <w:r/>
            <w:r>
              <w:rPr>
                <w:rFonts w:ascii="Aptos" w:hAnsi="Aptos"/>
                <w:b w:val="0"/>
                <w:color w:val="1F2937"/>
                <w:sz w:val="17"/>
              </w:rPr>
              <w:t>Payload is small and bounded</w:t>
            </w:r>
          </w:p>
        </w:tc>
      </w:tr>
    </w:tbl>
    <w:p>
      <w:pPr>
        <w:spacing w:after="40"/>
      </w:pPr>
    </w:p>
    <w:p>
      <w:pPr>
        <w:pStyle w:val="Heading1"/>
        <w:keepNext/>
      </w:pPr>
      <w:r>
        <w:t>2. Requirements Discovery Workbook</w:t>
      </w:r>
    </w:p>
    <w:p>
      <w:pPr>
        <w:pStyle w:val="Heading2"/>
        <w:keepNext/>
      </w:pPr>
      <w:r>
        <w:t>2.1 Questions to ask before drawing architecture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vAlign w:val="center"/>
            <w:tcMar>
              <w:top w:w="110" w:type="dxa"/>
              <w:bottom w:w="110" w:type="dxa"/>
              <w:start w:w="120" w:type="dxa"/>
              <w:end w:w="120" w:type="dxa"/>
            </w:tcMar>
            <w:shd w:fill="17365D"/>
          </w:tcPr>
          <w:p>
            <w:pPr>
              <w:jc w:val="center"/>
            </w:pPr>
            <w:r/>
            <w:r>
              <w:rPr>
                <w:rFonts w:ascii="Aptos" w:hAnsi="Aptos"/>
                <w:b/>
                <w:color w:val="FFFFFF"/>
                <w:sz w:val="18"/>
              </w:rPr>
              <w:t>Dimension</w:t>
            </w:r>
          </w:p>
        </w:tc>
        <w:tc>
          <w:tcPr>
            <w:tcW w:type="dxa" w:w="7488"/>
            <w:vAlign w:val="center"/>
            <w:tcMar>
              <w:top w:w="110" w:type="dxa"/>
              <w:bottom w:w="110" w:type="dxa"/>
              <w:start w:w="120" w:type="dxa"/>
              <w:end w:w="120" w:type="dxa"/>
            </w:tcMar>
            <w:shd w:fill="17365D"/>
          </w:tcPr>
          <w:p>
            <w:pPr>
              <w:jc w:val="center"/>
            </w:pPr>
            <w:r/>
            <w:r>
              <w:rPr>
                <w:rFonts w:ascii="Aptos" w:hAnsi="Aptos"/>
                <w:b/>
                <w:color w:val="FFFFFF"/>
                <w:sz w:val="18"/>
              </w:rPr>
              <w:t>High-value questions</w:t>
            </w:r>
          </w:p>
        </w:tc>
      </w:tr>
      <w:tr>
        <w:tc>
          <w:tcPr>
            <w:tcW w:type="dxa" w:w="2088"/>
            <w:vAlign w:val="center"/>
            <w:tcMar>
              <w:top w:w="110" w:type="dxa"/>
              <w:bottom w:w="110" w:type="dxa"/>
              <w:start w:w="120" w:type="dxa"/>
              <w:end w:w="120" w:type="dxa"/>
            </w:tcMar>
          </w:tcPr>
          <w:p>
            <w:pPr>
              <w:jc w:val="left"/>
            </w:pPr>
            <w:r/>
            <w:r>
              <w:rPr>
                <w:rFonts w:ascii="Aptos" w:hAnsi="Aptos"/>
                <w:b w:val="0"/>
                <w:color w:val="1F2937"/>
                <w:sz w:val="17"/>
              </w:rPr>
              <w:t>Users and consumers</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Who calls the API? Who controls the clients? Are integrations public, partner, or internal?</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Workflow</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What must happen synchronously? What can complete later? What is the user-visible state machine?</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Scale</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Peak RPS, concurrent connections, events/sec, payload size, burst duration, growth, regions?</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Correctness</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Which duplicate, stale, lost, or reordered outcomes are unacceptable?</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Security</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What identities, tenants, resources, consent, regulations, and audit evidence apply?</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Availability</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SLO, latency target, degraded mode, dependency criticality, RTO, and RPO?</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Data</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Authoritative store, query patterns, retention, export volume, and freshness tolerance?</w:t>
            </w:r>
          </w:p>
        </w:tc>
      </w:tr>
      <w:tr>
        <w:tc>
          <w:tcPr>
            <w:tcW w:type="dxa" w:w="2088"/>
            <w:vAlign w:val="center"/>
            <w:tcMar>
              <w:top w:w="110" w:type="dxa"/>
              <w:bottom w:w="110" w:type="dxa"/>
              <w:start w:w="120" w:type="dxa"/>
              <w:end w:w="120" w:type="dxa"/>
            </w:tcMar>
          </w:tcPr>
          <w:p>
            <w:pPr>
              <w:jc w:val="center"/>
            </w:pPr>
            <w:r/>
            <w:r>
              <w:rPr>
                <w:rFonts w:ascii="Aptos" w:hAnsi="Aptos"/>
                <w:b w:val="0"/>
                <w:color w:val="1F2937"/>
                <w:sz w:val="17"/>
              </w:rPr>
              <w:t>Evolution</w:t>
            </w:r>
          </w:p>
        </w:tc>
        <w:tc>
          <w:tcPr>
            <w:tcW w:type="dxa" w:w="7488"/>
            <w:vAlign w:val="center"/>
            <w:tcMar>
              <w:top w:w="110" w:type="dxa"/>
              <w:bottom w:w="110" w:type="dxa"/>
              <w:start w:w="120" w:type="dxa"/>
              <w:end w:w="120" w:type="dxa"/>
            </w:tcMar>
          </w:tcPr>
          <w:p>
            <w:pPr>
              <w:jc w:val="left"/>
            </w:pPr>
            <w:r/>
            <w:r>
              <w:rPr>
                <w:rFonts w:ascii="Aptos" w:hAnsi="Aptos"/>
                <w:b w:val="0"/>
                <w:color w:val="1F2937"/>
                <w:sz w:val="17"/>
              </w:rPr>
              <w:t>Who owns the contract? How long must old clients continue to work?</w:t>
            </w:r>
          </w:p>
        </w:tc>
      </w:tr>
    </w:tbl>
    <w:p>
      <w:pPr>
        <w:spacing w:after="40"/>
      </w:pPr>
    </w:p>
    <w:p>
      <w:pPr>
        <w:pStyle w:val="Heading2"/>
        <w:keepNext/>
      </w:pPr>
      <w:r>
        <w:t>2.2 Constraint worksheet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110" w:type="dxa"/>
              <w:bottom w:w="110" w:type="dxa"/>
              <w:start w:w="120" w:type="dxa"/>
              <w:end w:w="120" w:type="dxa"/>
            </w:tcMar>
            <w:shd w:fill="17365D"/>
          </w:tcPr>
          <w:p>
            <w:pPr>
              <w:jc w:val="center"/>
            </w:pPr>
            <w:r/>
            <w:r>
              <w:rPr>
                <w:rFonts w:ascii="Aptos" w:hAnsi="Aptos"/>
                <w:b/>
                <w:color w:val="FFFFFF"/>
                <w:sz w:val="18"/>
              </w:rPr>
              <w:t>Constraint</w:t>
            </w:r>
          </w:p>
        </w:tc>
        <w:tc>
          <w:tcPr>
            <w:tcW w:type="dxa" w:w="3168"/>
            <w:vAlign w:val="center"/>
            <w:tcMar>
              <w:top w:w="110" w:type="dxa"/>
              <w:bottom w:w="110" w:type="dxa"/>
              <w:start w:w="120" w:type="dxa"/>
              <w:end w:w="120" w:type="dxa"/>
            </w:tcMar>
            <w:shd w:fill="17365D"/>
          </w:tcPr>
          <w:p>
            <w:pPr>
              <w:jc w:val="center"/>
            </w:pPr>
            <w:r/>
            <w:r>
              <w:rPr>
                <w:rFonts w:ascii="Aptos" w:hAnsi="Aptos"/>
                <w:b/>
                <w:color w:val="FFFFFF"/>
                <w:sz w:val="18"/>
              </w:rPr>
              <w:t>Example answer</w:t>
            </w:r>
          </w:p>
        </w:tc>
        <w:tc>
          <w:tcPr>
            <w:tcW w:type="dxa" w:w="4464"/>
            <w:vAlign w:val="center"/>
            <w:tcMar>
              <w:top w:w="110" w:type="dxa"/>
              <w:bottom w:w="110" w:type="dxa"/>
              <w:start w:w="120" w:type="dxa"/>
              <w:end w:w="120" w:type="dxa"/>
            </w:tcMar>
            <w:shd w:fill="17365D"/>
          </w:tcPr>
          <w:p>
            <w:pPr>
              <w:jc w:val="center"/>
            </w:pPr>
            <w:r/>
            <w:r>
              <w:rPr>
                <w:rFonts w:ascii="Aptos" w:hAnsi="Aptos"/>
                <w:b/>
                <w:color w:val="FFFFFF"/>
                <w:sz w:val="18"/>
              </w:rPr>
              <w:t>Architectural consequence</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Peak traffic</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8,000 external RPS; 5x dinner burst</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Autoscaling, caching, queue protection</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Latency</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P95 &lt; 300 ms for menu reads</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CDN, bounded composition, no deep serial chain</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Consistency</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No duplicate financial transfer</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Idempotency store and ledger invariant</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Durability</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Order workflow must survive service outage</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Outbox and durable broker</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Freshness</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Driver position may be 5 seconds old</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Latest-value cache and timestamp</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Interoperability</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Multiple hospitals exchange data</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FHIR-based external contract</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Privacy</w:t>
            </w:r>
          </w:p>
        </w:tc>
        <w:tc>
          <w:tcPr>
            <w:tcW w:type="dxa" w:w="3168"/>
            <w:vAlign w:val="center"/>
            <w:tcMar>
              <w:top w:w="110" w:type="dxa"/>
              <w:bottom w:w="110" w:type="dxa"/>
              <w:start w:w="120" w:type="dxa"/>
              <w:end w:w="120" w:type="dxa"/>
            </w:tcMar>
          </w:tcPr>
          <w:p>
            <w:pPr>
              <w:jc w:val="left"/>
            </w:pPr>
            <w:r/>
            <w:r>
              <w:rPr>
                <w:rFonts w:ascii="Aptos" w:hAnsi="Aptos"/>
                <w:b w:val="0"/>
                <w:color w:val="1F2937"/>
                <w:sz w:val="17"/>
              </w:rPr>
              <w:t>Clinical data is purpose-restricted</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Contextual authorization and audit</w:t>
            </w:r>
          </w:p>
        </w:tc>
      </w:tr>
    </w:tbl>
    <w:p>
      <w:pPr>
        <w:spacing w:after="40"/>
      </w:pPr>
    </w:p>
    <w:p>
      <w:pPr>
        <w:pStyle w:val="Heading1"/>
        <w:keepNext/>
      </w:pPr>
      <w:r>
        <w:t>3. Capacity Estimation Practice</w:t>
      </w:r>
    </w:p>
    <w:p>
      <w:pPr>
        <w:pStyle w:val="Heading2"/>
        <w:keepNext/>
      </w:pPr>
      <w:r>
        <w:t>3.1 Convert users into workload</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Peak RPS = peak active users x actions per active user per second</w:t>
              <w:br/>
            </w:r>
            <w:r>
              <w:rPr>
                <w:rFonts w:ascii="Consolas" w:hAnsi="Consolas"/>
                <w:color w:val="253858"/>
                <w:sz w:val="16"/>
              </w:rPr>
              <w:t>Internal RPS = external RPS x average downstream calls</w:t>
              <w:br/>
            </w:r>
            <w:r>
              <w:rPr>
                <w:rFonts w:ascii="Consolas" w:hAnsi="Consolas"/>
                <w:color w:val="253858"/>
                <w:sz w:val="16"/>
              </w:rPr>
              <w:t>Bandwidth/sec = requests/sec x average request+response bytes</w:t>
              <w:br/>
            </w:r>
            <w:r>
              <w:rPr>
                <w:rFonts w:ascii="Consolas" w:hAnsi="Consolas"/>
                <w:color w:val="253858"/>
                <w:sz w:val="16"/>
              </w:rPr>
              <w:t>Concurrent streams = connected users x real-time adoption</w:t>
              <w:br/>
            </w:r>
            <w:r>
              <w:rPr>
                <w:rFonts w:ascii="Consolas" w:hAnsi="Consolas"/>
                <w:color w:val="253858"/>
                <w:sz w:val="16"/>
              </w:rPr>
              <w:t>Event ingress = producers x events per producer per second</w:t>
            </w:r>
          </w:p>
        </w:tc>
      </w:tr>
    </w:tbl>
    <w:p>
      <w:pPr>
        <w:spacing w:after="40"/>
      </w:pPr>
    </w:p>
    <w:p>
      <w:pPr>
        <w:spacing w:after="120" w:line="269" w:lineRule="auto"/>
      </w:pPr>
      <w:r>
        <w:rPr>
          <w:rFonts w:ascii="Aptos" w:hAnsi="Aptos"/>
          <w:color w:val="1F2937"/>
          <w:sz w:val="21"/>
        </w:rPr>
        <w:t>Registered-user count alone is not an API-style threshold. A million mostly inactive users may be easy; ten thousand devices sending ten readings per second may be demanding.</w:t>
      </w:r>
    </w:p>
    <w:p>
      <w:pPr>
        <w:pStyle w:val="Heading2"/>
        <w:keepNext/>
      </w:pPr>
      <w:r>
        <w:t>3.2 Worked estimate: food delivery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600"/>
            <w:vAlign w:val="center"/>
            <w:tcMar>
              <w:top w:w="110" w:type="dxa"/>
              <w:bottom w:w="110" w:type="dxa"/>
              <w:start w:w="120" w:type="dxa"/>
              <w:end w:w="120" w:type="dxa"/>
            </w:tcMar>
            <w:shd w:fill="17365D"/>
          </w:tcPr>
          <w:p>
            <w:pPr>
              <w:jc w:val="center"/>
            </w:pPr>
            <w:r/>
            <w:r>
              <w:rPr>
                <w:rFonts w:ascii="Aptos" w:hAnsi="Aptos"/>
                <w:b/>
                <w:color w:val="FFFFFF"/>
                <w:sz w:val="18"/>
              </w:rPr>
              <w:t>Input</w:t>
            </w:r>
          </w:p>
        </w:tc>
        <w:tc>
          <w:tcPr>
            <w:tcW w:type="dxa" w:w="5976"/>
            <w:vAlign w:val="center"/>
            <w:tcMar>
              <w:top w:w="110" w:type="dxa"/>
              <w:bottom w:w="110" w:type="dxa"/>
              <w:start w:w="120" w:type="dxa"/>
              <w:end w:w="120" w:type="dxa"/>
            </w:tcMar>
            <w:shd w:fill="17365D"/>
          </w:tcPr>
          <w:p>
            <w:pPr>
              <w:jc w:val="center"/>
            </w:pPr>
            <w:r/>
            <w:r>
              <w:rPr>
                <w:rFonts w:ascii="Aptos" w:hAnsi="Aptos"/>
                <w:b/>
                <w:color w:val="FFFFFF"/>
                <w:sz w:val="18"/>
              </w:rPr>
              <w:t>Assumption</w:t>
            </w:r>
          </w:p>
        </w:tc>
      </w:tr>
      <w:tr>
        <w:tc>
          <w:tcPr>
            <w:tcW w:type="dxa" w:w="3600"/>
            <w:vAlign w:val="center"/>
            <w:tcMar>
              <w:top w:w="110" w:type="dxa"/>
              <w:bottom w:w="110" w:type="dxa"/>
              <w:start w:w="120" w:type="dxa"/>
              <w:end w:w="120" w:type="dxa"/>
            </w:tcMar>
          </w:tcPr>
          <w:p>
            <w:pPr>
              <w:jc w:val="center"/>
            </w:pPr>
            <w:r/>
            <w:r>
              <w:rPr>
                <w:rFonts w:ascii="Aptos" w:hAnsi="Aptos"/>
                <w:b w:val="0"/>
                <w:color w:val="1F2937"/>
                <w:sz w:val="17"/>
              </w:rPr>
              <w:t>Registered users</w:t>
            </w:r>
          </w:p>
        </w:tc>
        <w:tc>
          <w:tcPr>
            <w:tcW w:type="dxa" w:w="5976"/>
            <w:vAlign w:val="center"/>
            <w:tcMar>
              <w:top w:w="110" w:type="dxa"/>
              <w:bottom w:w="110" w:type="dxa"/>
              <w:start w:w="120" w:type="dxa"/>
              <w:end w:w="120" w:type="dxa"/>
            </w:tcMar>
          </w:tcPr>
          <w:p>
            <w:pPr>
              <w:jc w:val="center"/>
            </w:pPr>
            <w:r/>
            <w:r>
              <w:rPr>
                <w:rFonts w:ascii="Aptos" w:hAnsi="Aptos"/>
                <w:b w:val="0"/>
                <w:color w:val="1F2937"/>
                <w:sz w:val="17"/>
              </w:rPr>
              <w:t>1,000,000</w:t>
            </w:r>
          </w:p>
        </w:tc>
      </w:tr>
      <w:tr>
        <w:tc>
          <w:tcPr>
            <w:tcW w:type="dxa" w:w="3600"/>
            <w:vAlign w:val="center"/>
            <w:tcMar>
              <w:top w:w="110" w:type="dxa"/>
              <w:bottom w:w="110" w:type="dxa"/>
              <w:start w:w="120" w:type="dxa"/>
              <w:end w:w="120" w:type="dxa"/>
            </w:tcMar>
          </w:tcPr>
          <w:p>
            <w:pPr>
              <w:jc w:val="center"/>
            </w:pPr>
            <w:r/>
            <w:r>
              <w:rPr>
                <w:rFonts w:ascii="Aptos" w:hAnsi="Aptos"/>
                <w:b w:val="0"/>
                <w:color w:val="1F2937"/>
                <w:sz w:val="17"/>
              </w:rPr>
              <w:t>Peak active users</w:t>
            </w:r>
          </w:p>
        </w:tc>
        <w:tc>
          <w:tcPr>
            <w:tcW w:type="dxa" w:w="5976"/>
            <w:vAlign w:val="center"/>
            <w:tcMar>
              <w:top w:w="110" w:type="dxa"/>
              <w:bottom w:w="110" w:type="dxa"/>
              <w:start w:w="120" w:type="dxa"/>
              <w:end w:w="120" w:type="dxa"/>
            </w:tcMar>
          </w:tcPr>
          <w:p>
            <w:pPr>
              <w:jc w:val="center"/>
            </w:pPr>
            <w:r/>
            <w:r>
              <w:rPr>
                <w:rFonts w:ascii="Aptos" w:hAnsi="Aptos"/>
                <w:b w:val="0"/>
                <w:color w:val="1F2937"/>
                <w:sz w:val="17"/>
              </w:rPr>
              <w:t>40,000</w:t>
            </w:r>
          </w:p>
        </w:tc>
      </w:tr>
      <w:tr>
        <w:tc>
          <w:tcPr>
            <w:tcW w:type="dxa" w:w="3600"/>
            <w:vAlign w:val="center"/>
            <w:tcMar>
              <w:top w:w="110" w:type="dxa"/>
              <w:bottom w:w="110" w:type="dxa"/>
              <w:start w:w="120" w:type="dxa"/>
              <w:end w:w="120" w:type="dxa"/>
            </w:tcMar>
          </w:tcPr>
          <w:p>
            <w:pPr>
              <w:jc w:val="center"/>
            </w:pPr>
            <w:r/>
            <w:r>
              <w:rPr>
                <w:rFonts w:ascii="Aptos" w:hAnsi="Aptos"/>
                <w:b w:val="0"/>
                <w:color w:val="1F2937"/>
                <w:sz w:val="17"/>
              </w:rPr>
              <w:t>Browse frequency</w:t>
            </w:r>
          </w:p>
        </w:tc>
        <w:tc>
          <w:tcPr>
            <w:tcW w:type="dxa" w:w="5976"/>
            <w:vAlign w:val="center"/>
            <w:tcMar>
              <w:top w:w="110" w:type="dxa"/>
              <w:bottom w:w="110" w:type="dxa"/>
              <w:start w:w="120" w:type="dxa"/>
              <w:end w:w="120" w:type="dxa"/>
            </w:tcMar>
          </w:tcPr>
          <w:p>
            <w:pPr>
              <w:jc w:val="left"/>
            </w:pPr>
            <w:r/>
            <w:r>
              <w:rPr>
                <w:rFonts w:ascii="Aptos" w:hAnsi="Aptos"/>
                <w:b w:val="0"/>
                <w:color w:val="1F2937"/>
                <w:sz w:val="17"/>
              </w:rPr>
              <w:t>1 request every 4 seconds</w:t>
            </w:r>
          </w:p>
        </w:tc>
      </w:tr>
      <w:tr>
        <w:tc>
          <w:tcPr>
            <w:tcW w:type="dxa" w:w="3600"/>
            <w:vAlign w:val="center"/>
            <w:tcMar>
              <w:top w:w="110" w:type="dxa"/>
              <w:bottom w:w="110" w:type="dxa"/>
              <w:start w:w="120" w:type="dxa"/>
              <w:end w:w="120" w:type="dxa"/>
            </w:tcMar>
          </w:tcPr>
          <w:p>
            <w:pPr>
              <w:jc w:val="center"/>
            </w:pPr>
            <w:r/>
            <w:r>
              <w:rPr>
                <w:rFonts w:ascii="Aptos" w:hAnsi="Aptos"/>
                <w:b w:val="0"/>
                <w:color w:val="1F2937"/>
                <w:sz w:val="17"/>
              </w:rPr>
              <w:t>Order rate</w:t>
            </w:r>
          </w:p>
        </w:tc>
        <w:tc>
          <w:tcPr>
            <w:tcW w:type="dxa" w:w="5976"/>
            <w:vAlign w:val="center"/>
            <w:tcMar>
              <w:top w:w="110" w:type="dxa"/>
              <w:bottom w:w="110" w:type="dxa"/>
              <w:start w:w="120" w:type="dxa"/>
              <w:end w:w="120" w:type="dxa"/>
            </w:tcMar>
          </w:tcPr>
          <w:p>
            <w:pPr>
              <w:jc w:val="left"/>
            </w:pPr>
            <w:r/>
            <w:r>
              <w:rPr>
                <w:rFonts w:ascii="Aptos" w:hAnsi="Aptos"/>
                <w:b w:val="0"/>
                <w:color w:val="1F2937"/>
                <w:sz w:val="17"/>
              </w:rPr>
              <w:t>500 creates per second at burst</w:t>
            </w:r>
          </w:p>
        </w:tc>
      </w:tr>
      <w:tr>
        <w:tc>
          <w:tcPr>
            <w:tcW w:type="dxa" w:w="3600"/>
            <w:vAlign w:val="center"/>
            <w:tcMar>
              <w:top w:w="110" w:type="dxa"/>
              <w:bottom w:w="110" w:type="dxa"/>
              <w:start w:w="120" w:type="dxa"/>
              <w:end w:w="120" w:type="dxa"/>
            </w:tcMar>
          </w:tcPr>
          <w:p>
            <w:pPr>
              <w:jc w:val="left"/>
            </w:pPr>
            <w:r/>
            <w:r>
              <w:rPr>
                <w:rFonts w:ascii="Aptos" w:hAnsi="Aptos"/>
                <w:b w:val="0"/>
                <w:color w:val="1F2937"/>
                <w:sz w:val="17"/>
              </w:rPr>
              <w:t>Average browse response</w:t>
            </w:r>
          </w:p>
        </w:tc>
        <w:tc>
          <w:tcPr>
            <w:tcW w:type="dxa" w:w="5976"/>
            <w:vAlign w:val="center"/>
            <w:tcMar>
              <w:top w:w="110" w:type="dxa"/>
              <w:bottom w:w="110" w:type="dxa"/>
              <w:start w:w="120" w:type="dxa"/>
              <w:end w:w="120" w:type="dxa"/>
            </w:tcMar>
          </w:tcPr>
          <w:p>
            <w:pPr>
              <w:jc w:val="left"/>
            </w:pPr>
            <w:r/>
            <w:r>
              <w:rPr>
                <w:rFonts w:ascii="Aptos" w:hAnsi="Aptos"/>
                <w:b w:val="0"/>
                <w:color w:val="1F2937"/>
                <w:sz w:val="17"/>
              </w:rPr>
              <w:t>8 KB after compression</w:t>
            </w:r>
          </w:p>
        </w:tc>
      </w:tr>
      <w:tr>
        <w:tc>
          <w:tcPr>
            <w:tcW w:type="dxa" w:w="3600"/>
            <w:vAlign w:val="center"/>
            <w:tcMar>
              <w:top w:w="110" w:type="dxa"/>
              <w:bottom w:w="110" w:type="dxa"/>
              <w:start w:w="120" w:type="dxa"/>
              <w:end w:w="120" w:type="dxa"/>
            </w:tcMar>
          </w:tcPr>
          <w:p>
            <w:pPr>
              <w:jc w:val="center"/>
            </w:pPr>
            <w:r/>
            <w:r>
              <w:rPr>
                <w:rFonts w:ascii="Aptos" w:hAnsi="Aptos"/>
                <w:b w:val="0"/>
                <w:color w:val="1F2937"/>
                <w:sz w:val="17"/>
              </w:rPr>
              <w:t>Driver connections</w:t>
            </w:r>
          </w:p>
        </w:tc>
        <w:tc>
          <w:tcPr>
            <w:tcW w:type="dxa" w:w="5976"/>
            <w:vAlign w:val="center"/>
            <w:tcMar>
              <w:top w:w="110" w:type="dxa"/>
              <w:bottom w:w="110" w:type="dxa"/>
              <w:start w:w="120" w:type="dxa"/>
              <w:end w:w="120" w:type="dxa"/>
            </w:tcMar>
          </w:tcPr>
          <w:p>
            <w:pPr>
              <w:jc w:val="left"/>
            </w:pPr>
            <w:r/>
            <w:r>
              <w:rPr>
                <w:rFonts w:ascii="Aptos" w:hAnsi="Aptos"/>
                <w:b w:val="0"/>
                <w:color w:val="1F2937"/>
                <w:sz w:val="17"/>
              </w:rPr>
              <w:t>25,000 persistent connections</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Browse RPS = 40,000 / 4 = 10,000 RPS</w:t>
              <w:br/>
            </w:r>
            <w:r>
              <w:rPr>
                <w:rFonts w:ascii="Consolas" w:hAnsi="Consolas"/>
                <w:color w:val="253858"/>
                <w:sz w:val="16"/>
              </w:rPr>
              <w:t>Browse bandwidth ~= 10,000 x 8 KB = 80 MB/sec</w:t>
              <w:br/>
            </w:r>
            <w:r>
              <w:rPr>
                <w:rFonts w:ascii="Consolas" w:hAnsi="Consolas"/>
                <w:color w:val="253858"/>
                <w:sz w:val="16"/>
              </w:rPr>
              <w:t>If each browse call creates 6 backend calls:</w:t>
              <w:br/>
            </w:r>
            <w:r>
              <w:rPr>
                <w:rFonts w:ascii="Consolas" w:hAnsi="Consolas"/>
                <w:color w:val="253858"/>
                <w:sz w:val="16"/>
              </w:rPr>
              <w:t>Internal load = 60,000 calls/sec before cache and aggregation</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Interview insight</w:t>
            </w:r>
          </w:p>
          <w:p>
            <w:pPr>
              <w:spacing w:after="0" w:line="259" w:lineRule="auto"/>
            </w:pPr>
            <w:r>
              <w:rPr>
                <w:rFonts w:ascii="Aptos" w:hAnsi="Aptos"/>
                <w:color w:val="1F2937"/>
                <w:sz w:val="19"/>
              </w:rPr>
              <w:t>After calculating external load, always expose amplification: downstream calls, database queries, broker messages, retries, and fan-out. This is often where architectures fail.</w:t>
            </w:r>
          </w:p>
        </w:tc>
      </w:tr>
    </w:tbl>
    <w:p>
      <w:pPr>
        <w:spacing w:after="40"/>
      </w:pPr>
    </w:p>
    <w:p>
      <w:pPr>
        <w:pStyle w:val="Heading1"/>
        <w:keepNext/>
      </w:pPr>
      <w:r>
        <w:t>4. Architecture Decision Record Template</w:t>
      </w:r>
    </w:p>
    <w:p>
      <w:pPr>
        <w:pStyle w:val="Heading2"/>
        <w:keepNext/>
      </w:pPr>
      <w:r>
        <w:t>4.1 Reusable ADR</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Title: &lt;decision&gt;</w:t>
              <w:br/>
            </w:r>
            <w:r>
              <w:rPr>
                <w:rFonts w:ascii="Consolas" w:hAnsi="Consolas"/>
                <w:color w:val="253858"/>
                <w:sz w:val="16"/>
              </w:rPr>
              <w:t>Status: Proposed | Accepted | Superseded</w:t>
              <w:br/>
            </w:r>
            <w:r>
              <w:rPr>
                <w:rFonts w:ascii="Consolas" w:hAnsi="Consolas"/>
                <w:color w:val="253858"/>
                <w:sz w:val="16"/>
              </w:rPr>
              <w:t>Context: business problem, consumers, workload, constraints</w:t>
              <w:br/>
            </w:r>
            <w:r>
              <w:rPr>
                <w:rFonts w:ascii="Consolas" w:hAnsi="Consolas"/>
                <w:color w:val="253858"/>
                <w:sz w:val="16"/>
              </w:rPr>
              <w:t>Decision drivers: latency, correctness, interoperability, cost, team capability</w:t>
              <w:br/>
            </w:r>
            <w:r>
              <w:rPr>
                <w:rFonts w:ascii="Consolas" w:hAnsi="Consolas"/>
                <w:color w:val="253858"/>
                <w:sz w:val="16"/>
              </w:rPr>
              <w:t>Options considered: REST, GraphQL/BFF, gRPC, events, streaming, batch</w:t>
              <w:br/>
            </w:r>
            <w:r>
              <w:rPr>
                <w:rFonts w:ascii="Consolas" w:hAnsi="Consolas"/>
                <w:color w:val="253858"/>
                <w:sz w:val="16"/>
              </w:rPr>
              <w:t>Decision: selected approach and scope</w:t>
              <w:br/>
            </w:r>
            <w:r>
              <w:rPr>
                <w:rFonts w:ascii="Consolas" w:hAnsi="Consolas"/>
                <w:color w:val="253858"/>
                <w:sz w:val="16"/>
              </w:rPr>
              <w:t>Consequences: benefits, risks, operational cost, migration impact</w:t>
              <w:br/>
            </w:r>
            <w:r>
              <w:rPr>
                <w:rFonts w:ascii="Consolas" w:hAnsi="Consolas"/>
                <w:color w:val="253858"/>
                <w:sz w:val="16"/>
              </w:rPr>
              <w:t>Failure behavior: timeout, retry, duplicate, stale read, outage, recovery</w:t>
              <w:br/>
            </w:r>
            <w:r>
              <w:rPr>
                <w:rFonts w:ascii="Consolas" w:hAnsi="Consolas"/>
                <w:color w:val="253858"/>
                <w:sz w:val="16"/>
              </w:rPr>
              <w:t>Security: identity, authorization, sensitive data, audit</w:t>
              <w:br/>
            </w:r>
            <w:r>
              <w:rPr>
                <w:rFonts w:ascii="Consolas" w:hAnsi="Consolas"/>
                <w:color w:val="253858"/>
                <w:sz w:val="16"/>
              </w:rPr>
              <w:t>Evolution: compatibility, versioning, deprecation</w:t>
              <w:br/>
            </w:r>
            <w:r>
              <w:rPr>
                <w:rFonts w:ascii="Consolas" w:hAnsi="Consolas"/>
                <w:color w:val="253858"/>
                <w:sz w:val="16"/>
              </w:rPr>
              <w:t>Validation: load tests, contract tests, failure tests, metrics</w:t>
              <w:br/>
            </w:r>
            <w:r>
              <w:rPr>
                <w:rFonts w:ascii="Consolas" w:hAnsi="Consolas"/>
                <w:color w:val="253858"/>
                <w:sz w:val="16"/>
              </w:rPr>
              <w:t>Revisit when: measurable trigger or changed assumption</w:t>
            </w:r>
          </w:p>
        </w:tc>
      </w:tr>
    </w:tbl>
    <w:p>
      <w:pPr>
        <w:spacing w:after="40"/>
      </w:pPr>
    </w:p>
    <w:p>
      <w:pPr>
        <w:pStyle w:val="Heading2"/>
        <w:keepNext/>
      </w:pPr>
      <w:r>
        <w:t>4.2 Example decision: GraphQL for mobile composition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vAlign w:val="center"/>
            <w:tcMar>
              <w:top w:w="110" w:type="dxa"/>
              <w:bottom w:w="110" w:type="dxa"/>
              <w:start w:w="120" w:type="dxa"/>
              <w:end w:w="120" w:type="dxa"/>
            </w:tcMar>
            <w:shd w:fill="17365D"/>
          </w:tcPr>
          <w:p>
            <w:pPr>
              <w:jc w:val="center"/>
            </w:pPr>
            <w:r/>
            <w:r>
              <w:rPr>
                <w:rFonts w:ascii="Aptos" w:hAnsi="Aptos"/>
                <w:b/>
                <w:color w:val="FFFFFF"/>
                <w:sz w:val="18"/>
              </w:rPr>
              <w:t>Field</w:t>
            </w:r>
          </w:p>
        </w:tc>
        <w:tc>
          <w:tcPr>
            <w:tcW w:type="dxa" w:w="7632"/>
            <w:vAlign w:val="center"/>
            <w:tcMar>
              <w:top w:w="110" w:type="dxa"/>
              <w:bottom w:w="110" w:type="dxa"/>
              <w:start w:w="120" w:type="dxa"/>
              <w:end w:w="120" w:type="dxa"/>
            </w:tcMar>
            <w:shd w:fill="17365D"/>
          </w:tcPr>
          <w:p>
            <w:pPr>
              <w:jc w:val="center"/>
            </w:pPr>
            <w:r/>
            <w:r>
              <w:rPr>
                <w:rFonts w:ascii="Aptos" w:hAnsi="Aptos"/>
                <w:b/>
                <w:color w:val="FFFFFF"/>
                <w:sz w:val="18"/>
              </w:rPr>
              <w:t>Decision</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Context</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Home screen requires customer, address, offers, restaurants, and active order data.</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Alternatives</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Seven direct REST calls; purpose-built REST BFF; GraphQL BFF.</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Decision</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GraphQL at the controlled mobile BFF only; internal domains remain REST/gRPC.</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Why</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Variable mobile views and reduced round trips justify schema/resolver governance.</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Controls</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Persisted queries, depth/cost limits, DataLoader, field authorization, response budget.</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Not chosen broadly</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Public partner APIs remain REST; payment commands remain explicit REST operations.</w:t>
            </w:r>
          </w:p>
        </w:tc>
      </w:tr>
      <w:tr>
        <w:tc>
          <w:tcPr>
            <w:tcW w:type="dxa" w:w="1944"/>
            <w:vAlign w:val="center"/>
            <w:tcMar>
              <w:top w:w="110" w:type="dxa"/>
              <w:bottom w:w="110" w:type="dxa"/>
              <w:start w:w="120" w:type="dxa"/>
              <w:end w:w="120" w:type="dxa"/>
            </w:tcMar>
          </w:tcPr>
          <w:p>
            <w:pPr>
              <w:jc w:val="center"/>
            </w:pPr>
            <w:r/>
            <w:r>
              <w:rPr>
                <w:rFonts w:ascii="Aptos" w:hAnsi="Aptos"/>
                <w:b w:val="0"/>
                <w:color w:val="1F2937"/>
                <w:sz w:val="17"/>
              </w:rPr>
              <w:t>Revisit trigger</w:t>
            </w:r>
          </w:p>
        </w:tc>
        <w:tc>
          <w:tcPr>
            <w:tcW w:type="dxa" w:w="7632"/>
            <w:vAlign w:val="center"/>
            <w:tcMar>
              <w:top w:w="110" w:type="dxa"/>
              <w:bottom w:w="110" w:type="dxa"/>
              <w:start w:w="120" w:type="dxa"/>
              <w:end w:w="120" w:type="dxa"/>
            </w:tcMar>
          </w:tcPr>
          <w:p>
            <w:pPr>
              <w:jc w:val="left"/>
            </w:pPr>
            <w:r/>
            <w:r>
              <w:rPr>
                <w:rFonts w:ascii="Aptos" w:hAnsi="Aptos"/>
                <w:b w:val="0"/>
                <w:color w:val="1F2937"/>
                <w:sz w:val="17"/>
              </w:rPr>
              <w:t>If query diversity falls and operating cost exceeds value, simplify to fixed BFF endpoints.</w:t>
            </w:r>
          </w:p>
        </w:tc>
      </w:tr>
    </w:tbl>
    <w:p>
      <w:pPr>
        <w:spacing w:after="40"/>
      </w:pPr>
    </w:p>
    <w:p>
      <w:pPr>
        <w:pStyle w:val="Heading1"/>
        <w:keepNext/>
      </w:pPr>
      <w:r>
        <w:t>5. Model Interview Answer: Design a Food-Delivery API</w:t>
      </w:r>
    </w:p>
    <w:p>
      <w:pPr>
        <w:pStyle w:val="Heading2"/>
        <w:keepNext/>
      </w:pPr>
      <w:r>
        <w:t>5.1 Scope and assumptions</w:t>
      </w:r>
    </w:p>
    <w:p>
      <w:pPr>
        <w:pStyle w:val="ListBullet"/>
        <w:spacing w:after="60"/>
      </w:pPr>
      <w:r>
        <w:rPr>
          <w:rFonts w:ascii="Aptos" w:hAnsi="Aptos"/>
          <w:color w:val="1F2937"/>
          <w:sz w:val="20"/>
        </w:rPr>
        <w:t>Customers browse restaurants, place orders, pay, track delivery, and cancel under policy.</w:t>
      </w:r>
    </w:p>
    <w:p>
      <w:pPr>
        <w:pStyle w:val="ListBullet"/>
        <w:spacing w:after="60"/>
      </w:pPr>
      <w:r>
        <w:rPr>
          <w:rFonts w:ascii="Aptos" w:hAnsi="Aptos"/>
          <w:color w:val="1F2937"/>
          <w:sz w:val="20"/>
        </w:rPr>
        <w:t>Restaurants manage menus and accept orders; drivers receive jobs and send location.</w:t>
      </w:r>
    </w:p>
    <w:p>
      <w:pPr>
        <w:pStyle w:val="ListBullet"/>
        <w:spacing w:after="60"/>
      </w:pPr>
      <w:r>
        <w:rPr>
          <w:rFonts w:ascii="Aptos" w:hAnsi="Aptos"/>
          <w:color w:val="1F2937"/>
          <w:sz w:val="20"/>
        </w:rPr>
        <w:t>Assume 10,000 browse RPS at peak, 500 order creates/sec, and 25,000 driver connections.</w:t>
      </w:r>
    </w:p>
    <w:p>
      <w:pPr>
        <w:pStyle w:val="ListBullet"/>
        <w:spacing w:after="60"/>
      </w:pPr>
      <w:r>
        <w:rPr>
          <w:rFonts w:ascii="Aptos" w:hAnsi="Aptos"/>
          <w:color w:val="1F2937"/>
          <w:sz w:val="20"/>
        </w:rPr>
        <w:t>Payment correctness and duplicate-order prevention are critical; menu freshness can tolerate short staleness.</w:t>
      </w:r>
    </w:p>
    <w:p>
      <w:pPr>
        <w:pStyle w:val="Heading2"/>
        <w:keepNext/>
      </w:pPr>
      <w:r>
        <w:t>5.2 Proposed interfaces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bottom w:w="110" w:type="dxa"/>
              <w:start w:w="120" w:type="dxa"/>
              <w:end w:w="120" w:type="dxa"/>
            </w:tcMar>
            <w:shd w:fill="17365D"/>
          </w:tcPr>
          <w:p>
            <w:pPr>
              <w:jc w:val="center"/>
            </w:pPr>
            <w:r/>
            <w:r>
              <w:rPr>
                <w:rFonts w:ascii="Aptos" w:hAnsi="Aptos"/>
                <w:b/>
                <w:color w:val="FFFFFF"/>
                <w:sz w:val="18"/>
              </w:rPr>
              <w:t>Workflow</w:t>
            </w:r>
          </w:p>
        </w:tc>
        <w:tc>
          <w:tcPr>
            <w:tcW w:type="dxa" w:w="2880"/>
            <w:vAlign w:val="center"/>
            <w:tcMar>
              <w:top w:w="110" w:type="dxa"/>
              <w:bottom w:w="110" w:type="dxa"/>
              <w:start w:w="120" w:type="dxa"/>
              <w:end w:w="120" w:type="dxa"/>
            </w:tcMar>
            <w:shd w:fill="17365D"/>
          </w:tcPr>
          <w:p>
            <w:pPr>
              <w:jc w:val="center"/>
            </w:pPr>
            <w:r/>
            <w:r>
              <w:rPr>
                <w:rFonts w:ascii="Aptos" w:hAnsi="Aptos"/>
                <w:b/>
                <w:color w:val="FFFFFF"/>
                <w:sz w:val="18"/>
              </w:rPr>
              <w:t>Interface</w:t>
            </w:r>
          </w:p>
        </w:tc>
        <w:tc>
          <w:tcPr>
            <w:tcW w:type="dxa" w:w="4464"/>
            <w:vAlign w:val="center"/>
            <w:tcMar>
              <w:top w:w="110" w:type="dxa"/>
              <w:bottom w:w="110" w:type="dxa"/>
              <w:start w:w="120" w:type="dxa"/>
              <w:end w:w="120" w:type="dxa"/>
            </w:tcMar>
            <w:shd w:fill="17365D"/>
          </w:tcPr>
          <w:p>
            <w:pPr>
              <w:jc w:val="center"/>
            </w:pPr>
            <w:r/>
            <w:r>
              <w:rPr>
                <w:rFonts w:ascii="Aptos" w:hAnsi="Aptos"/>
                <w:b/>
                <w:color w:val="FFFFFF"/>
                <w:sz w:val="18"/>
              </w:rPr>
              <w:t>Reason</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Menus/restaurants</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REST + CDN</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Read-heavy, cacheable, broad mobile support</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Mobile home</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GraphQL/BFF</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Cross-domain composition and variable views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Create/cancel order</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REST command + idempotency</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Explicit business operation and retry safety</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Internal pricing/risk</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gRPC if measured high volume</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Fixed typed request and controlled clients</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Order workflow</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Events + orchestrator</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Long-running state and compensation</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Driver telemetry</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WebSocket/MQTT</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Frequent bidirectional updates</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Customer status</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SSE/WebSocket</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Low-latency status feed</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Payment provider</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REST + signed webhook</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Partner interoperability and async results</w:t>
            </w:r>
          </w:p>
        </w:tc>
      </w:tr>
    </w:tbl>
    <w:p>
      <w:pPr>
        <w:spacing w:after="40"/>
      </w:pPr>
    </w:p>
    <w:p>
      <w:pPr>
        <w:pStyle w:val="Heading2"/>
        <w:keepNext/>
      </w:pPr>
      <w:r>
        <w:t>5.3 Critical API contracts</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/orders</w:t>
              <w:br/>
            </w:r>
            <w:r>
              <w:rPr>
                <w:rFonts w:ascii="Consolas" w:hAnsi="Consolas"/>
                <w:color w:val="253858"/>
                <w:sz w:val="16"/>
              </w:rPr>
              <w:t>Idempotency-Key: &lt;client-generated-key&gt;</w:t>
              <w:br/>
            </w:r>
            <w:r>
              <w:rPr>
                <w:rFonts w:ascii="Consolas" w:hAnsi="Consolas"/>
                <w:color w:val="253858"/>
                <w:sz w:val="16"/>
              </w:rPr>
              <w:t>If-None-Match: *   # optional create precondition where applicable</w:t>
              <w:br/>
            </w:r>
            <w:r>
              <w:rPr>
                <w:rFonts w:ascii="Consolas" w:hAnsi="Consolas"/>
                <w:color w:val="253858"/>
                <w:sz w:val="16"/>
              </w:rPr>
              <w:br/>
            </w:r>
            <w:r>
              <w:rPr>
                <w:rFonts w:ascii="Consolas" w:hAnsi="Consolas"/>
                <w:color w:val="253858"/>
                <w:sz w:val="16"/>
              </w:rPr>
              <w:t>201 Created</w:t>
              <w:br/>
            </w:r>
            <w:r>
              <w:rPr>
                <w:rFonts w:ascii="Consolas" w:hAnsi="Consolas"/>
                <w:color w:val="253858"/>
                <w:sz w:val="16"/>
              </w:rPr>
              <w:t>Location: /orders/o-781</w:t>
              <w:br/>
            </w:r>
            <w:r>
              <w:rPr>
                <w:rFonts w:ascii="Consolas" w:hAnsi="Consolas"/>
                <w:color w:val="253858"/>
                <w:sz w:val="16"/>
              </w:rPr>
              <w:t>{ "id":"o-781", "status":"PENDING_PAYMENT", "version":1 }</w:t>
              <w:br/>
            </w:r>
            <w:r>
              <w:rPr>
                <w:rFonts w:ascii="Consolas" w:hAnsi="Consolas"/>
                <w:color w:val="253858"/>
                <w:sz w:val="16"/>
              </w:rPr>
              <w:br/>
            </w:r>
            <w:r>
              <w:rPr>
                <w:rFonts w:ascii="Consolas" w:hAnsi="Consolas"/>
                <w:color w:val="253858"/>
                <w:sz w:val="16"/>
              </w:rPr>
              <w:t>POST /orders/o-781/cancel</w:t>
              <w:br/>
            </w:r>
            <w:r>
              <w:rPr>
                <w:rFonts w:ascii="Consolas" w:hAnsi="Consolas"/>
                <w:color w:val="253858"/>
                <w:sz w:val="16"/>
              </w:rPr>
              <w:t>If-Match: "7"</w:t>
              <w:br/>
            </w:r>
            <w:r>
              <w:rPr>
                <w:rFonts w:ascii="Consolas" w:hAnsi="Consolas"/>
                <w:color w:val="253858"/>
                <w:sz w:val="16"/>
              </w:rPr>
              <w:t>{ "reason":"CUSTOMER_REQUEST" }</w:t>
            </w:r>
          </w:p>
        </w:tc>
      </w:tr>
    </w:tbl>
    <w:p>
      <w:pPr>
        <w:spacing w:after="40"/>
      </w:pPr>
    </w:p>
    <w:p>
      <w:pPr>
        <w:pStyle w:val="Heading2"/>
        <w:keepNext/>
      </w:pPr>
      <w:r>
        <w:t>5.4 Failure answer</w:t>
      </w:r>
    </w:p>
    <w:p>
      <w:pPr>
        <w:spacing w:after="120" w:line="269" w:lineRule="auto"/>
      </w:pPr>
      <w:r>
        <w:rPr>
          <w:rFonts w:ascii="Aptos" w:hAnsi="Aptos"/>
          <w:color w:val="1F2937"/>
          <w:sz w:val="21"/>
        </w:rPr>
        <w:t>Persist the order and outbox event atomically. Downstream services consume events idempotently. Payment timeout returns a processing state rather than an invented failure; reconciliation resolves unknown outcomes. Restaurant rejection triggers authorization void. Notification and analytics failures do not fail the order. Queue lag, saga age, duplicate rate, and compensation failures are first-class metrics.</w:t>
      </w:r>
    </w:p>
    <w:p>
      <w:pPr>
        <w:pStyle w:val="Heading2"/>
        <w:keepNext/>
      </w:pPr>
      <w:r>
        <w:t>5.5 Tradeoff statement</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Model conclusion</w:t>
            </w:r>
          </w:p>
          <w:p>
            <w:pPr>
              <w:spacing w:after="0" w:line="259" w:lineRule="auto"/>
            </w:pPr>
            <w:r>
              <w:rPr>
                <w:rFonts w:ascii="Aptos" w:hAnsi="Aptos"/>
                <w:color w:val="1F2937"/>
                <w:sz w:val="19"/>
              </w:rPr>
              <w:t>REST is sufficient for millions of users when the workflow is request-response and the platform scales correctly. Events, streaming, and GraphQL are added only for different interaction semantics: long-running workflow, continuous updates, or frontend composition.</w:t>
            </w:r>
          </w:p>
        </w:tc>
      </w:tr>
    </w:tbl>
    <w:p>
      <w:pPr>
        <w:spacing w:after="40"/>
      </w:pPr>
    </w:p>
    <w:p>
      <w:pPr>
        <w:pStyle w:val="Heading1"/>
        <w:keepNext/>
      </w:pPr>
      <w:r>
        <w:t>6. Model Interview Answer: Design a Healthcare API Platform</w:t>
      </w:r>
    </w:p>
    <w:p>
      <w:pPr>
        <w:pStyle w:val="Heading2"/>
        <w:keepNext/>
      </w:pPr>
      <w:r>
        <w:t>6.1 Primary constraints</w:t>
      </w:r>
    </w:p>
    <w:p>
      <w:pPr>
        <w:pStyle w:val="ListBullet"/>
        <w:spacing w:after="60"/>
      </w:pPr>
      <w:r>
        <w:rPr>
          <w:rFonts w:ascii="Aptos" w:hAnsi="Aptos"/>
          <w:color w:val="1F2937"/>
          <w:sz w:val="20"/>
        </w:rPr>
        <w:t>External interoperability requires standard clinical resources and terminology.</w:t>
      </w:r>
    </w:p>
    <w:p>
      <w:pPr>
        <w:pStyle w:val="ListBullet"/>
        <w:spacing w:after="60"/>
      </w:pPr>
      <w:r>
        <w:rPr>
          <w:rFonts w:ascii="Aptos" w:hAnsi="Aptos"/>
          <w:color w:val="1F2937"/>
          <w:sz w:val="20"/>
        </w:rPr>
        <w:t>Authorization depends on clinician, organization, patient relationship, consent, and purpose of use.</w:t>
      </w:r>
    </w:p>
    <w:p>
      <w:pPr>
        <w:pStyle w:val="ListBullet"/>
        <w:spacing w:after="60"/>
      </w:pPr>
      <w:r>
        <w:rPr>
          <w:rFonts w:ascii="Aptos" w:hAnsi="Aptos"/>
          <w:color w:val="1F2937"/>
          <w:sz w:val="20"/>
        </w:rPr>
        <w:t>Medication and allergy information cannot silently appear fresh when stale or incomplete.</w:t>
      </w:r>
    </w:p>
    <w:p>
      <w:pPr>
        <w:pStyle w:val="ListBullet"/>
        <w:spacing w:after="60"/>
      </w:pPr>
      <w:r>
        <w:rPr>
          <w:rFonts w:ascii="Aptos" w:hAnsi="Aptos"/>
          <w:color w:val="1F2937"/>
          <w:sz w:val="20"/>
        </w:rPr>
        <w:t>Every sensitive read and write requires auditable context and provenance.</w:t>
      </w:r>
    </w:p>
    <w:p>
      <w:pPr>
        <w:pStyle w:val="Heading2"/>
        <w:keepNext/>
      </w:pPr>
      <w:r>
        <w:t>6.2 Architecture choice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Mar>
              <w:top w:w="110" w:type="dxa"/>
              <w:bottom w:w="110" w:type="dxa"/>
              <w:start w:w="120" w:type="dxa"/>
              <w:end w:w="120" w:type="dxa"/>
            </w:tcMar>
            <w:shd w:fill="17365D"/>
          </w:tcPr>
          <w:p>
            <w:pPr>
              <w:jc w:val="center"/>
            </w:pPr>
            <w:r/>
            <w:r>
              <w:rPr>
                <w:rFonts w:ascii="Aptos" w:hAnsi="Aptos"/>
                <w:b/>
                <w:color w:val="FFFFFF"/>
                <w:sz w:val="18"/>
              </w:rPr>
              <w:t>Workflow</w:t>
            </w:r>
          </w:p>
        </w:tc>
        <w:tc>
          <w:tcPr>
            <w:tcW w:type="dxa" w:w="2880"/>
            <w:vAlign w:val="center"/>
            <w:tcMar>
              <w:top w:w="110" w:type="dxa"/>
              <w:bottom w:w="110" w:type="dxa"/>
              <w:start w:w="120" w:type="dxa"/>
              <w:end w:w="120" w:type="dxa"/>
            </w:tcMar>
            <w:shd w:fill="17365D"/>
          </w:tcPr>
          <w:p>
            <w:pPr>
              <w:jc w:val="center"/>
            </w:pPr>
            <w:r/>
            <w:r>
              <w:rPr>
                <w:rFonts w:ascii="Aptos" w:hAnsi="Aptos"/>
                <w:b/>
                <w:color w:val="FFFFFF"/>
                <w:sz w:val="18"/>
              </w:rPr>
              <w:t>Choice</w:t>
            </w:r>
          </w:p>
        </w:tc>
        <w:tc>
          <w:tcPr>
            <w:tcW w:type="dxa" w:w="4464"/>
            <w:vAlign w:val="center"/>
            <w:tcMar>
              <w:top w:w="110" w:type="dxa"/>
              <w:bottom w:w="110" w:type="dxa"/>
              <w:start w:w="120" w:type="dxa"/>
              <w:end w:w="120" w:type="dxa"/>
            </w:tcMar>
            <w:shd w:fill="17365D"/>
          </w:tcPr>
          <w:p>
            <w:pPr>
              <w:jc w:val="center"/>
            </w:pPr>
            <w:r/>
            <w:r>
              <w:rPr>
                <w:rFonts w:ascii="Aptos" w:hAnsi="Aptos"/>
                <w:b/>
                <w:color w:val="FFFFFF"/>
                <w:sz w:val="18"/>
              </w:rPr>
              <w:t>Key controls</w:t>
            </w:r>
          </w:p>
        </w:tc>
      </w:tr>
      <w:tr>
        <w:tc>
          <w:tcPr>
            <w:tcW w:type="dxa" w:w="2232"/>
            <w:vAlign w:val="center"/>
            <w:tcMar>
              <w:top w:w="110" w:type="dxa"/>
              <w:bottom w:w="110" w:type="dxa"/>
              <w:start w:w="120" w:type="dxa"/>
              <w:end w:w="120" w:type="dxa"/>
            </w:tcMar>
          </w:tcPr>
          <w:p>
            <w:pPr>
              <w:jc w:val="left"/>
            </w:pPr>
            <w:r/>
            <w:r>
              <w:rPr>
                <w:rFonts w:ascii="Aptos" w:hAnsi="Aptos"/>
                <w:b w:val="0"/>
                <w:color w:val="1F2937"/>
                <w:sz w:val="17"/>
              </w:rPr>
              <w:t>External clinical exchange</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FHIR REST</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Profiles, validation, terminology, OAuth/OIDC</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Clinician summary</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Controlled BFF/GraphQL</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Field auth, bounded queries, freshness indicators</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Clinical writes</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FHIR REST with ETags</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Optimistic concurrency and provenance</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Notifications</w:t>
            </w:r>
          </w:p>
        </w:tc>
        <w:tc>
          <w:tcPr>
            <w:tcW w:type="dxa" w:w="2880"/>
            <w:vAlign w:val="center"/>
            <w:tcMar>
              <w:top w:w="110" w:type="dxa"/>
              <w:bottom w:w="110" w:type="dxa"/>
              <w:start w:w="120" w:type="dxa"/>
              <w:end w:w="120" w:type="dxa"/>
            </w:tcMar>
          </w:tcPr>
          <w:p>
            <w:pPr>
              <w:jc w:val="left"/>
            </w:pPr>
            <w:r/>
            <w:r>
              <w:rPr>
                <w:rFonts w:ascii="Aptos" w:hAnsi="Aptos"/>
                <w:b w:val="0"/>
                <w:color w:val="1F2937"/>
                <w:sz w:val="17"/>
              </w:rPr>
              <w:t>Durable clinical events</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Minimal payload, secure topics, replay policy</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Device data</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Streaming gateway</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Device identity, sequencing, alarm separation</w:t>
            </w:r>
          </w:p>
        </w:tc>
      </w:tr>
      <w:tr>
        <w:tc>
          <w:tcPr>
            <w:tcW w:type="dxa" w:w="2232"/>
            <w:vAlign w:val="center"/>
            <w:tcMar>
              <w:top w:w="110" w:type="dxa"/>
              <w:bottom w:w="110" w:type="dxa"/>
              <w:start w:w="120" w:type="dxa"/>
              <w:end w:w="120" w:type="dxa"/>
            </w:tcMar>
          </w:tcPr>
          <w:p>
            <w:pPr>
              <w:jc w:val="center"/>
            </w:pPr>
            <w:r/>
            <w:r>
              <w:rPr>
                <w:rFonts w:ascii="Aptos" w:hAnsi="Aptos"/>
                <w:b w:val="0"/>
                <w:color w:val="1F2937"/>
                <w:sz w:val="17"/>
              </w:rPr>
              <w:t>Population export</w:t>
            </w:r>
          </w:p>
        </w:tc>
        <w:tc>
          <w:tcPr>
            <w:tcW w:type="dxa" w:w="2880"/>
            <w:vAlign w:val="center"/>
            <w:tcMar>
              <w:top w:w="110" w:type="dxa"/>
              <w:bottom w:w="110" w:type="dxa"/>
              <w:start w:w="120" w:type="dxa"/>
              <w:end w:w="120" w:type="dxa"/>
            </w:tcMar>
          </w:tcPr>
          <w:p>
            <w:pPr>
              <w:jc w:val="center"/>
            </w:pPr>
            <w:r/>
            <w:r>
              <w:rPr>
                <w:rFonts w:ascii="Aptos" w:hAnsi="Aptos"/>
                <w:b w:val="0"/>
                <w:color w:val="1F2937"/>
                <w:sz w:val="17"/>
              </w:rPr>
              <w:t>Async bulk job</w:t>
            </w:r>
          </w:p>
        </w:tc>
        <w:tc>
          <w:tcPr>
            <w:tcW w:type="dxa" w:w="4464"/>
            <w:vAlign w:val="center"/>
            <w:tcMar>
              <w:top w:w="110" w:type="dxa"/>
              <w:bottom w:w="110" w:type="dxa"/>
              <w:start w:w="120" w:type="dxa"/>
              <w:end w:w="120" w:type="dxa"/>
            </w:tcMar>
          </w:tcPr>
          <w:p>
            <w:pPr>
              <w:jc w:val="left"/>
            </w:pPr>
            <w:r/>
            <w:r>
              <w:rPr>
                <w:rFonts w:ascii="Aptos" w:hAnsi="Aptos"/>
                <w:b w:val="0"/>
                <w:color w:val="1F2937"/>
                <w:sz w:val="17"/>
              </w:rPr>
              <w:t>Cohort auth, manifest, signed URLs, retention</w:t>
            </w:r>
          </w:p>
        </w:tc>
      </w:tr>
    </w:tbl>
    <w:p>
      <w:pPr>
        <w:spacing w:after="40"/>
      </w:pPr>
    </w:p>
    <w:p>
      <w:pPr>
        <w:pStyle w:val="Heading2"/>
        <w:keepNext/>
      </w:pPr>
      <w:r>
        <w:t>6.3 Safety and consistency answer</w:t>
      </w:r>
    </w:p>
    <w:p>
      <w:pPr>
        <w:spacing w:after="120" w:line="269" w:lineRule="auto"/>
      </w:pPr>
      <w:r>
        <w:rPr>
          <w:rFonts w:ascii="Aptos" w:hAnsi="Aptos"/>
          <w:color w:val="1F2937"/>
          <w:sz w:val="21"/>
        </w:rPr>
        <w:t>The source clinical service remains authoritative. Search and analytics projections are eventually consistent and expose freshness. High-risk clinical views either read authoritative state or clearly indicate delay. Break-glass access is explicit, justified, alerted, and reviewed. Device transport acknowledgement is not equivalent to clinical acknowledgement.</w:t>
      </w:r>
    </w:p>
    <w:p>
      <w:pPr>
        <w:pStyle w:val="Heading1"/>
        <w:keepNext/>
      </w:pPr>
      <w:r>
        <w:t>7. Model Interview Answer: Design a Financial Transfer API</w:t>
      </w:r>
    </w:p>
    <w:p>
      <w:pPr>
        <w:pStyle w:val="Heading2"/>
        <w:keepNext/>
      </w:pPr>
      <w:r>
        <w:t>7.1 Core invariant</w:t>
      </w: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Financial invariant</w:t>
            </w:r>
          </w:p>
          <w:p>
            <w:pPr>
              <w:spacing w:after="0" w:line="259" w:lineRule="auto"/>
            </w:pPr>
            <w:r>
              <w:rPr>
                <w:rFonts w:ascii="Aptos" w:hAnsi="Aptos"/>
                <w:color w:val="1F2937"/>
                <w:sz w:val="19"/>
              </w:rPr>
              <w:t>A client retry, proxy retry, service restart, event replay, or provider timeout must not create a second economic transfer. Every posted movement is represented by balanced ledger entries and is reconcilable.</w:t>
            </w:r>
          </w:p>
        </w:tc>
      </w:tr>
    </w:tbl>
    <w:p>
      <w:pPr>
        <w:spacing w:after="40"/>
      </w:pPr>
    </w:p>
    <w:p>
      <w:pPr>
        <w:pStyle w:val="Heading2"/>
        <w:keepNext/>
      </w:pPr>
      <w:r>
        <w:t>7.2 API contract</w:t>
      </w:r>
    </w:p>
    <w:tbl>
      <w:tblPr>
        <w:tblW w:type="auto" w:w="0"/>
        <w:jc w:val="center"/>
        <w:tblLayout w:type="fixed"/>
        <w:tblLook w:firstColumn="1" w:firstRow="1" w:lastColumn="0" w:lastRow="0" w:noHBand="0" w:noVBand="1" w:val="04A0"/>
      </w:tblPr>
      <w:tblGrid>
        <w:gridCol w:w="9576"/>
      </w:tblGrid>
      <w:tr>
        <w:tc>
          <w:tcPr>
            <w:tcW w:type="dxa" w:w="9878"/>
            <w:shd w:fill="F2F4F7"/>
            <w:tcMar>
              <w:top w:w="150" w:type="dxa"/>
              <w:bottom w:w="150" w:type="dxa"/>
              <w:start w:w="160" w:type="dxa"/>
              <w:end w:w="160" w:type="dxa"/>
            </w:tcMar>
          </w:tcPr>
          <w:p>
            <w:r/>
            <w:r>
              <w:rPr>
                <w:rFonts w:ascii="Consolas" w:hAnsi="Consolas"/>
                <w:color w:val="253858"/>
                <w:sz w:val="16"/>
              </w:rPr>
              <w:t>POST /transfers</w:t>
              <w:br/>
            </w:r>
            <w:r>
              <w:rPr>
                <w:rFonts w:ascii="Consolas" w:hAnsi="Consolas"/>
                <w:color w:val="253858"/>
                <w:sz w:val="16"/>
              </w:rPr>
              <w:t>Idempotency-Key: client-77:20260731:000991</w:t>
              <w:br/>
            </w:r>
            <w:r>
              <w:rPr>
                <w:rFonts w:ascii="Consolas" w:hAnsi="Consolas"/>
                <w:color w:val="253858"/>
                <w:sz w:val="16"/>
              </w:rPr>
              <w:br/>
            </w:r>
            <w:r>
              <w:rPr>
                <w:rFonts w:ascii="Consolas" w:hAnsi="Consolas"/>
                <w:color w:val="253858"/>
                <w:sz w:val="16"/>
              </w:rPr>
              <w:t>{</w:t>
              <w:br/>
            </w:r>
            <w:r>
              <w:rPr>
                <w:rFonts w:ascii="Consolas" w:hAnsi="Consolas"/>
                <w:color w:val="253858"/>
                <w:sz w:val="16"/>
              </w:rPr>
              <w:t xml:space="preserve">  "sourceAccountId":"a-100",</w:t>
              <w:br/>
            </w:r>
            <w:r>
              <w:rPr>
                <w:rFonts w:ascii="Consolas" w:hAnsi="Consolas"/>
                <w:color w:val="253858"/>
                <w:sz w:val="16"/>
              </w:rPr>
              <w:t xml:space="preserve">  "destinationToken":"tok-92",</w:t>
              <w:br/>
            </w:r>
            <w:r>
              <w:rPr>
                <w:rFonts w:ascii="Consolas" w:hAnsi="Consolas"/>
                <w:color w:val="253858"/>
                <w:sz w:val="16"/>
              </w:rPr>
              <w:t xml:space="preserve">  "amount":{"currency":"INR","value":"1000.00"}</w:t>
              <w:br/>
            </w:r>
            <w:r>
              <w:rPr>
                <w:rFonts w:ascii="Consolas" w:hAnsi="Consolas"/>
                <w:color w:val="253858"/>
                <w:sz w:val="16"/>
              </w:rPr>
              <w:t>}</w:t>
              <w:br/>
            </w:r>
            <w:r>
              <w:rPr>
                <w:rFonts w:ascii="Consolas" w:hAnsi="Consolas"/>
                <w:color w:val="253858"/>
                <w:sz w:val="16"/>
              </w:rPr>
              <w:br/>
            </w:r>
            <w:r>
              <w:rPr>
                <w:rFonts w:ascii="Consolas" w:hAnsi="Consolas"/>
                <w:color w:val="253858"/>
                <w:sz w:val="16"/>
              </w:rPr>
              <w:t>202 Accepted</w:t>
              <w:br/>
            </w:r>
            <w:r>
              <w:rPr>
                <w:rFonts w:ascii="Consolas" w:hAnsi="Consolas"/>
                <w:color w:val="253858"/>
                <w:sz w:val="16"/>
              </w:rPr>
              <w:t>Location: /transfers/t-551</w:t>
              <w:br/>
            </w:r>
            <w:r>
              <w:rPr>
                <w:rFonts w:ascii="Consolas" w:hAnsi="Consolas"/>
                <w:color w:val="253858"/>
                <w:sz w:val="16"/>
              </w:rPr>
              <w:t>{ "id":"t-551", "status":"PROCESSING" }</w:t>
            </w:r>
          </w:p>
        </w:tc>
      </w:tr>
    </w:tbl>
    <w:p>
      <w:pPr>
        <w:spacing w:after="40"/>
      </w:pPr>
    </w:p>
    <w:p>
      <w:pPr>
        <w:pStyle w:val="Heading2"/>
        <w:keepNext/>
      </w:pPr>
      <w:r>
        <w:t>7.3 State model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736"/>
            <w:vAlign w:val="center"/>
            <w:tcMar>
              <w:top w:w="110" w:type="dxa"/>
              <w:bottom w:w="110" w:type="dxa"/>
              <w:start w:w="120" w:type="dxa"/>
              <w:end w:w="120" w:type="dxa"/>
            </w:tcMar>
            <w:shd w:fill="17365D"/>
          </w:tcPr>
          <w:p>
            <w:pPr>
              <w:jc w:val="center"/>
            </w:pPr>
            <w:r/>
            <w:r>
              <w:rPr>
                <w:rFonts w:ascii="Aptos" w:hAnsi="Aptos"/>
                <w:b/>
                <w:color w:val="FFFFFF"/>
                <w:sz w:val="18"/>
              </w:rPr>
              <w:t>State</w:t>
            </w:r>
          </w:p>
        </w:tc>
        <w:tc>
          <w:tcPr>
            <w:tcW w:type="dxa" w:w="6840"/>
            <w:vAlign w:val="center"/>
            <w:tcMar>
              <w:top w:w="110" w:type="dxa"/>
              <w:bottom w:w="110" w:type="dxa"/>
              <w:start w:w="120" w:type="dxa"/>
              <w:end w:w="120" w:type="dxa"/>
            </w:tcMar>
            <w:shd w:fill="17365D"/>
          </w:tcPr>
          <w:p>
            <w:pPr>
              <w:jc w:val="center"/>
            </w:pPr>
            <w:r/>
            <w:r>
              <w:rPr>
                <w:rFonts w:ascii="Aptos" w:hAnsi="Aptos"/>
                <w:b/>
                <w:color w:val="FFFFFF"/>
                <w:sz w:val="18"/>
              </w:rPr>
              <w:t>Meaning</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RECEIVED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Authenticated request durably accepted</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VALIDATED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Schema, authorization, limits, and policy passed</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FUNDS_RESERVED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Funds protected from competing use</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LEDGER_POSTED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Authoritative accounting entries committed</w:t>
            </w:r>
          </w:p>
        </w:tc>
      </w:tr>
      <w:tr>
        <w:tc>
          <w:tcPr>
            <w:tcW w:type="dxa" w:w="2736"/>
            <w:vAlign w:val="center"/>
            <w:tcMar>
              <w:top w:w="110" w:type="dxa"/>
              <w:bottom w:w="110" w:type="dxa"/>
              <w:start w:w="120" w:type="dxa"/>
              <w:end w:w="120" w:type="dxa"/>
            </w:tcMar>
          </w:tcPr>
          <w:p>
            <w:pPr>
              <w:jc w:val="left"/>
            </w:pPr>
            <w:r/>
            <w:r>
              <w:rPr>
                <w:rFonts w:ascii="Aptos" w:hAnsi="Aptos"/>
                <w:b w:val="0"/>
                <w:color w:val="1F2937"/>
                <w:sz w:val="17"/>
              </w:rPr>
              <w:t>SETTLEMENT_SUBMITTED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External rail accepted instruction</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SETTLED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External completion confirmed</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REJECTED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No transfer completed</w:t>
            </w:r>
          </w:p>
        </w:tc>
      </w:tr>
      <w:tr>
        <w:tc>
          <w:tcPr>
            <w:tcW w:type="dxa" w:w="2736"/>
            <w:vAlign w:val="center"/>
            <w:tcMar>
              <w:top w:w="110" w:type="dxa"/>
              <w:bottom w:w="110" w:type="dxa"/>
              <w:start w:w="120" w:type="dxa"/>
              <w:end w:w="120" w:type="dxa"/>
            </w:tcMar>
          </w:tcPr>
          <w:p>
            <w:pPr>
              <w:jc w:val="center"/>
            </w:pPr>
            <w:r/>
            <w:r>
              <w:rPr>
                <w:rFonts w:ascii="Aptos" w:hAnsi="Aptos"/>
                <w:b w:val="0"/>
                <w:color w:val="1F2937"/>
                <w:sz w:val="17"/>
              </w:rPr>
              <w:t>REVERSED</w:t>
            </w:r>
          </w:p>
        </w:tc>
        <w:tc>
          <w:tcPr>
            <w:tcW w:type="dxa" w:w="6840"/>
            <w:vAlign w:val="center"/>
            <w:tcMar>
              <w:top w:w="110" w:type="dxa"/>
              <w:bottom w:w="110" w:type="dxa"/>
              <w:start w:w="120" w:type="dxa"/>
              <w:end w:w="120" w:type="dxa"/>
            </w:tcMar>
          </w:tcPr>
          <w:p>
            <w:pPr>
              <w:jc w:val="left"/>
            </w:pPr>
            <w:r/>
            <w:r>
              <w:rPr>
                <w:rFonts w:ascii="Aptos" w:hAnsi="Aptos"/>
                <w:b w:val="0"/>
                <w:color w:val="1F2937"/>
                <w:sz w:val="17"/>
              </w:rPr>
              <w:t>Compensating accounting operation recorded</w:t>
            </w:r>
          </w:p>
        </w:tc>
      </w:tr>
    </w:tbl>
    <w:p>
      <w:pPr>
        <w:spacing w:after="40"/>
      </w:pPr>
    </w:p>
    <w:p>
      <w:pPr>
        <w:pStyle w:val="Heading2"/>
        <w:keepNext/>
      </w:pPr>
      <w:r>
        <w:t>7.4 Unknown outcome handling</w:t>
      </w:r>
    </w:p>
    <w:p>
      <w:pPr>
        <w:spacing w:after="120" w:line="269" w:lineRule="auto"/>
      </w:pPr>
      <w:r>
        <w:rPr>
          <w:rFonts w:ascii="Aptos" w:hAnsi="Aptos"/>
          <w:color w:val="1F2937"/>
          <w:sz w:val="21"/>
        </w:rPr>
        <w:t>A provider timeout is not automatically failure. The transfer enters an unknown or processing state, the same provider idempotency key is reused, status is queried, and reconciliation files resolve discrepancies. Never issue a new economic command simply because the original HTTP response was lost.</w:t>
      </w:r>
    </w:p>
    <w:p>
      <w:pPr>
        <w:pStyle w:val="Heading1"/>
        <w:keepNext/>
      </w:pPr>
      <w:r>
        <w:t>8. Tradeoff Questions and Model Responses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20"/>
            <w:vAlign w:val="center"/>
            <w:tcMar>
              <w:top w:w="110" w:type="dxa"/>
              <w:bottom w:w="110" w:type="dxa"/>
              <w:start w:w="120" w:type="dxa"/>
              <w:end w:w="120" w:type="dxa"/>
            </w:tcMar>
            <w:shd w:fill="17365D"/>
          </w:tcPr>
          <w:p>
            <w:pPr>
              <w:jc w:val="center"/>
            </w:pPr>
            <w:r/>
            <w:r>
              <w:rPr>
                <w:rFonts w:ascii="Aptos" w:hAnsi="Aptos"/>
                <w:b/>
                <w:color w:val="FFFFFF"/>
                <w:sz w:val="18"/>
              </w:rPr>
              <w:t>Question</w:t>
            </w:r>
          </w:p>
        </w:tc>
        <w:tc>
          <w:tcPr>
            <w:tcW w:type="dxa" w:w="7056"/>
            <w:vAlign w:val="center"/>
            <w:tcMar>
              <w:top w:w="110" w:type="dxa"/>
              <w:bottom w:w="110" w:type="dxa"/>
              <w:start w:w="120" w:type="dxa"/>
              <w:end w:w="120" w:type="dxa"/>
            </w:tcMar>
            <w:shd w:fill="17365D"/>
          </w:tcPr>
          <w:p>
            <w:pPr>
              <w:jc w:val="center"/>
            </w:pPr>
            <w:r/>
            <w:r>
              <w:rPr>
                <w:rFonts w:ascii="Aptos" w:hAnsi="Aptos"/>
                <w:b/>
                <w:color w:val="FFFFFF"/>
                <w:sz w:val="18"/>
              </w:rPr>
              <w:t>Strong answer</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REST or gRPC?</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Choose by boundary and workload. REST favors public compatibility and caching; gRPC favors controlled, fixed, high-volume internal calls. Measure before optimizing.</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REST or GraphQL?</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GraphQL helps variable frontend composition; fixed business commands and cacheable resources usually remain simpler in REST.</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Sync or async?</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Sync for immediate decisions within a bounded latency budget; async for long-running workflows, fan-out, outage tolerance, and independent consumers.</w:t>
            </w:r>
          </w:p>
        </w:tc>
      </w:tr>
      <w:tr>
        <w:tc>
          <w:tcPr>
            <w:tcW w:type="dxa" w:w="2520"/>
            <w:vAlign w:val="center"/>
            <w:tcMar>
              <w:top w:w="110" w:type="dxa"/>
              <w:bottom w:w="110" w:type="dxa"/>
              <w:start w:w="120" w:type="dxa"/>
              <w:end w:w="120" w:type="dxa"/>
            </w:tcMar>
          </w:tcPr>
          <w:p>
            <w:pPr>
              <w:jc w:val="left"/>
            </w:pPr>
            <w:r/>
            <w:r>
              <w:rPr>
                <w:rFonts w:ascii="Aptos" w:hAnsi="Aptos"/>
                <w:b w:val="0"/>
                <w:color w:val="1F2937"/>
                <w:sz w:val="17"/>
              </w:rPr>
              <w:t>Strong or eventual consistency?</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Choose per invariant. Ledger posting and inventory reservation may require strong coordination; search and analytics can be eventual with freshness visibility.</w:t>
            </w:r>
          </w:p>
        </w:tc>
      </w:tr>
      <w:tr>
        <w:tc>
          <w:tcPr>
            <w:tcW w:type="dxa" w:w="2520"/>
            <w:vAlign w:val="center"/>
            <w:tcMar>
              <w:top w:w="110" w:type="dxa"/>
              <w:bottom w:w="110" w:type="dxa"/>
              <w:start w:w="120" w:type="dxa"/>
              <w:end w:w="120" w:type="dxa"/>
            </w:tcMar>
          </w:tcPr>
          <w:p>
            <w:pPr>
              <w:jc w:val="left"/>
            </w:pPr>
            <w:r/>
            <w:r>
              <w:rPr>
                <w:rFonts w:ascii="Aptos" w:hAnsi="Aptos"/>
                <w:b w:val="0"/>
                <w:color w:val="1F2937"/>
                <w:sz w:val="17"/>
              </w:rPr>
              <w:t>Microservices or monolith?</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Begin with domain boundaries and team needs. A modular monolith is often cheaper until independent scaling, ownership, or release constraints justify distribution.</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Exactly once?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Usually design at-least-once delivery with idempotent business processing, deduplication, and reconciliation. Broker guarantees do not cover every external side effect.</w:t>
            </w:r>
          </w:p>
        </w:tc>
      </w:tr>
      <w:tr>
        <w:tc>
          <w:tcPr>
            <w:tcW w:type="dxa" w:w="2520"/>
            <w:vAlign w:val="center"/>
            <w:tcMar>
              <w:top w:w="110" w:type="dxa"/>
              <w:bottom w:w="110" w:type="dxa"/>
              <w:start w:w="120" w:type="dxa"/>
              <w:end w:w="120" w:type="dxa"/>
            </w:tcMar>
          </w:tcPr>
          <w:p>
            <w:pPr>
              <w:jc w:val="left"/>
            </w:pPr>
            <w:r/>
            <w:r>
              <w:rPr>
                <w:rFonts w:ascii="Aptos" w:hAnsi="Aptos"/>
                <w:b w:val="0"/>
                <w:color w:val="1F2937"/>
                <w:sz w:val="17"/>
              </w:rPr>
              <w:t>Polling or streaming?</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Polling is simplest for infrequent updates; SSE/WebSocket is justified when latency and empty-poll cost matter. Durable business processing still needs a broker.</w:t>
            </w:r>
          </w:p>
        </w:tc>
      </w:tr>
      <w:tr>
        <w:tc>
          <w:tcPr>
            <w:tcW w:type="dxa" w:w="2520"/>
            <w:vAlign w:val="center"/>
            <w:tcMar>
              <w:top w:w="110" w:type="dxa"/>
              <w:bottom w:w="110" w:type="dxa"/>
              <w:start w:w="120" w:type="dxa"/>
              <w:end w:w="120" w:type="dxa"/>
            </w:tcMar>
          </w:tcPr>
          <w:p>
            <w:pPr>
              <w:jc w:val="left"/>
            </w:pPr>
            <w:r/>
            <w:r>
              <w:rPr>
                <w:rFonts w:ascii="Aptos" w:hAnsi="Aptos"/>
                <w:b w:val="0"/>
                <w:color w:val="1F2937"/>
                <w:sz w:val="17"/>
              </w:rPr>
              <w:t>API gateway or service logic?</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Gateway handles cross-cutting edge policy; domain authorization and business invariants remain in services.</w:t>
            </w:r>
          </w:p>
        </w:tc>
      </w:tr>
    </w:tbl>
    <w:p>
      <w:pPr>
        <w:spacing w:after="40"/>
      </w:pPr>
    </w:p>
    <w:p>
      <w:pPr>
        <w:pStyle w:val="Heading1"/>
        <w:keepNext/>
      </w:pPr>
      <w:r>
        <w:t>9. Failure-Mode Review</w:t>
      </w:r>
    </w:p>
    <w:p>
      <w:pPr>
        <w:pStyle w:val="Heading2"/>
        <w:keepNext/>
      </w:pPr>
      <w:r>
        <w:t>9.1 Questions reviewers should ask</w:t>
      </w:r>
    </w:p>
    <w:p>
      <w:pPr>
        <w:pStyle w:val="ListBullet"/>
        <w:spacing w:after="60"/>
      </w:pPr>
      <w:r>
        <w:rPr>
          <w:rFonts w:ascii="Aptos" w:hAnsi="Aptos"/>
          <w:color w:val="1F2937"/>
          <w:sz w:val="20"/>
        </w:rPr>
        <w:t>What happens when the client times out after the server committed?</w:t>
      </w:r>
    </w:p>
    <w:p>
      <w:pPr>
        <w:pStyle w:val="ListBullet"/>
        <w:spacing w:after="60"/>
      </w:pPr>
      <w:r>
        <w:rPr>
          <w:rFonts w:ascii="Aptos" w:hAnsi="Aptos"/>
          <w:color w:val="1F2937"/>
          <w:sz w:val="20"/>
        </w:rPr>
        <w:t>Which component owns retries, and can the operation safely be retried?</w:t>
      </w:r>
    </w:p>
    <w:p>
      <w:pPr>
        <w:pStyle w:val="ListBullet"/>
        <w:spacing w:after="60"/>
      </w:pPr>
      <w:r>
        <w:rPr>
          <w:rFonts w:ascii="Aptos" w:hAnsi="Aptos"/>
          <w:color w:val="1F2937"/>
          <w:sz w:val="20"/>
        </w:rPr>
        <w:t>Can duplicate messages or requests create a second business effect?</w:t>
      </w:r>
    </w:p>
    <w:p>
      <w:pPr>
        <w:pStyle w:val="ListBullet"/>
        <w:spacing w:after="60"/>
      </w:pPr>
      <w:r>
        <w:rPr>
          <w:rFonts w:ascii="Aptos" w:hAnsi="Aptos"/>
          <w:color w:val="1F2937"/>
          <w:sz w:val="20"/>
        </w:rPr>
        <w:t>What if events arrive late or out of order?</w:t>
      </w:r>
    </w:p>
    <w:p>
      <w:pPr>
        <w:pStyle w:val="ListBullet"/>
        <w:spacing w:after="60"/>
      </w:pPr>
      <w:r>
        <w:rPr>
          <w:rFonts w:ascii="Aptos" w:hAnsi="Aptos"/>
          <w:color w:val="1F2937"/>
          <w:sz w:val="20"/>
        </w:rPr>
        <w:t>What if a dependency is slow rather than completely down?</w:t>
      </w:r>
    </w:p>
    <w:p>
      <w:pPr>
        <w:pStyle w:val="ListBullet"/>
        <w:spacing w:after="60"/>
      </w:pPr>
      <w:r>
        <w:rPr>
          <w:rFonts w:ascii="Aptos" w:hAnsi="Aptos"/>
          <w:color w:val="1F2937"/>
          <w:sz w:val="20"/>
        </w:rPr>
        <w:t>Can non-critical functionality degrade without blocking the core workflow?</w:t>
      </w:r>
    </w:p>
    <w:p>
      <w:pPr>
        <w:pStyle w:val="ListBullet"/>
        <w:spacing w:after="60"/>
      </w:pPr>
      <w:r>
        <w:rPr>
          <w:rFonts w:ascii="Aptos" w:hAnsi="Aptos"/>
          <w:color w:val="1F2937"/>
          <w:sz w:val="20"/>
        </w:rPr>
        <w:t>How are poison messages inspected, fixed, and redriven safely?</w:t>
      </w:r>
    </w:p>
    <w:p>
      <w:pPr>
        <w:pStyle w:val="ListBullet"/>
        <w:spacing w:after="60"/>
      </w:pPr>
      <w:r>
        <w:rPr>
          <w:rFonts w:ascii="Aptos" w:hAnsi="Aptos"/>
          <w:color w:val="1F2937"/>
          <w:sz w:val="20"/>
        </w:rPr>
        <w:t>How are unknown external-provider outcomes reconciled?</w:t>
      </w:r>
    </w:p>
    <w:p>
      <w:pPr>
        <w:pStyle w:val="ListBullet"/>
        <w:spacing w:after="60"/>
      </w:pPr>
      <w:r>
        <w:rPr>
          <w:rFonts w:ascii="Aptos" w:hAnsi="Aptos"/>
          <w:color w:val="1F2937"/>
          <w:sz w:val="20"/>
        </w:rPr>
        <w:t>What state is shown to users while work is incomplete?</w:t>
      </w:r>
    </w:p>
    <w:p>
      <w:pPr>
        <w:pStyle w:val="ListBullet"/>
        <w:spacing w:after="60"/>
      </w:pPr>
      <w:r>
        <w:rPr>
          <w:rFonts w:ascii="Aptos" w:hAnsi="Aptos"/>
          <w:color w:val="1F2937"/>
          <w:sz w:val="20"/>
        </w:rPr>
        <w:t>How is recovery tested rather than merely documented?</w:t>
      </w:r>
    </w:p>
    <w:p>
      <w:pPr>
        <w:pStyle w:val="Heading2"/>
        <w:keepNext/>
      </w:pPr>
      <w:r>
        <w:t>9.2 Failure matrix</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20"/>
            <w:vAlign w:val="center"/>
            <w:tcMar>
              <w:top w:w="110" w:type="dxa"/>
              <w:bottom w:w="110" w:type="dxa"/>
              <w:start w:w="120" w:type="dxa"/>
              <w:end w:w="120" w:type="dxa"/>
            </w:tcMar>
            <w:shd w:fill="17365D"/>
          </w:tcPr>
          <w:p>
            <w:pPr>
              <w:jc w:val="center"/>
            </w:pPr>
            <w:r/>
            <w:r>
              <w:rPr>
                <w:rFonts w:ascii="Aptos" w:hAnsi="Aptos"/>
                <w:b/>
                <w:color w:val="FFFFFF"/>
                <w:sz w:val="18"/>
              </w:rPr>
              <w:t>Failure</w:t>
            </w:r>
          </w:p>
        </w:tc>
        <w:tc>
          <w:tcPr>
            <w:tcW w:type="dxa" w:w="7056"/>
            <w:vAlign w:val="center"/>
            <w:tcMar>
              <w:top w:w="110" w:type="dxa"/>
              <w:bottom w:w="110" w:type="dxa"/>
              <w:start w:w="120" w:type="dxa"/>
              <w:end w:w="120" w:type="dxa"/>
            </w:tcMar>
            <w:shd w:fill="17365D"/>
          </w:tcPr>
          <w:p>
            <w:pPr>
              <w:jc w:val="center"/>
            </w:pPr>
            <w:r/>
            <w:r>
              <w:rPr>
                <w:rFonts w:ascii="Aptos" w:hAnsi="Aptos"/>
                <w:b/>
                <w:color w:val="FFFFFF"/>
                <w:sz w:val="18"/>
              </w:rPr>
              <w:t>Required design response</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Duplicate POST</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Idempotency key, request fingerprint, original result</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Lost response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Status resource or safe repeat using same key</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Stale update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Version/ETag and precondition failure</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Downstream timeout</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Deadline, classification, circuit breaker, processing state</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Duplicate event</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Inbox/deduplication and idempotent state transition</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Out-of-order event</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Aggregate version or sequence enforcement</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Consumer outage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Durable retention and lag monitoring</w:t>
            </w:r>
          </w:p>
        </w:tc>
      </w:tr>
      <w:tr>
        <w:tc>
          <w:tcPr>
            <w:tcW w:type="dxa" w:w="2520"/>
            <w:vAlign w:val="center"/>
            <w:tcMar>
              <w:top w:w="110" w:type="dxa"/>
              <w:bottom w:w="110" w:type="dxa"/>
              <w:start w:w="120" w:type="dxa"/>
              <w:end w:w="120" w:type="dxa"/>
            </w:tcMar>
          </w:tcPr>
          <w:p>
            <w:pPr>
              <w:jc w:val="center"/>
            </w:pPr>
            <w:r/>
            <w:r>
              <w:rPr>
                <w:rFonts w:ascii="Aptos" w:hAnsi="Aptos"/>
                <w:b w:val="0"/>
                <w:color w:val="1F2937"/>
                <w:sz w:val="17"/>
              </w:rPr>
              <w:t>Regional outage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Failover strategy consistent with data RPO/RTO</w:t>
            </w:r>
          </w:p>
        </w:tc>
      </w:tr>
      <w:tr>
        <w:tc>
          <w:tcPr>
            <w:tcW w:type="dxa" w:w="2520"/>
            <w:vAlign w:val="center"/>
            <w:tcMar>
              <w:top w:w="110" w:type="dxa"/>
              <w:bottom w:w="110" w:type="dxa"/>
              <w:start w:w="120" w:type="dxa"/>
              <w:end w:w="120" w:type="dxa"/>
            </w:tcMar>
          </w:tcPr>
          <w:p>
            <w:pPr>
              <w:jc w:val="left"/>
            </w:pPr>
            <w:r/>
            <w:r>
              <w:rPr>
                <w:rFonts w:ascii="Aptos" w:hAnsi="Aptos"/>
                <w:b w:val="0"/>
                <w:color w:val="1F2937"/>
                <w:sz w:val="17"/>
              </w:rPr>
              <w:t>Security policy outage</w:t>
            </w:r>
          </w:p>
        </w:tc>
        <w:tc>
          <w:tcPr>
            <w:tcW w:type="dxa" w:w="7056"/>
            <w:vAlign w:val="center"/>
            <w:tcMar>
              <w:top w:w="110" w:type="dxa"/>
              <w:bottom w:w="110" w:type="dxa"/>
              <w:start w:w="120" w:type="dxa"/>
              <w:end w:w="120" w:type="dxa"/>
            </w:tcMar>
          </w:tcPr>
          <w:p>
            <w:pPr>
              <w:jc w:val="left"/>
            </w:pPr>
            <w:r/>
            <w:r>
              <w:rPr>
                <w:rFonts w:ascii="Aptos" w:hAnsi="Aptos"/>
                <w:b w:val="0"/>
                <w:color w:val="1F2937"/>
                <w:sz w:val="17"/>
              </w:rPr>
              <w:t>Defined fail-closed or tightly bounded cached decision</w:t>
            </w:r>
          </w:p>
        </w:tc>
      </w:tr>
    </w:tbl>
    <w:p>
      <w:pPr>
        <w:spacing w:after="40"/>
      </w:pPr>
    </w:p>
    <w:p>
      <w:pPr>
        <w:pStyle w:val="Heading1"/>
        <w:keepNext/>
      </w:pPr>
      <w:r>
        <w:t>10. API Review Scoring Rubric</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72"/>
            <w:vAlign w:val="center"/>
            <w:tcMar>
              <w:top w:w="110" w:type="dxa"/>
              <w:bottom w:w="110" w:type="dxa"/>
              <w:start w:w="120" w:type="dxa"/>
              <w:end w:w="120" w:type="dxa"/>
            </w:tcMar>
            <w:shd w:fill="17365D"/>
          </w:tcPr>
          <w:p>
            <w:pPr>
              <w:jc w:val="center"/>
            </w:pPr>
            <w:r/>
            <w:r>
              <w:rPr>
                <w:rFonts w:ascii="Aptos" w:hAnsi="Aptos"/>
                <w:b/>
                <w:color w:val="FFFFFF"/>
                <w:sz w:val="18"/>
              </w:rPr>
              <w:t>Area</w:t>
            </w:r>
          </w:p>
        </w:tc>
        <w:tc>
          <w:tcPr>
            <w:tcW w:type="dxa" w:w="2448"/>
            <w:vAlign w:val="center"/>
            <w:tcMar>
              <w:top w:w="110" w:type="dxa"/>
              <w:bottom w:w="110" w:type="dxa"/>
              <w:start w:w="120" w:type="dxa"/>
              <w:end w:w="120" w:type="dxa"/>
            </w:tcMar>
            <w:shd w:fill="17365D"/>
          </w:tcPr>
          <w:p>
            <w:pPr>
              <w:jc w:val="center"/>
            </w:pPr>
            <w:r/>
            <w:r>
              <w:rPr>
                <w:rFonts w:ascii="Aptos" w:hAnsi="Aptos"/>
                <w:b/>
                <w:color w:val="FFFFFF"/>
                <w:sz w:val="18"/>
              </w:rPr>
              <w:t>0-1: weak</w:t>
            </w:r>
          </w:p>
        </w:tc>
        <w:tc>
          <w:tcPr>
            <w:tcW w:type="dxa" w:w="2448"/>
            <w:vAlign w:val="center"/>
            <w:tcMar>
              <w:top w:w="110" w:type="dxa"/>
              <w:bottom w:w="110" w:type="dxa"/>
              <w:start w:w="120" w:type="dxa"/>
              <w:end w:w="120" w:type="dxa"/>
            </w:tcMar>
            <w:shd w:fill="17365D"/>
          </w:tcPr>
          <w:p>
            <w:pPr>
              <w:jc w:val="center"/>
            </w:pPr>
            <w:r/>
            <w:r>
              <w:rPr>
                <w:rFonts w:ascii="Aptos" w:hAnsi="Aptos"/>
                <w:b/>
                <w:color w:val="FFFFFF"/>
                <w:sz w:val="18"/>
              </w:rPr>
              <w:t>2: acceptable</w:t>
            </w:r>
          </w:p>
        </w:tc>
        <w:tc>
          <w:tcPr>
            <w:tcW w:type="dxa" w:w="2808"/>
            <w:vAlign w:val="center"/>
            <w:tcMar>
              <w:top w:w="110" w:type="dxa"/>
              <w:bottom w:w="110" w:type="dxa"/>
              <w:start w:w="120" w:type="dxa"/>
              <w:end w:w="120" w:type="dxa"/>
            </w:tcMar>
            <w:shd w:fill="17365D"/>
          </w:tcPr>
          <w:p>
            <w:pPr>
              <w:jc w:val="center"/>
            </w:pPr>
            <w:r/>
            <w:r>
              <w:rPr>
                <w:rFonts w:ascii="Aptos" w:hAnsi="Aptos"/>
                <w:b/>
                <w:color w:val="FFFFFF"/>
                <w:sz w:val="18"/>
              </w:rPr>
              <w:t>3: strong</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Requirements</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Protocol-first; no workload</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Basic flows and traffic</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Explicit actors, invariants, scale, trust boundaries</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Contracts</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Happy path only</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Requests and basic errors</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Idempotency, concurrency, pagination, evolution</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Correctness</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Undefined consistency</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Some transactional reasoning</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Authority, saga, ordering, reconciliation</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Reliability</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Generic retries</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Timeouts and basic queues</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Budgets, degradation, replay, recovery tests</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Security</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Authentication only</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Roles and scopes</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Resource context, tenant isolation, audit, consent</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Scale</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User-count claims</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Basic RPS estimate</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Amplification, bottlenecks, capacity triggers</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Operations</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Logs only</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Metrics and traces</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SLOs, runbooks, ownership, redrive controls</w:t>
            </w:r>
          </w:p>
        </w:tc>
      </w:tr>
      <w:tr>
        <w:tc>
          <w:tcPr>
            <w:tcW w:type="dxa" w:w="1872"/>
            <w:vAlign w:val="center"/>
            <w:tcMar>
              <w:top w:w="110" w:type="dxa"/>
              <w:bottom w:w="110" w:type="dxa"/>
              <w:start w:w="120" w:type="dxa"/>
              <w:end w:w="120" w:type="dxa"/>
            </w:tcMar>
          </w:tcPr>
          <w:p>
            <w:pPr>
              <w:jc w:val="center"/>
            </w:pPr>
            <w:r/>
            <w:r>
              <w:rPr>
                <w:rFonts w:ascii="Aptos" w:hAnsi="Aptos"/>
                <w:b w:val="0"/>
                <w:color w:val="1F2937"/>
                <w:sz w:val="17"/>
              </w:rPr>
              <w:t>Tradeoffs</w:t>
            </w:r>
          </w:p>
        </w:tc>
        <w:tc>
          <w:tcPr>
            <w:tcW w:type="dxa" w:w="2448"/>
            <w:vAlign w:val="center"/>
            <w:tcMar>
              <w:top w:w="110" w:type="dxa"/>
              <w:bottom w:w="110" w:type="dxa"/>
              <w:start w:w="120" w:type="dxa"/>
              <w:end w:w="120" w:type="dxa"/>
            </w:tcMar>
          </w:tcPr>
          <w:p>
            <w:pPr>
              <w:jc w:val="left"/>
            </w:pPr>
            <w:r/>
            <w:r>
              <w:rPr>
                <w:rFonts w:ascii="Aptos" w:hAnsi="Aptos"/>
                <w:b w:val="0"/>
                <w:color w:val="1F2937"/>
                <w:sz w:val="17"/>
              </w:rPr>
              <w:t>One “best” technology</w:t>
            </w:r>
          </w:p>
        </w:tc>
        <w:tc>
          <w:tcPr>
            <w:tcW w:type="dxa" w:w="2448"/>
            <w:vAlign w:val="center"/>
            <w:tcMar>
              <w:top w:w="110" w:type="dxa"/>
              <w:bottom w:w="110" w:type="dxa"/>
              <w:start w:w="120" w:type="dxa"/>
              <w:end w:w="120" w:type="dxa"/>
            </w:tcMar>
          </w:tcPr>
          <w:p>
            <w:pPr>
              <w:jc w:val="center"/>
            </w:pPr>
            <w:r/>
            <w:r>
              <w:rPr>
                <w:rFonts w:ascii="Aptos" w:hAnsi="Aptos"/>
                <w:b w:val="0"/>
                <w:color w:val="1F2937"/>
                <w:sz w:val="17"/>
              </w:rPr>
              <w:t>Some pros/cons</w:t>
            </w:r>
          </w:p>
        </w:tc>
        <w:tc>
          <w:tcPr>
            <w:tcW w:type="dxa" w:w="2808"/>
            <w:vAlign w:val="center"/>
            <w:tcMar>
              <w:top w:w="110" w:type="dxa"/>
              <w:bottom w:w="110" w:type="dxa"/>
              <w:start w:w="120" w:type="dxa"/>
              <w:end w:w="120" w:type="dxa"/>
            </w:tcMar>
          </w:tcPr>
          <w:p>
            <w:pPr>
              <w:jc w:val="left"/>
            </w:pPr>
            <w:r/>
            <w:r>
              <w:rPr>
                <w:rFonts w:ascii="Aptos" w:hAnsi="Aptos"/>
                <w:b w:val="0"/>
                <w:color w:val="1F2937"/>
                <w:sz w:val="17"/>
              </w:rPr>
              <w:t>Clear decision drivers and revisit triggers</w:t>
            </w:r>
          </w:p>
        </w:tc>
      </w:tr>
    </w:tbl>
    <w:p>
      <w:pPr>
        <w:spacing w:after="40"/>
      </w:pPr>
    </w:p>
    <w:p>
      <w:pPr>
        <w:spacing w:after="120" w:line="269" w:lineRule="auto"/>
      </w:pPr>
      <w:r>
        <w:rPr>
          <w:rFonts w:ascii="Aptos" w:hAnsi="Aptos"/>
          <w:color w:val="1F2937"/>
          <w:sz w:val="21"/>
        </w:rPr>
        <w:t>A mature proposal does not need maximum complexity in every category. It needs an intentional answer proportionate to business risk and scale.</w:t>
      </w:r>
    </w:p>
    <w:p>
      <w:pPr>
        <w:pStyle w:val="Heading1"/>
        <w:keepNext/>
      </w:pPr>
      <w:r>
        <w:t>11. Practice Scenarios</w:t>
      </w:r>
    </w:p>
    <w:p>
      <w:pPr>
        <w:pStyle w:val="Heading2"/>
        <w:keepNext/>
      </w:pPr>
      <w:r>
        <w:t>11.1 Scenario A: Flash-sale commerce</w:t>
      </w:r>
    </w:p>
    <w:p>
      <w:pPr>
        <w:spacing w:after="120" w:line="269" w:lineRule="auto"/>
      </w:pPr>
      <w:r>
        <w:rPr>
          <w:rFonts w:ascii="Aptos" w:hAnsi="Aptos"/>
          <w:color w:val="1F2937"/>
          <w:sz w:val="21"/>
        </w:rPr>
        <w:t>Design APIs for a product drop where 200,000 users attempt to buy 5,000 units in two minutes. Address inventory correctness, queueing, fairness, idempotency, payment timing, cache behavior, and user feedback.</w:t>
      </w:r>
    </w:p>
    <w:p>
      <w:pPr>
        <w:pStyle w:val="Heading3"/>
        <w:keepNext/>
      </w:pPr>
      <w:r>
        <w:t>Expected discussion</w:t>
      </w:r>
    </w:p>
    <w:p>
      <w:pPr>
        <w:pStyle w:val="ListBullet"/>
        <w:spacing w:after="60"/>
      </w:pPr>
      <w:r>
        <w:rPr>
          <w:rFonts w:ascii="Aptos" w:hAnsi="Aptos"/>
          <w:color w:val="1F2937"/>
          <w:sz w:val="20"/>
        </w:rPr>
        <w:t>CDN/cache for product reads; protected admission path for purchase commands.</w:t>
      </w:r>
    </w:p>
    <w:p>
      <w:pPr>
        <w:pStyle w:val="ListBullet"/>
        <w:spacing w:after="60"/>
      </w:pPr>
      <w:r>
        <w:rPr>
          <w:rFonts w:ascii="Aptos" w:hAnsi="Aptos"/>
          <w:color w:val="1F2937"/>
          <w:sz w:val="20"/>
        </w:rPr>
        <w:t>Atomic reservation or serialized inventory authority; never trust cached stock at checkout.</w:t>
      </w:r>
    </w:p>
    <w:p>
      <w:pPr>
        <w:pStyle w:val="ListBullet"/>
        <w:spacing w:after="60"/>
      </w:pPr>
      <w:r>
        <w:rPr>
          <w:rFonts w:ascii="Aptos" w:hAnsi="Aptos"/>
          <w:color w:val="1F2937"/>
          <w:sz w:val="20"/>
        </w:rPr>
        <w:t>Idempotent purchase requests and explicit queued/accepted/rejected states.</w:t>
      </w:r>
    </w:p>
    <w:p>
      <w:pPr>
        <w:pStyle w:val="ListBullet"/>
        <w:spacing w:after="60"/>
      </w:pPr>
      <w:r>
        <w:rPr>
          <w:rFonts w:ascii="Aptos" w:hAnsi="Aptos"/>
          <w:color w:val="1F2937"/>
          <w:sz w:val="20"/>
        </w:rPr>
        <w:t>Backpressure and load shedding before the database collapses.</w:t>
      </w:r>
    </w:p>
    <w:p>
      <w:pPr>
        <w:pStyle w:val="ListBullet"/>
        <w:spacing w:after="60"/>
      </w:pPr>
      <w:r>
        <w:rPr>
          <w:rFonts w:ascii="Aptos" w:hAnsi="Aptos"/>
          <w:color w:val="1F2937"/>
          <w:sz w:val="20"/>
        </w:rPr>
        <w:t>Payment authorization aligned with reservation expiry and compensation.</w:t>
      </w:r>
    </w:p>
    <w:p>
      <w:pPr>
        <w:pStyle w:val="Heading2"/>
        <w:keepNext/>
      </w:pPr>
      <w:r>
        <w:t>11.2 Scenario B: National laboratory result exchange</w:t>
      </w:r>
    </w:p>
    <w:p>
      <w:pPr>
        <w:spacing w:after="120" w:line="269" w:lineRule="auto"/>
      </w:pPr>
      <w:r>
        <w:rPr>
          <w:rFonts w:ascii="Aptos" w:hAnsi="Aptos"/>
          <w:color w:val="1F2937"/>
          <w:sz w:val="21"/>
        </w:rPr>
        <w:t>Design an API platform for laboratories to publish results to multiple hospital systems. Address FHIR interoperability, patient matching, consent, duplicate results, corrections, subscriptions, audit, and regional outages.</w:t>
      </w:r>
    </w:p>
    <w:p>
      <w:pPr>
        <w:pStyle w:val="Heading2"/>
        <w:keepNext/>
      </w:pPr>
      <w:r>
        <w:t>11.3 Scenario C: Real-time market prices</w:t>
      </w:r>
    </w:p>
    <w:p>
      <w:pPr>
        <w:spacing w:after="120" w:line="269" w:lineRule="auto"/>
      </w:pPr>
      <w:r>
        <w:rPr>
          <w:rFonts w:ascii="Aptos" w:hAnsi="Aptos"/>
          <w:color w:val="1F2937"/>
          <w:sz w:val="21"/>
        </w:rPr>
        <w:t>Design a public and internal market-data platform with snapshots, incremental updates, sequence gaps, replay, entitlement checks, slow consumers, and regional fan-out. Distinguish market data from trade execution.</w:t>
      </w:r>
    </w:p>
    <w:p>
      <w:pPr>
        <w:pStyle w:val="Heading2"/>
        <w:keepNext/>
      </w:pPr>
      <w:r>
        <w:t>11.4 Scenario D: Insurance claims</w:t>
      </w:r>
    </w:p>
    <w:p>
      <w:pPr>
        <w:spacing w:after="120" w:line="269" w:lineRule="auto"/>
      </w:pPr>
      <w:r>
        <w:rPr>
          <w:rFonts w:ascii="Aptos" w:hAnsi="Aptos"/>
          <w:color w:val="1F2937"/>
          <w:sz w:val="21"/>
        </w:rPr>
        <w:t>Design claim submission with large documents, long-running adjudication, fraud checks, human review, status notifications, partner webhooks, and auditable decisions. Do not upload multi-gigabyte evidence through JSON.</w:t>
      </w:r>
    </w:p>
    <w:p>
      <w:pPr>
        <w:pStyle w:val="Heading2"/>
        <w:keepNext/>
      </w:pPr>
      <w:r>
        <w:t>11.5 Scenario E: Multi-tenant SaaS admin API</w:t>
      </w:r>
    </w:p>
    <w:p>
      <w:pPr>
        <w:spacing w:after="120" w:line="269" w:lineRule="auto"/>
      </w:pPr>
      <w:r>
        <w:rPr>
          <w:rFonts w:ascii="Aptos" w:hAnsi="Aptos"/>
          <w:color w:val="1F2937"/>
          <w:sz w:val="21"/>
        </w:rPr>
        <w:t>Design customer, user, role, configuration, audit, and bulk export APIs. Address tenant isolation, delegated administration, rate limits per tenant, versioning, and support impersonation controls.</w:t>
      </w:r>
    </w:p>
    <w:p>
      <w:pPr>
        <w:pStyle w:val="Heading1"/>
        <w:keepNext/>
      </w:pPr>
      <w:r>
        <w:t>12. Common Weak Answers and Corrections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96"/>
            <w:vAlign w:val="center"/>
            <w:tcMar>
              <w:top w:w="110" w:type="dxa"/>
              <w:bottom w:w="110" w:type="dxa"/>
              <w:start w:w="120" w:type="dxa"/>
              <w:end w:w="120" w:type="dxa"/>
            </w:tcMar>
            <w:shd w:fill="17365D"/>
          </w:tcPr>
          <w:p>
            <w:pPr>
              <w:jc w:val="center"/>
            </w:pPr>
            <w:r/>
            <w:r>
              <w:rPr>
                <w:rFonts w:ascii="Aptos" w:hAnsi="Aptos"/>
                <w:b/>
                <w:color w:val="FFFFFF"/>
                <w:sz w:val="18"/>
              </w:rPr>
              <w:t>Weak answer</w:t>
            </w:r>
          </w:p>
        </w:tc>
        <w:tc>
          <w:tcPr>
            <w:tcW w:type="dxa" w:w="6480"/>
            <w:vAlign w:val="center"/>
            <w:tcMar>
              <w:top w:w="110" w:type="dxa"/>
              <w:bottom w:w="110" w:type="dxa"/>
              <w:start w:w="120" w:type="dxa"/>
              <w:end w:w="120" w:type="dxa"/>
            </w:tcMar>
            <w:shd w:fill="17365D"/>
          </w:tcPr>
          <w:p>
            <w:pPr>
              <w:jc w:val="center"/>
            </w:pPr>
            <w:r/>
            <w:r>
              <w:rPr>
                <w:rFonts w:ascii="Aptos" w:hAnsi="Aptos"/>
                <w:b/>
                <w:color w:val="FFFFFF"/>
                <w:sz w:val="18"/>
              </w:rPr>
              <w:t>Correction</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“Use gRPC after one million users.”</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User count is not a protocol threshold; quantify traffic and bottlenecks.</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“Kafka gives exactly once.”</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Define the business side effect, deduplication, external calls, and reconciliation.</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“GraphQL prevents over-fetching.”</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Also address resolver cost, N+1, authorization, caching, and query controls.</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“Microservices improve scalability.”</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Explain which component needs independent scaling or ownership and accept distributed-system cost.</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“Retries improve reliability.”</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Only with deadlines, idempotency, backoff, jitter, and one retry owner.</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“OAuth secures the API.”</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Authentication tokens do not replace resource authorization or tenant isolation.</w:t>
            </w:r>
          </w:p>
        </w:tc>
      </w:tr>
      <w:tr>
        <w:tc>
          <w:tcPr>
            <w:tcW w:type="dxa" w:w="3096"/>
            <w:vAlign w:val="center"/>
            <w:tcMar>
              <w:top w:w="110" w:type="dxa"/>
              <w:bottom w:w="110" w:type="dxa"/>
              <w:start w:w="120" w:type="dxa"/>
              <w:end w:w="120" w:type="dxa"/>
            </w:tcMar>
          </w:tcPr>
          <w:p>
            <w:pPr>
              <w:jc w:val="left"/>
            </w:pPr>
            <w:r/>
            <w:r>
              <w:rPr>
                <w:rFonts w:ascii="Aptos" w:hAnsi="Aptos"/>
                <w:b w:val="0"/>
                <w:color w:val="1F2937"/>
                <w:sz w:val="17"/>
              </w:rPr>
              <w:t>“We use eventual consistency.”</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State which reads can be stale, for how long, and what users see.</w:t>
            </w:r>
          </w:p>
        </w:tc>
      </w:tr>
      <w:tr>
        <w:tc>
          <w:tcPr>
            <w:tcW w:type="dxa" w:w="3096"/>
            <w:vAlign w:val="center"/>
            <w:tcMar>
              <w:top w:w="110" w:type="dxa"/>
              <w:bottom w:w="110" w:type="dxa"/>
              <w:start w:w="120" w:type="dxa"/>
              <w:end w:w="120" w:type="dxa"/>
            </w:tcMar>
          </w:tcPr>
          <w:p>
            <w:pPr>
              <w:jc w:val="center"/>
            </w:pPr>
            <w:r/>
            <w:r>
              <w:rPr>
                <w:rFonts w:ascii="Aptos" w:hAnsi="Aptos"/>
                <w:b w:val="0"/>
                <w:color w:val="1F2937"/>
                <w:sz w:val="17"/>
              </w:rPr>
              <w:t>“Add caching.”</w:t>
            </w:r>
          </w:p>
        </w:tc>
        <w:tc>
          <w:tcPr>
            <w:tcW w:type="dxa" w:w="6480"/>
            <w:vAlign w:val="center"/>
            <w:tcMar>
              <w:top w:w="110" w:type="dxa"/>
              <w:bottom w:w="110" w:type="dxa"/>
              <w:start w:w="120" w:type="dxa"/>
              <w:end w:w="120" w:type="dxa"/>
            </w:tcMar>
          </w:tcPr>
          <w:p>
            <w:pPr>
              <w:jc w:val="left"/>
            </w:pPr>
            <w:r/>
            <w:r>
              <w:rPr>
                <w:rFonts w:ascii="Aptos" w:hAnsi="Aptos"/>
                <w:b w:val="0"/>
                <w:color w:val="1F2937"/>
                <w:sz w:val="17"/>
              </w:rPr>
              <w:t>Specify key, TTL, invalidation, sensitivity, stampede control, and stale behavior.</w:t>
            </w:r>
          </w:p>
        </w:tc>
      </w:tr>
    </w:tbl>
    <w:p>
      <w:pPr>
        <w:spacing w:after="40"/>
      </w:pPr>
    </w:p>
    <w:p>
      <w:pPr>
        <w:pStyle w:val="Heading1"/>
        <w:keepNext/>
      </w:pPr>
      <w:r>
        <w:t>13. Final Architecture Checklist</w:t>
      </w:r>
    </w:p>
    <w:p>
      <w:pPr>
        <w:pStyle w:val="ListBullet"/>
        <w:spacing w:after="60"/>
      </w:pPr>
      <w:r>
        <w:rPr>
          <w:rFonts w:ascii="Aptos" w:hAnsi="Aptos"/>
          <w:color w:val="1F2937"/>
          <w:sz w:val="20"/>
        </w:rPr>
        <w:t>Each workflow is classified as query, command, event, stream, webhook, or bulk transfer.</w:t>
      </w:r>
    </w:p>
    <w:p>
      <w:pPr>
        <w:pStyle w:val="ListBullet"/>
        <w:spacing w:after="60"/>
      </w:pPr>
      <w:r>
        <w:rPr>
          <w:rFonts w:ascii="Aptos" w:hAnsi="Aptos"/>
          <w:color w:val="1F2937"/>
          <w:sz w:val="20"/>
        </w:rPr>
        <w:t>Every state-changing operation has retry and idempotency semantics.</w:t>
      </w:r>
    </w:p>
    <w:p>
      <w:pPr>
        <w:pStyle w:val="ListBullet"/>
        <w:spacing w:after="60"/>
      </w:pPr>
      <w:r>
        <w:rPr>
          <w:rFonts w:ascii="Aptos" w:hAnsi="Aptos"/>
          <w:color w:val="1F2937"/>
          <w:sz w:val="20"/>
        </w:rPr>
        <w:t>Authoritative state and transactional boundaries are explicit.</w:t>
      </w:r>
    </w:p>
    <w:p>
      <w:pPr>
        <w:pStyle w:val="ListBullet"/>
        <w:spacing w:after="60"/>
      </w:pPr>
      <w:r>
        <w:rPr>
          <w:rFonts w:ascii="Aptos" w:hAnsi="Aptos"/>
          <w:color w:val="1F2937"/>
          <w:sz w:val="20"/>
        </w:rPr>
        <w:t>Consistency and freshness are selected per business invariant.</w:t>
      </w:r>
    </w:p>
    <w:p>
      <w:pPr>
        <w:pStyle w:val="ListBullet"/>
        <w:spacing w:after="60"/>
      </w:pPr>
      <w:r>
        <w:rPr>
          <w:rFonts w:ascii="Aptos" w:hAnsi="Aptos"/>
          <w:color w:val="1F2937"/>
          <w:sz w:val="20"/>
        </w:rPr>
        <w:t>Concurrency and state transitions cannot be bypassed by generic updates.</w:t>
      </w:r>
    </w:p>
    <w:p>
      <w:pPr>
        <w:pStyle w:val="ListBullet"/>
        <w:spacing w:after="60"/>
      </w:pPr>
      <w:r>
        <w:rPr>
          <w:rFonts w:ascii="Aptos" w:hAnsi="Aptos"/>
          <w:color w:val="1F2937"/>
          <w:sz w:val="20"/>
        </w:rPr>
        <w:t>Collections are bounded and large exports are asynchronous.</w:t>
      </w:r>
    </w:p>
    <w:p>
      <w:pPr>
        <w:pStyle w:val="ListBullet"/>
        <w:spacing w:after="60"/>
      </w:pPr>
      <w:r>
        <w:rPr>
          <w:rFonts w:ascii="Aptos" w:hAnsi="Aptos"/>
          <w:color w:val="1F2937"/>
          <w:sz w:val="20"/>
        </w:rPr>
        <w:t>Timeouts and retries fit within an end-to-end deadline budget.</w:t>
      </w:r>
    </w:p>
    <w:p>
      <w:pPr>
        <w:pStyle w:val="ListBullet"/>
        <w:spacing w:after="60"/>
      </w:pPr>
      <w:r>
        <w:rPr>
          <w:rFonts w:ascii="Aptos" w:hAnsi="Aptos"/>
          <w:color w:val="1F2937"/>
          <w:sz w:val="20"/>
        </w:rPr>
        <w:t>Non-critical dependencies have a degradation strategy.</w:t>
      </w:r>
    </w:p>
    <w:p>
      <w:pPr>
        <w:pStyle w:val="ListBullet"/>
        <w:spacing w:after="60"/>
      </w:pPr>
      <w:r>
        <w:rPr>
          <w:rFonts w:ascii="Aptos" w:hAnsi="Aptos"/>
          <w:color w:val="1F2937"/>
          <w:sz w:val="20"/>
        </w:rPr>
        <w:t>Authorization is checked against the resource and tenant, not merely the endpoint.</w:t>
      </w:r>
    </w:p>
    <w:p>
      <w:pPr>
        <w:pStyle w:val="ListBullet"/>
        <w:spacing w:after="60"/>
      </w:pPr>
      <w:r>
        <w:rPr>
          <w:rFonts w:ascii="Aptos" w:hAnsi="Aptos"/>
          <w:color w:val="1F2937"/>
          <w:sz w:val="20"/>
        </w:rPr>
        <w:t>Sensitive data is minimized in logs, events, caches, and error messages.</w:t>
      </w:r>
    </w:p>
    <w:p>
      <w:pPr>
        <w:pStyle w:val="ListBullet"/>
        <w:spacing w:after="60"/>
      </w:pPr>
      <w:r>
        <w:rPr>
          <w:rFonts w:ascii="Aptos" w:hAnsi="Aptos"/>
          <w:color w:val="1F2937"/>
          <w:sz w:val="20"/>
        </w:rPr>
        <w:t>Contracts have compatibility, ownership, testing, and deprecation rules.</w:t>
      </w:r>
    </w:p>
    <w:p>
      <w:pPr>
        <w:pStyle w:val="ListBullet"/>
        <w:spacing w:after="60"/>
      </w:pPr>
      <w:r>
        <w:rPr>
          <w:rFonts w:ascii="Aptos" w:hAnsi="Aptos"/>
          <w:color w:val="1F2937"/>
          <w:sz w:val="20"/>
        </w:rPr>
        <w:t>Metrics cover rate, errors, duration, saturation, queue lag, duplicates, and workflow age.</w:t>
      </w:r>
    </w:p>
    <w:p>
      <w:pPr>
        <w:pStyle w:val="ListBullet"/>
        <w:spacing w:after="60"/>
      </w:pPr>
      <w:r>
        <w:rPr>
          <w:rFonts w:ascii="Aptos" w:hAnsi="Aptos"/>
          <w:color w:val="1F2937"/>
          <w:sz w:val="20"/>
        </w:rPr>
        <w:t>Cost and operational complexity are justified by measured constraints.</w:t>
      </w:r>
    </w:p>
    <w:p>
      <w:pPr>
        <w:pStyle w:val="ListBullet"/>
        <w:spacing w:after="60"/>
      </w:pPr>
      <w:r>
        <w:rPr>
          <w:rFonts w:ascii="Aptos" w:hAnsi="Aptos"/>
          <w:color w:val="1F2937"/>
          <w:sz w:val="20"/>
        </w:rPr>
        <w:t>The architecture states what would trigger the next evolution step.</w:t>
      </w:r>
    </w:p>
    <w:p>
      <w:pPr>
        <w:pStyle w:val="Heading1"/>
        <w:keepNext/>
      </w:pPr>
      <w:r>
        <w:t>14. A 30-Minute Interview Structure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440"/>
            <w:vAlign w:val="center"/>
            <w:tcMar>
              <w:top w:w="110" w:type="dxa"/>
              <w:bottom w:w="110" w:type="dxa"/>
              <w:start w:w="120" w:type="dxa"/>
              <w:end w:w="120" w:type="dxa"/>
            </w:tcMar>
            <w:shd w:fill="17365D"/>
          </w:tcPr>
          <w:p>
            <w:pPr>
              <w:jc w:val="center"/>
            </w:pPr>
            <w:r/>
            <w:r>
              <w:rPr>
                <w:rFonts w:ascii="Aptos" w:hAnsi="Aptos"/>
                <w:b/>
                <w:color w:val="FFFFFF"/>
                <w:sz w:val="18"/>
              </w:rPr>
              <w:t>Minutes</w:t>
            </w:r>
          </w:p>
        </w:tc>
        <w:tc>
          <w:tcPr>
            <w:tcW w:type="dxa" w:w="8136"/>
            <w:vAlign w:val="center"/>
            <w:tcMar>
              <w:top w:w="110" w:type="dxa"/>
              <w:bottom w:w="110" w:type="dxa"/>
              <w:start w:w="120" w:type="dxa"/>
              <w:end w:w="120" w:type="dxa"/>
            </w:tcMar>
            <w:shd w:fill="17365D"/>
          </w:tcPr>
          <w:p>
            <w:pPr>
              <w:jc w:val="center"/>
            </w:pPr>
            <w:r/>
            <w:r>
              <w:rPr>
                <w:rFonts w:ascii="Aptos" w:hAnsi="Aptos"/>
                <w:b/>
                <w:color w:val="FFFFFF"/>
                <w:sz w:val="18"/>
              </w:rPr>
              <w:t>Focus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0-3</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Clarify users, workflows, scope, and critical invariants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3-7</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Estimate traffic, payloads, storage, and latency</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7-12</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Define API boundaries and interaction styles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12-18</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Design data authority, consistency, and workflows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18-23</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Cover security, failures, retries, and idempotency</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23-27</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Scale, cache, queue, and multi-region considerations</w:t>
            </w:r>
          </w:p>
        </w:tc>
      </w:tr>
      <w:tr>
        <w:tc>
          <w:tcPr>
            <w:tcW w:type="dxa" w:w="1440"/>
            <w:vAlign w:val="center"/>
            <w:tcMar>
              <w:top w:w="110" w:type="dxa"/>
              <w:bottom w:w="110" w:type="dxa"/>
              <w:start w:w="120" w:type="dxa"/>
              <w:end w:w="120" w:type="dxa"/>
            </w:tcMar>
          </w:tcPr>
          <w:p>
            <w:pPr>
              <w:jc w:val="center"/>
            </w:pPr>
            <w:r/>
            <w:r>
              <w:rPr>
                <w:rFonts w:ascii="Aptos" w:hAnsi="Aptos"/>
                <w:b w:val="0"/>
                <w:color w:val="1F2937"/>
                <w:sz w:val="17"/>
              </w:rPr>
              <w:t>27-30</w:t>
            </w:r>
          </w:p>
        </w:tc>
        <w:tc>
          <w:tcPr>
            <w:tcW w:type="dxa" w:w="8136"/>
            <w:vAlign w:val="center"/>
            <w:tcMar>
              <w:top w:w="110" w:type="dxa"/>
              <w:bottom w:w="110" w:type="dxa"/>
              <w:start w:w="120" w:type="dxa"/>
              <w:end w:w="120" w:type="dxa"/>
            </w:tcMar>
          </w:tcPr>
          <w:p>
            <w:pPr>
              <w:jc w:val="left"/>
            </w:pPr>
            <w:r/>
            <w:r>
              <w:rPr>
                <w:rFonts w:ascii="Aptos" w:hAnsi="Aptos"/>
                <w:b w:val="0"/>
                <w:color w:val="1F2937"/>
                <w:sz w:val="17"/>
              </w:rPr>
              <w:t>Tradeoffs, evolution, observability, and recap</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9878"/>
            <w:shd w:fill="EAF2F8"/>
            <w:tcMar>
              <w:top w:w="150" w:type="dxa"/>
              <w:bottom w:w="150" w:type="dxa"/>
              <w:start w:w="180" w:type="dxa"/>
              <w:end w:w="180" w:type="dxa"/>
            </w:tcMar>
          </w:tcPr>
          <w:p>
            <w:r/>
            <w:r>
              <w:rPr>
                <w:rFonts w:ascii="Aptos Display" w:hAnsi="Aptos Display"/>
                <w:b/>
                <w:color w:val="0F6B78"/>
                <w:sz w:val="21"/>
              </w:rPr>
              <w:t>Final mental model</w:t>
            </w:r>
          </w:p>
          <w:p>
            <w:pPr>
              <w:spacing w:after="0" w:line="259" w:lineRule="auto"/>
            </w:pPr>
            <w:r>
              <w:rPr>
                <w:rFonts w:ascii="Aptos" w:hAnsi="Aptos"/>
                <w:color w:val="1F2937"/>
                <w:sz w:val="19"/>
              </w:rPr>
              <w:t>Do not search for one universally superior API technology. Select the simplest communication model that meets the interaction’s correctness, latency, durability, interoperability, security, and cost requirements, then make failure and evolution behavior explicit.</w:t>
            </w:r>
          </w:p>
        </w:tc>
      </w:tr>
    </w:tbl>
    <w:p>
      <w:pPr>
        <w:spacing w:after="40"/>
      </w:pP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API Design Series  |  Document 10  |  Architecture Decision and Interview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Design Series - Document 10 - Architecture Decision and Interview Workbook</dc:title>
  <dc:subject>Practical API architecture decision and interview workbook</dc:subject>
  <dc:creator>OpenAI</dc:creator>
  <cp:keywords>API design, architecture, REST, GraphQL, gRPC, event-driven, streaming, interview workbook</cp:keywords>
  <dc:description>generated by python-docx</dc:description>
  <cp:lastModifiedBy/>
  <cp:revision>1</cp:revision>
  <dcterms:created xsi:type="dcterms:W3CDTF">2013-12-23T23:15:00Z</dcterms:created>
  <dcterms:modified xsi:type="dcterms:W3CDTF">2013-12-23T23:15:00Z</dcterms:modified>
  <cp:category/>
</cp:coreProperties>
</file>