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5597"/>
          <w:sz w:val="24"/>
        </w:rPr>
        <w:t>API DESIGN FOR SOFTWARE ARCHITECTS</w:t>
      </w:r>
    </w:p>
    <w:p>
      <w:pPr>
        <w:jc w:val="center"/>
      </w:pPr>
      <w:r>
        <w:rPr>
          <w:b/>
          <w:color w:val="17365D"/>
          <w:sz w:val="56"/>
        </w:rPr>
        <w:t>Document 2</w:t>
      </w:r>
    </w:p>
    <w:p>
      <w:pPr>
        <w:jc w:val="center"/>
      </w:pPr>
      <w:r>
        <w:rPr>
          <w:b/>
          <w:color w:val="1F4E79"/>
          <w:sz w:val="44"/>
        </w:rPr>
        <w:t>GraphQL API Design and Governance</w:t>
      </w:r>
    </w:p>
    <w:p>
      <w:pPr>
        <w:spacing w:before="360"/>
        <w:jc w:val="center"/>
      </w:pPr>
      <w:r>
        <w:rPr>
          <w:color w:val="4B5563"/>
          <w:sz w:val="24"/>
        </w:rPr>
        <w:t>Practical schemas, resolvers, performance controls, authorization, federation, and production tradeoffs</w:t>
      </w:r>
    </w:p>
    <w:tbl>
      <w:tblPr>
        <w:tblW w:type="auto" w:w="0"/>
        <w:jc w:val="center"/>
        <w:tblLook w:firstColumn="1" w:firstRow="1" w:lastColumn="0" w:lastRow="0" w:noHBand="0" w:noVBand="1" w:val="04A0"/>
      </w:tblPr>
      <w:tblGrid>
        <w:gridCol w:w="10080"/>
      </w:tblGrid>
      <w:tr>
        <w:tc>
          <w:tcPr>
            <w:tcW w:type="dxa" w:w="10080"/>
            <w:shd w:fill="D9EAF7"/>
            <w:tcMar>
              <w:top w:w="135" w:type="dxa"/>
              <w:start w:w="175" w:type="dxa"/>
              <w:bottom w:w="135" w:type="dxa"/>
              <w:end w:w="175" w:type="dxa"/>
            </w:tcMar>
          </w:tcPr>
          <w:p>
            <w:pPr>
              <w:spacing w:after="40"/>
            </w:pPr>
            <w:r>
              <w:rPr>
                <w:b/>
                <w:color w:val="17365D"/>
                <w:sz w:val="20"/>
              </w:rPr>
              <w:t xml:space="preserve">Learning outcome:  </w:t>
            </w:r>
            <w:r>
              <w:rPr>
                <w:color w:val="1F2937"/>
                <w:sz w:val="20"/>
              </w:rPr>
              <w:t>Design a useful GraphQL boundary, explain when it is better or worse than REST, prevent N+1 and abusive queries, secure fields and relationships, and operate the graph safely in production.</w:t>
            </w:r>
          </w:p>
        </w:tc>
      </w:tr>
    </w:tbl>
    <w:p>
      <w:pPr>
        <w:spacing w:after="20"/>
      </w:pPr>
    </w:p>
    <w:p>
      <w:pPr>
        <w:spacing w:before="1400"/>
        <w:jc w:val="center"/>
      </w:pPr>
      <w:r>
        <w:rPr>
          <w:color w:val="6B7280"/>
          <w:sz w:val="20"/>
        </w:rPr>
        <w:t>Architecture learning series | July 2026</w:t>
      </w:r>
    </w:p>
    <w:p>
      <w:r>
        <w:br w:type="page"/>
      </w:r>
    </w:p>
    <w:p>
      <w:pPr>
        <w:pStyle w:val="Heading1"/>
      </w:pPr>
      <w:r>
        <w:t>1. Where GraphQL fits in the series</w:t>
      </w:r>
    </w:p>
    <w:p>
      <w:r>
        <w:t>GraphQL is primarily a client-driven query and composition technology. It is strongest when controlled clients need different views of connected data and weakest when the operation is simple, command-heavy, bulk-oriented, or requires durable asynchronous processing.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24"/>
            <w:shd w:fill="17365D"/>
            <w:vAlign w:val="center"/>
            <w:tcMar>
              <w:top w:w="100" w:type="dxa"/>
              <w:start w:w="120" w:type="dxa"/>
              <w:bottom w:w="100" w:type="dxa"/>
              <w:end w:w="120" w:type="dxa"/>
            </w:tcMar>
          </w:tcPr>
          <w:p>
            <w:pPr>
              <w:jc w:val="center"/>
            </w:pPr>
            <w:r/>
            <w:r>
              <w:rPr>
                <w:b/>
                <w:color w:val="FFFFFF"/>
                <w:sz w:val="18"/>
              </w:rPr>
              <w:t>Use GraphQL for</w:t>
            </w:r>
          </w:p>
        </w:tc>
        <w:tc>
          <w:tcPr>
            <w:tcW w:type="dxa" w:w="4824"/>
            <w:shd w:fill="17365D"/>
            <w:vAlign w:val="center"/>
            <w:tcMar>
              <w:top w:w="100" w:type="dxa"/>
              <w:start w:w="120" w:type="dxa"/>
              <w:bottom w:w="100" w:type="dxa"/>
              <w:end w:w="120" w:type="dxa"/>
            </w:tcMar>
          </w:tcPr>
          <w:p>
            <w:pPr>
              <w:jc w:val="center"/>
            </w:pPr>
            <w:r/>
            <w:r>
              <w:rPr>
                <w:b/>
                <w:color w:val="FFFFFF"/>
                <w:sz w:val="18"/>
              </w:rPr>
              <w:t>Prefer another style when</w:t>
            </w:r>
          </w:p>
        </w:tc>
      </w:tr>
      <w:tr>
        <w:tc>
          <w:tcPr>
            <w:tcW w:type="dxa" w:w="4824"/>
            <w:vAlign w:val="center"/>
            <w:tcMar>
              <w:top w:w="100" w:type="dxa"/>
              <w:start w:w="120" w:type="dxa"/>
              <w:bottom w:w="100" w:type="dxa"/>
              <w:end w:w="120" w:type="dxa"/>
            </w:tcMar>
          </w:tcPr>
          <w:p>
            <w:pPr>
              <w:jc w:val="left"/>
            </w:pPr>
            <w:r/>
            <w:r>
              <w:rPr>
                <w:b w:val="0"/>
                <w:color w:val="1F2937"/>
                <w:sz w:val="18"/>
              </w:rPr>
              <w:t>A frontend needs data from several domains in one screen.</w:t>
            </w:r>
          </w:p>
        </w:tc>
        <w:tc>
          <w:tcPr>
            <w:tcW w:type="dxa" w:w="4824"/>
            <w:vAlign w:val="center"/>
            <w:tcMar>
              <w:top w:w="100" w:type="dxa"/>
              <w:start w:w="120" w:type="dxa"/>
              <w:bottom w:w="100" w:type="dxa"/>
              <w:end w:w="120" w:type="dxa"/>
            </w:tcMar>
          </w:tcPr>
          <w:p>
            <w:pPr>
              <w:jc w:val="left"/>
            </w:pPr>
            <w:r/>
            <w:r>
              <w:rPr>
                <w:b w:val="0"/>
                <w:color w:val="1F2937"/>
                <w:sz w:val="18"/>
              </w:rPr>
              <w:t>The API is simple CRUD with stable representations; REST is usually simpler.</w:t>
            </w:r>
          </w:p>
        </w:tc>
      </w:tr>
      <w:tr>
        <w:tc>
          <w:tcPr>
            <w:tcW w:type="dxa" w:w="4824"/>
            <w:vAlign w:val="center"/>
            <w:tcMar>
              <w:top w:w="100" w:type="dxa"/>
              <w:start w:w="120" w:type="dxa"/>
              <w:bottom w:w="100" w:type="dxa"/>
              <w:end w:w="120" w:type="dxa"/>
            </w:tcMar>
          </w:tcPr>
          <w:p>
            <w:pPr>
              <w:jc w:val="left"/>
            </w:pPr>
            <w:r/>
            <w:r>
              <w:rPr>
                <w:b w:val="0"/>
                <w:color w:val="1F2937"/>
                <w:sz w:val="18"/>
              </w:rPr>
              <w:t>Mobile, web, and partner clients require different field selections.</w:t>
            </w:r>
          </w:p>
        </w:tc>
        <w:tc>
          <w:tcPr>
            <w:tcW w:type="dxa" w:w="4824"/>
            <w:vAlign w:val="center"/>
            <w:tcMar>
              <w:top w:w="100" w:type="dxa"/>
              <w:start w:w="120" w:type="dxa"/>
              <w:bottom w:w="100" w:type="dxa"/>
              <w:end w:w="120" w:type="dxa"/>
            </w:tcMar>
          </w:tcPr>
          <w:p>
            <w:pPr>
              <w:jc w:val="left"/>
            </w:pPr>
            <w:r/>
            <w:r>
              <w:rPr>
                <w:b w:val="0"/>
                <w:color w:val="1F2937"/>
                <w:sz w:val="18"/>
              </w:rPr>
              <w:t>The workflow is a high-value command such as a transfer; explicit REST or gRPC is clearer.</w:t>
            </w:r>
          </w:p>
        </w:tc>
      </w:tr>
      <w:tr>
        <w:tc>
          <w:tcPr>
            <w:tcW w:type="dxa" w:w="4824"/>
            <w:vAlign w:val="center"/>
            <w:tcMar>
              <w:top w:w="100" w:type="dxa"/>
              <w:start w:w="120" w:type="dxa"/>
              <w:bottom w:w="100" w:type="dxa"/>
              <w:end w:w="120" w:type="dxa"/>
            </w:tcMar>
          </w:tcPr>
          <w:p>
            <w:pPr>
              <w:jc w:val="left"/>
            </w:pPr>
            <w:r/>
            <w:r>
              <w:rPr>
                <w:b w:val="0"/>
                <w:color w:val="1F2937"/>
                <w:sz w:val="18"/>
              </w:rPr>
              <w:t>A typed schema and discoverability improve client development.</w:t>
            </w:r>
          </w:p>
        </w:tc>
        <w:tc>
          <w:tcPr>
            <w:tcW w:type="dxa" w:w="4824"/>
            <w:vAlign w:val="center"/>
            <w:tcMar>
              <w:top w:w="100" w:type="dxa"/>
              <w:start w:w="120" w:type="dxa"/>
              <w:bottom w:w="100" w:type="dxa"/>
              <w:end w:w="120" w:type="dxa"/>
            </w:tcMar>
          </w:tcPr>
          <w:p>
            <w:pPr>
              <w:jc w:val="left"/>
            </w:pPr>
            <w:r/>
            <w:r>
              <w:rPr>
                <w:b w:val="0"/>
                <w:color w:val="1F2937"/>
                <w:sz w:val="18"/>
              </w:rPr>
              <w:t>The workload is high-frequency fixed-shape internal RPC; gRPC is usually more predictable.</w:t>
            </w:r>
          </w:p>
        </w:tc>
      </w:tr>
      <w:tr>
        <w:tc>
          <w:tcPr>
            <w:tcW w:type="dxa" w:w="4824"/>
            <w:vAlign w:val="center"/>
            <w:tcMar>
              <w:top w:w="100" w:type="dxa"/>
              <w:start w:w="120" w:type="dxa"/>
              <w:bottom w:w="100" w:type="dxa"/>
              <w:end w:w="120" w:type="dxa"/>
            </w:tcMar>
          </w:tcPr>
          <w:p>
            <w:pPr>
              <w:jc w:val="left"/>
            </w:pPr>
            <w:r/>
            <w:r>
              <w:rPr>
                <w:b w:val="0"/>
                <w:color w:val="1F2937"/>
                <w:sz w:val="18"/>
              </w:rPr>
              <w:t>A BFF needs to compose existing REST or gRPC services.</w:t>
            </w:r>
          </w:p>
        </w:tc>
        <w:tc>
          <w:tcPr>
            <w:tcW w:type="dxa" w:w="4824"/>
            <w:vAlign w:val="center"/>
            <w:tcMar>
              <w:top w:w="100" w:type="dxa"/>
              <w:start w:w="120" w:type="dxa"/>
              <w:bottom w:w="100" w:type="dxa"/>
              <w:end w:w="120" w:type="dxa"/>
            </w:tcMar>
          </w:tcPr>
          <w:p>
            <w:pPr>
              <w:jc w:val="left"/>
            </w:pPr>
            <w:r/>
            <w:r>
              <w:rPr>
                <w:b w:val="0"/>
                <w:color w:val="1F2937"/>
                <w:sz w:val="18"/>
              </w:rPr>
              <w:t>The requirement is durable fan-out, replay, or offline consumers; use an event broker.</w:t>
            </w:r>
          </w:p>
        </w:tc>
      </w:tr>
      <w:tr>
        <w:tc>
          <w:tcPr>
            <w:tcW w:type="dxa" w:w="4824"/>
            <w:vAlign w:val="center"/>
            <w:tcMar>
              <w:top w:w="100" w:type="dxa"/>
              <w:start w:w="120" w:type="dxa"/>
              <w:bottom w:w="100" w:type="dxa"/>
              <w:end w:w="120" w:type="dxa"/>
            </w:tcMar>
          </w:tcPr>
          <w:p>
            <w:pPr>
              <w:jc w:val="left"/>
            </w:pPr>
            <w:r/>
            <w:r>
              <w:rPr>
                <w:b w:val="0"/>
                <w:color w:val="1F2937"/>
                <w:sz w:val="18"/>
              </w:rPr>
              <w:t>The organization can enforce query cost, authorization, ownership, and compatibility.</w:t>
            </w:r>
          </w:p>
        </w:tc>
        <w:tc>
          <w:tcPr>
            <w:tcW w:type="dxa" w:w="4824"/>
            <w:vAlign w:val="center"/>
            <w:tcMar>
              <w:top w:w="100" w:type="dxa"/>
              <w:start w:w="120" w:type="dxa"/>
              <w:bottom w:w="100" w:type="dxa"/>
              <w:end w:w="120" w:type="dxa"/>
            </w:tcMar>
          </w:tcPr>
          <w:p>
            <w:pPr>
              <w:jc w:val="left"/>
            </w:pPr>
            <w:r/>
            <w:r>
              <w:rPr>
                <w:b w:val="0"/>
                <w:color w:val="1F2937"/>
                <w:sz w:val="18"/>
              </w:rPr>
              <w:t>The team cannot operate graph governance and arbitrary query risk safely.</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Mar>
              <w:top w:w="135" w:type="dxa"/>
              <w:start w:w="175" w:type="dxa"/>
              <w:bottom w:w="135" w:type="dxa"/>
              <w:end w:w="175" w:type="dxa"/>
            </w:tcMar>
          </w:tcPr>
          <w:p>
            <w:pPr>
              <w:spacing w:after="40"/>
            </w:pPr>
            <w:r>
              <w:rPr>
                <w:b/>
                <w:color w:val="7F6000"/>
                <w:sz w:val="20"/>
              </w:rPr>
              <w:t xml:space="preserve">Architect rule:  </w:t>
            </w:r>
            <w:r>
              <w:rPr>
                <w:color w:val="1F2937"/>
                <w:sz w:val="20"/>
              </w:rPr>
              <w:t>GraphQL does not remove backend complexity. It relocates composition, authorization, query planning, and performance responsibility from clients into the graph layer.</w:t>
            </w:r>
          </w:p>
        </w:tc>
      </w:tr>
    </w:tbl>
    <w:p>
      <w:pPr>
        <w:spacing w:after="20"/>
      </w:pPr>
    </w:p>
    <w:p>
      <w:pPr>
        <w:pStyle w:val="Heading1"/>
      </w:pPr>
      <w:r>
        <w:t>2. Core mental model</w:t>
      </w:r>
    </w:p>
    <w:p>
      <w:pPr>
        <w:pStyle w:val="Heading2"/>
      </w:pPr>
      <w:r>
        <w:t>2.1 Schema, operation, resolver, and data source</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Client query</w:t>
              <w:br/>
              <w:t xml:space="preserve">   |</w:t>
              <w:br/>
              <w:t xml:space="preserve">   v</w:t>
              <w:br/>
              <w:t>GraphQL schema validates requested fields</w:t>
              <w:br/>
              <w:t xml:space="preserve">   |</w:t>
              <w:br/>
              <w:t xml:space="preserve">   v</w:t>
              <w:br/>
              <w:t>Resolvers fetch or compute values</w:t>
              <w:br/>
              <w:t xml:space="preserve">   |</w:t>
              <w:br/>
              <w:t xml:space="preserve">   +--&gt; REST service</w:t>
              <w:br/>
              <w:t xml:space="preserve">   +--&gt; gRPC service</w:t>
              <w:br/>
              <w:t xml:space="preserve">   +--&gt; database/read model</w:t>
              <w:br/>
              <w:t xml:space="preserve">   +--&gt; cache</w:t>
            </w:r>
          </w:p>
        </w:tc>
      </w:tr>
    </w:tbl>
    <w:p>
      <w:pPr>
        <w:spacing w:after="20"/>
      </w:pPr>
    </w:p>
    <w:p>
      <w:r>
        <w:t>The schema is a consumer-facing contract. A resolver is implementation code for a field or operation. The schema should describe the domain that clients understand, not expose database tables or internal microservice boundaries.</w:t>
      </w:r>
    </w:p>
    <w:p>
      <w:pPr>
        <w:pStyle w:val="Heading2"/>
      </w:pPr>
      <w:r>
        <w:t>2.2 Queries, mutations, and subscriptions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7365D"/>
            <w:vAlign w:val="center"/>
            <w:tcMar>
              <w:top w:w="100" w:type="dxa"/>
              <w:start w:w="120" w:type="dxa"/>
              <w:bottom w:w="100" w:type="dxa"/>
              <w:end w:w="120" w:type="dxa"/>
            </w:tcMar>
          </w:tcPr>
          <w:p>
            <w:pPr>
              <w:jc w:val="center"/>
            </w:pPr>
            <w:r/>
            <w:r>
              <w:rPr>
                <w:b/>
                <w:color w:val="FFFFFF"/>
                <w:sz w:val="18"/>
              </w:rPr>
              <w:t>Operation</w:t>
            </w:r>
          </w:p>
        </w:tc>
        <w:tc>
          <w:tcPr>
            <w:tcW w:type="dxa" w:w="2448"/>
            <w:shd w:fill="17365D"/>
            <w:vAlign w:val="center"/>
            <w:tcMar>
              <w:top w:w="100" w:type="dxa"/>
              <w:start w:w="120" w:type="dxa"/>
              <w:bottom w:w="100" w:type="dxa"/>
              <w:end w:w="120" w:type="dxa"/>
            </w:tcMar>
          </w:tcPr>
          <w:p>
            <w:pPr>
              <w:jc w:val="center"/>
            </w:pPr>
            <w:r/>
            <w:r>
              <w:rPr>
                <w:b/>
                <w:color w:val="FFFFFF"/>
                <w:sz w:val="18"/>
              </w:rPr>
              <w:t>Purpose</w:t>
            </w:r>
          </w:p>
        </w:tc>
        <w:tc>
          <w:tcPr>
            <w:tcW w:type="dxa" w:w="3744"/>
            <w:shd w:fill="17365D"/>
            <w:vAlign w:val="center"/>
            <w:tcMar>
              <w:top w:w="100" w:type="dxa"/>
              <w:start w:w="120" w:type="dxa"/>
              <w:bottom w:w="100" w:type="dxa"/>
              <w:end w:w="120" w:type="dxa"/>
            </w:tcMar>
          </w:tcPr>
          <w:p>
            <w:pPr>
              <w:jc w:val="center"/>
            </w:pPr>
            <w:r/>
            <w:r>
              <w:rPr>
                <w:b/>
                <w:color w:val="FFFFFF"/>
                <w:sz w:val="18"/>
              </w:rPr>
              <w:t>Typical example</w:t>
            </w:r>
          </w:p>
        </w:tc>
        <w:tc>
          <w:tcPr>
            <w:tcW w:type="dxa" w:w="2592"/>
            <w:shd w:fill="17365D"/>
            <w:vAlign w:val="center"/>
            <w:tcMar>
              <w:top w:w="100" w:type="dxa"/>
              <w:start w:w="120" w:type="dxa"/>
              <w:bottom w:w="100" w:type="dxa"/>
              <w:end w:w="120" w:type="dxa"/>
            </w:tcMar>
          </w:tcPr>
          <w:p>
            <w:pPr>
              <w:jc w:val="center"/>
            </w:pPr>
            <w:r/>
            <w:r>
              <w:rPr>
                <w:b/>
                <w:color w:val="FFFFFF"/>
                <w:sz w:val="18"/>
              </w:rPr>
              <w:t>Caution</w:t>
            </w:r>
          </w:p>
        </w:tc>
      </w:tr>
      <w:tr>
        <w:tc>
          <w:tcPr>
            <w:tcW w:type="dxa" w:w="1440"/>
            <w:vAlign w:val="center"/>
            <w:tcMar>
              <w:top w:w="100" w:type="dxa"/>
              <w:start w:w="120" w:type="dxa"/>
              <w:bottom w:w="100" w:type="dxa"/>
              <w:end w:w="120" w:type="dxa"/>
            </w:tcMar>
          </w:tcPr>
          <w:p>
            <w:pPr>
              <w:jc w:val="left"/>
            </w:pPr>
            <w:r/>
            <w:r>
              <w:rPr>
                <w:b w:val="0"/>
                <w:color w:val="1F2937"/>
                <w:sz w:val="18"/>
              </w:rPr>
              <w:t>Query</w:t>
            </w:r>
          </w:p>
        </w:tc>
        <w:tc>
          <w:tcPr>
            <w:tcW w:type="dxa" w:w="2448"/>
            <w:vAlign w:val="center"/>
            <w:tcMar>
              <w:top w:w="100" w:type="dxa"/>
              <w:start w:w="120" w:type="dxa"/>
              <w:bottom w:w="100" w:type="dxa"/>
              <w:end w:w="120" w:type="dxa"/>
            </w:tcMar>
          </w:tcPr>
          <w:p>
            <w:pPr>
              <w:jc w:val="left"/>
            </w:pPr>
            <w:r/>
            <w:r>
              <w:rPr>
                <w:b w:val="0"/>
                <w:color w:val="1F2937"/>
                <w:sz w:val="18"/>
              </w:rPr>
              <w:t>Read data without intentional business state change</w:t>
            </w:r>
          </w:p>
        </w:tc>
        <w:tc>
          <w:tcPr>
            <w:tcW w:type="dxa" w:w="3744"/>
            <w:vAlign w:val="center"/>
            <w:tcMar>
              <w:top w:w="100" w:type="dxa"/>
              <w:start w:w="120" w:type="dxa"/>
              <w:bottom w:w="100" w:type="dxa"/>
              <w:end w:w="120" w:type="dxa"/>
            </w:tcMar>
          </w:tcPr>
          <w:p>
            <w:pPr>
              <w:jc w:val="left"/>
            </w:pPr>
            <w:r/>
            <w:r>
              <w:rPr>
                <w:b w:val="0"/>
                <w:color w:val="1F2937"/>
                <w:sz w:val="18"/>
              </w:rPr>
              <w:t>Home page, patient summary, order details</w:t>
            </w:r>
          </w:p>
        </w:tc>
        <w:tc>
          <w:tcPr>
            <w:tcW w:type="dxa" w:w="2592"/>
            <w:vAlign w:val="center"/>
            <w:tcMar>
              <w:top w:w="100" w:type="dxa"/>
              <w:start w:w="120" w:type="dxa"/>
              <w:bottom w:w="100" w:type="dxa"/>
              <w:end w:w="120" w:type="dxa"/>
            </w:tcMar>
          </w:tcPr>
          <w:p>
            <w:pPr>
              <w:jc w:val="left"/>
            </w:pPr>
            <w:r/>
            <w:r>
              <w:rPr>
                <w:b w:val="0"/>
                <w:color w:val="1F2937"/>
                <w:sz w:val="18"/>
              </w:rPr>
              <w:t>May still be expensive; safe does not mean cheap.</w:t>
            </w:r>
          </w:p>
        </w:tc>
      </w:tr>
      <w:tr>
        <w:tc>
          <w:tcPr>
            <w:tcW w:type="dxa" w:w="1440"/>
            <w:vAlign w:val="center"/>
            <w:tcMar>
              <w:top w:w="100" w:type="dxa"/>
              <w:start w:w="120" w:type="dxa"/>
              <w:bottom w:w="100" w:type="dxa"/>
              <w:end w:w="120" w:type="dxa"/>
            </w:tcMar>
          </w:tcPr>
          <w:p>
            <w:pPr>
              <w:jc w:val="left"/>
            </w:pPr>
            <w:r/>
            <w:r>
              <w:rPr>
                <w:b w:val="0"/>
                <w:color w:val="1F2937"/>
                <w:sz w:val="18"/>
              </w:rPr>
              <w:t>Mutation</w:t>
            </w:r>
          </w:p>
        </w:tc>
        <w:tc>
          <w:tcPr>
            <w:tcW w:type="dxa" w:w="2448"/>
            <w:vAlign w:val="center"/>
            <w:tcMar>
              <w:top w:w="100" w:type="dxa"/>
              <w:start w:w="120" w:type="dxa"/>
              <w:bottom w:w="100" w:type="dxa"/>
              <w:end w:w="120" w:type="dxa"/>
            </w:tcMar>
          </w:tcPr>
          <w:p>
            <w:pPr>
              <w:jc w:val="left"/>
            </w:pPr>
            <w:r/>
            <w:r>
              <w:rPr>
                <w:b w:val="0"/>
                <w:color w:val="1F2937"/>
                <w:sz w:val="18"/>
              </w:rPr>
              <w:t>Request a state-changing command</w:t>
            </w:r>
          </w:p>
        </w:tc>
        <w:tc>
          <w:tcPr>
            <w:tcW w:type="dxa" w:w="3744"/>
            <w:vAlign w:val="center"/>
            <w:tcMar>
              <w:top w:w="100" w:type="dxa"/>
              <w:start w:w="120" w:type="dxa"/>
              <w:bottom w:w="100" w:type="dxa"/>
              <w:end w:w="120" w:type="dxa"/>
            </w:tcMar>
          </w:tcPr>
          <w:p>
            <w:pPr>
              <w:jc w:val="left"/>
            </w:pPr>
            <w:r/>
            <w:r>
              <w:rPr>
                <w:b w:val="0"/>
                <w:color w:val="1F2937"/>
                <w:sz w:val="18"/>
              </w:rPr>
              <w:t>Create order, update profile, cancel booking</w:t>
            </w:r>
          </w:p>
        </w:tc>
        <w:tc>
          <w:tcPr>
            <w:tcW w:type="dxa" w:w="2592"/>
            <w:vAlign w:val="center"/>
            <w:tcMar>
              <w:top w:w="100" w:type="dxa"/>
              <w:start w:w="120" w:type="dxa"/>
              <w:bottom w:w="100" w:type="dxa"/>
              <w:end w:w="120" w:type="dxa"/>
            </w:tcMar>
          </w:tcPr>
          <w:p>
            <w:pPr>
              <w:jc w:val="left"/>
            </w:pPr>
            <w:r/>
            <w:r>
              <w:rPr>
                <w:b w:val="0"/>
                <w:color w:val="1F2937"/>
                <w:sz w:val="18"/>
              </w:rPr>
              <w:t>Needs idempotency and typed business outcomes.</w:t>
            </w:r>
          </w:p>
        </w:tc>
      </w:tr>
      <w:tr>
        <w:tc>
          <w:tcPr>
            <w:tcW w:type="dxa" w:w="1440"/>
            <w:vAlign w:val="center"/>
            <w:tcMar>
              <w:top w:w="100" w:type="dxa"/>
              <w:start w:w="120" w:type="dxa"/>
              <w:bottom w:w="100" w:type="dxa"/>
              <w:end w:w="120" w:type="dxa"/>
            </w:tcMar>
          </w:tcPr>
          <w:p>
            <w:pPr>
              <w:jc w:val="left"/>
            </w:pPr>
            <w:r/>
            <w:r>
              <w:rPr>
                <w:b w:val="0"/>
                <w:color w:val="1F2937"/>
                <w:sz w:val="18"/>
              </w:rPr>
              <w:t>Subscription</w:t>
            </w:r>
          </w:p>
        </w:tc>
        <w:tc>
          <w:tcPr>
            <w:tcW w:type="dxa" w:w="2448"/>
            <w:vAlign w:val="center"/>
            <w:tcMar>
              <w:top w:w="100" w:type="dxa"/>
              <w:start w:w="120" w:type="dxa"/>
              <w:bottom w:w="100" w:type="dxa"/>
              <w:end w:w="120" w:type="dxa"/>
            </w:tcMar>
          </w:tcPr>
          <w:p>
            <w:pPr>
              <w:jc w:val="left"/>
            </w:pPr>
            <w:r/>
            <w:r>
              <w:rPr>
                <w:b w:val="0"/>
                <w:color w:val="1F2937"/>
                <w:sz w:val="18"/>
              </w:rPr>
              <w:t>Push updates to connected clients</w:t>
            </w:r>
          </w:p>
        </w:tc>
        <w:tc>
          <w:tcPr>
            <w:tcW w:type="dxa" w:w="3744"/>
            <w:vAlign w:val="center"/>
            <w:tcMar>
              <w:top w:w="100" w:type="dxa"/>
              <w:start w:w="120" w:type="dxa"/>
              <w:bottom w:w="100" w:type="dxa"/>
              <w:end w:w="120" w:type="dxa"/>
            </w:tcMar>
          </w:tcPr>
          <w:p>
            <w:pPr>
              <w:jc w:val="left"/>
            </w:pPr>
            <w:r/>
            <w:r>
              <w:rPr>
                <w:b w:val="0"/>
                <w:color w:val="1F2937"/>
                <w:sz w:val="18"/>
              </w:rPr>
              <w:t>Order status, dashboard notifications</w:t>
            </w:r>
          </w:p>
        </w:tc>
        <w:tc>
          <w:tcPr>
            <w:tcW w:type="dxa" w:w="2592"/>
            <w:vAlign w:val="center"/>
            <w:tcMar>
              <w:top w:w="100" w:type="dxa"/>
              <w:start w:w="120" w:type="dxa"/>
              <w:bottom w:w="100" w:type="dxa"/>
              <w:end w:w="120" w:type="dxa"/>
            </w:tcMar>
          </w:tcPr>
          <w:p>
            <w:pPr>
              <w:jc w:val="left"/>
            </w:pPr>
            <w:r/>
            <w:r>
              <w:rPr>
                <w:b w:val="0"/>
                <w:color w:val="1F2937"/>
                <w:sz w:val="18"/>
              </w:rPr>
              <w:t>Not a durable event bus or replay mechanism.</w:t>
            </w:r>
          </w:p>
        </w:tc>
      </w:tr>
    </w:tbl>
    <w:p>
      <w:pPr>
        <w:spacing w:after="20"/>
      </w:pPr>
    </w:p>
    <w:p>
      <w:pPr>
        <w:pStyle w:val="Heading1"/>
      </w:pPr>
      <w:r>
        <w:t>3. Running example A: food delivery home screen</w:t>
      </w:r>
    </w:p>
    <w:p>
      <w:pPr>
        <w:pStyle w:val="Heading2"/>
      </w:pPr>
      <w:r>
        <w:t>3.1 The REST composition problem</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GET /customers/me</w:t>
              <w:br/>
              <w:t>GET /addresses?customerId=me</w:t>
              <w:br/>
              <w:t>GET /restaurants?near=...</w:t>
              <w:br/>
              <w:t>GET /offers?customerId=me</w:t>
              <w:br/>
              <w:t>GET /orders?customerId=me&amp;limit=5</w:t>
              <w:br/>
              <w:t>GET /recommendations?customerId=me</w:t>
            </w:r>
          </w:p>
        </w:tc>
      </w:tr>
    </w:tbl>
    <w:p>
      <w:pPr>
        <w:spacing w:after="20"/>
      </w:pPr>
    </w:p>
    <w:p>
      <w:r>
        <w:t>Six calls can create mobile latency, partial failure handling, duplicated authorization, and client orchestration. A GraphQL BFF can expose one consumer-oriented query while resolving data from several backend services.</w:t>
      </w:r>
    </w:p>
    <w:p>
      <w:pPr>
        <w:pStyle w:val="Heading2"/>
      </w:pPr>
      <w:r>
        <w:t>3.2 Consumer-oriented schema</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type Query {</w:t>
              <w:br/>
              <w:t xml:space="preserve">  home(input: HomeInput!): HomePage!</w:t>
              <w:br/>
              <w:t>}</w:t>
              <w:br/>
              <w:br/>
              <w:t>type HomePage {</w:t>
              <w:br/>
              <w:t xml:space="preserve">  viewer: CustomerSummary!</w:t>
              <w:br/>
              <w:t xml:space="preserve">  deliveryAddress: Address</w:t>
              <w:br/>
              <w:t xml:space="preserve">  nearbyRestaurants(first: Int!, after: String): RestaurantConnection!</w:t>
              <w:br/>
              <w:t xml:space="preserve">  activeOrder: OrderSummary</w:t>
              <w:br/>
              <w:t xml:space="preserve">  offers: [Offer!]!</w:t>
              <w:br/>
              <w:t xml:space="preserve">  recommendations(first: Int!): [DishRecommendation!]!</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E2F0D9"/>
            <w:tcMar>
              <w:top w:w="135" w:type="dxa"/>
              <w:start w:w="175" w:type="dxa"/>
              <w:bottom w:w="135" w:type="dxa"/>
              <w:end w:w="175" w:type="dxa"/>
            </w:tcMar>
          </w:tcPr>
          <w:p>
            <w:pPr>
              <w:spacing w:after="40"/>
            </w:pPr>
            <w:r>
              <w:rPr>
                <w:b/>
                <w:color w:val="375623"/>
                <w:sz w:val="20"/>
              </w:rPr>
              <w:t xml:space="preserve">Good boundary:  </w:t>
            </w:r>
            <w:r>
              <w:rPr>
                <w:color w:val="1F2937"/>
                <w:sz w:val="20"/>
              </w:rPr>
              <w:t>The graph exposes a home-page capability. It does not require the mobile app to understand six internal services.</w:t>
            </w:r>
          </w:p>
        </w:tc>
      </w:tr>
    </w:tbl>
    <w:p>
      <w:pPr>
        <w:spacing w:after="20"/>
      </w:pPr>
    </w:p>
    <w:p>
      <w:pPr>
        <w:pStyle w:val="Heading2"/>
      </w:pPr>
      <w:r>
        <w:t>3.3 Example query</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query Home($location: GeoInput!, $restaurantCount: Int!) {</w:t>
              <w:br/>
              <w:t xml:space="preserve">  home(input: { location: $location }) {</w:t>
              <w:br/>
              <w:t xml:space="preserve">    viewer { id firstName }</w:t>
              <w:br/>
              <w:t xml:space="preserve">    deliveryAddress { id label }</w:t>
              <w:br/>
              <w:t xml:space="preserve">    nearbyRestaurants(first: $restaurantCount) {</w:t>
              <w:br/>
              <w:t xml:space="preserve">      edges { node { id name rating estimatedDeliveryMinutes } }</w:t>
              <w:br/>
              <w:t xml:space="preserve">      pageInfo { endCursor hasNextPage }</w:t>
              <w:br/>
              <w:t xml:space="preserve">    }</w:t>
              <w:br/>
              <w:t xml:space="preserve">    activeOrder { id status estimatedArrival }</w:t>
              <w:br/>
              <w:t xml:space="preserve">    offers { id title }</w:t>
              <w:br/>
              <w:t xml:space="preserve">  }</w:t>
              <w:br/>
              <w:t>}</w:t>
            </w:r>
          </w:p>
        </w:tc>
      </w:tr>
    </w:tbl>
    <w:p>
      <w:pPr>
        <w:spacing w:after="20"/>
      </w:pPr>
    </w:p>
    <w:p>
      <w:pPr>
        <w:pStyle w:val="Heading2"/>
      </w:pPr>
      <w:r>
        <w:t>3.4 Failure policy for composed data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365D"/>
            <w:vAlign w:val="center"/>
            <w:tcMar>
              <w:top w:w="100" w:type="dxa"/>
              <w:start w:w="120" w:type="dxa"/>
              <w:bottom w:w="100" w:type="dxa"/>
              <w:end w:w="120" w:type="dxa"/>
            </w:tcMar>
          </w:tcPr>
          <w:p>
            <w:pPr>
              <w:jc w:val="center"/>
            </w:pPr>
            <w:r/>
            <w:r>
              <w:rPr>
                <w:b/>
                <w:color w:val="FFFFFF"/>
                <w:sz w:val="18"/>
              </w:rPr>
              <w:t>Component</w:t>
            </w:r>
          </w:p>
        </w:tc>
        <w:tc>
          <w:tcPr>
            <w:tcW w:type="dxa" w:w="4392"/>
            <w:shd w:fill="17365D"/>
            <w:vAlign w:val="center"/>
            <w:tcMar>
              <w:top w:w="100" w:type="dxa"/>
              <w:start w:w="120" w:type="dxa"/>
              <w:bottom w:w="100" w:type="dxa"/>
              <w:end w:w="120" w:type="dxa"/>
            </w:tcMar>
          </w:tcPr>
          <w:p>
            <w:pPr>
              <w:jc w:val="center"/>
            </w:pPr>
            <w:r/>
            <w:r>
              <w:rPr>
                <w:b/>
                <w:color w:val="FFFFFF"/>
                <w:sz w:val="18"/>
              </w:rPr>
              <w:t>Failure policy</w:t>
            </w:r>
          </w:p>
        </w:tc>
        <w:tc>
          <w:tcPr>
            <w:tcW w:type="dxa" w:w="3096"/>
            <w:shd w:fill="17365D"/>
            <w:vAlign w:val="center"/>
            <w:tcMar>
              <w:top w:w="100" w:type="dxa"/>
              <w:start w:w="120" w:type="dxa"/>
              <w:bottom w:w="100" w:type="dxa"/>
              <w:end w:w="120" w:type="dxa"/>
            </w:tcMar>
          </w:tcPr>
          <w:p>
            <w:pPr>
              <w:jc w:val="center"/>
            </w:pPr>
            <w:r/>
            <w:r>
              <w:rPr>
                <w:b/>
                <w:color w:val="FFFFFF"/>
                <w:sz w:val="18"/>
              </w:rPr>
              <w:t>Reason</w:t>
            </w:r>
          </w:p>
        </w:tc>
      </w:tr>
      <w:tr>
        <w:tc>
          <w:tcPr>
            <w:tcW w:type="dxa" w:w="2304"/>
            <w:vAlign w:val="center"/>
            <w:tcMar>
              <w:top w:w="100" w:type="dxa"/>
              <w:start w:w="120" w:type="dxa"/>
              <w:bottom w:w="100" w:type="dxa"/>
              <w:end w:w="120" w:type="dxa"/>
            </w:tcMar>
          </w:tcPr>
          <w:p>
            <w:pPr>
              <w:jc w:val="left"/>
            </w:pPr>
            <w:r/>
            <w:r>
              <w:rPr>
                <w:b w:val="0"/>
                <w:color w:val="1F2937"/>
                <w:sz w:val="18"/>
              </w:rPr>
              <w:t>Viewer identity</w:t>
            </w:r>
          </w:p>
        </w:tc>
        <w:tc>
          <w:tcPr>
            <w:tcW w:type="dxa" w:w="4392"/>
            <w:vAlign w:val="center"/>
            <w:tcMar>
              <w:top w:w="100" w:type="dxa"/>
              <w:start w:w="120" w:type="dxa"/>
              <w:bottom w:w="100" w:type="dxa"/>
              <w:end w:w="120" w:type="dxa"/>
            </w:tcMar>
          </w:tcPr>
          <w:p>
            <w:pPr>
              <w:jc w:val="left"/>
            </w:pPr>
            <w:r/>
            <w:r>
              <w:rPr>
                <w:b w:val="0"/>
                <w:color w:val="1F2937"/>
                <w:sz w:val="18"/>
              </w:rPr>
              <w:t>Fail the operation</w:t>
            </w:r>
          </w:p>
        </w:tc>
        <w:tc>
          <w:tcPr>
            <w:tcW w:type="dxa" w:w="3096"/>
            <w:vAlign w:val="center"/>
            <w:tcMar>
              <w:top w:w="100" w:type="dxa"/>
              <w:start w:w="120" w:type="dxa"/>
              <w:bottom w:w="100" w:type="dxa"/>
              <w:end w:w="120" w:type="dxa"/>
            </w:tcMar>
          </w:tcPr>
          <w:p>
            <w:pPr>
              <w:jc w:val="left"/>
            </w:pPr>
            <w:r/>
            <w:r>
              <w:rPr>
                <w:b w:val="0"/>
                <w:color w:val="1F2937"/>
                <w:sz w:val="18"/>
              </w:rPr>
              <w:t>The rest of the response cannot be authorized safely.</w:t>
            </w:r>
          </w:p>
        </w:tc>
      </w:tr>
      <w:tr>
        <w:tc>
          <w:tcPr>
            <w:tcW w:type="dxa" w:w="2304"/>
            <w:vAlign w:val="center"/>
            <w:tcMar>
              <w:top w:w="100" w:type="dxa"/>
              <w:start w:w="120" w:type="dxa"/>
              <w:bottom w:w="100" w:type="dxa"/>
              <w:end w:w="120" w:type="dxa"/>
            </w:tcMar>
          </w:tcPr>
          <w:p>
            <w:pPr>
              <w:jc w:val="left"/>
            </w:pPr>
            <w:r/>
            <w:r>
              <w:rPr>
                <w:b w:val="0"/>
                <w:color w:val="1F2937"/>
                <w:sz w:val="18"/>
              </w:rPr>
              <w:t>Nearby restaurants</w:t>
            </w:r>
          </w:p>
        </w:tc>
        <w:tc>
          <w:tcPr>
            <w:tcW w:type="dxa" w:w="4392"/>
            <w:vAlign w:val="center"/>
            <w:tcMar>
              <w:top w:w="100" w:type="dxa"/>
              <w:start w:w="120" w:type="dxa"/>
              <w:bottom w:w="100" w:type="dxa"/>
              <w:end w:w="120" w:type="dxa"/>
            </w:tcMar>
          </w:tcPr>
          <w:p>
            <w:pPr>
              <w:jc w:val="left"/>
            </w:pPr>
            <w:r/>
            <w:r>
              <w:rPr>
                <w:b w:val="0"/>
                <w:color w:val="1F2937"/>
                <w:sz w:val="18"/>
              </w:rPr>
              <w:t>Return field error and empty/null result according to schema</w:t>
            </w:r>
          </w:p>
        </w:tc>
        <w:tc>
          <w:tcPr>
            <w:tcW w:type="dxa" w:w="3096"/>
            <w:vAlign w:val="center"/>
            <w:tcMar>
              <w:top w:w="100" w:type="dxa"/>
              <w:start w:w="120" w:type="dxa"/>
              <w:bottom w:w="100" w:type="dxa"/>
              <w:end w:w="120" w:type="dxa"/>
            </w:tcMar>
          </w:tcPr>
          <w:p>
            <w:pPr>
              <w:jc w:val="left"/>
            </w:pPr>
            <w:r/>
            <w:r>
              <w:rPr>
                <w:b w:val="0"/>
                <w:color w:val="1F2937"/>
                <w:sz w:val="18"/>
              </w:rPr>
              <w:t>The screen can show retry or fallback content.</w:t>
            </w:r>
          </w:p>
        </w:tc>
      </w:tr>
      <w:tr>
        <w:tc>
          <w:tcPr>
            <w:tcW w:type="dxa" w:w="2304"/>
            <w:vAlign w:val="center"/>
            <w:tcMar>
              <w:top w:w="100" w:type="dxa"/>
              <w:start w:w="120" w:type="dxa"/>
              <w:bottom w:w="100" w:type="dxa"/>
              <w:end w:w="120" w:type="dxa"/>
            </w:tcMar>
          </w:tcPr>
          <w:p>
            <w:pPr>
              <w:jc w:val="left"/>
            </w:pPr>
            <w:r/>
            <w:r>
              <w:rPr>
                <w:b w:val="0"/>
                <w:color w:val="1F2937"/>
                <w:sz w:val="18"/>
              </w:rPr>
              <w:t>Recommendations</w:t>
            </w:r>
          </w:p>
        </w:tc>
        <w:tc>
          <w:tcPr>
            <w:tcW w:type="dxa" w:w="4392"/>
            <w:vAlign w:val="center"/>
            <w:tcMar>
              <w:top w:w="100" w:type="dxa"/>
              <w:start w:w="120" w:type="dxa"/>
              <w:bottom w:w="100" w:type="dxa"/>
              <w:end w:w="120" w:type="dxa"/>
            </w:tcMar>
          </w:tcPr>
          <w:p>
            <w:pPr>
              <w:jc w:val="left"/>
            </w:pPr>
            <w:r/>
            <w:r>
              <w:rPr>
                <w:b w:val="0"/>
                <w:color w:val="1F2937"/>
                <w:sz w:val="18"/>
              </w:rPr>
              <w:t>Gracefully omit</w:t>
            </w:r>
          </w:p>
        </w:tc>
        <w:tc>
          <w:tcPr>
            <w:tcW w:type="dxa" w:w="3096"/>
            <w:vAlign w:val="center"/>
            <w:tcMar>
              <w:top w:w="100" w:type="dxa"/>
              <w:start w:w="120" w:type="dxa"/>
              <w:bottom w:w="100" w:type="dxa"/>
              <w:end w:w="120" w:type="dxa"/>
            </w:tcMar>
          </w:tcPr>
          <w:p>
            <w:pPr>
              <w:jc w:val="left"/>
            </w:pPr>
            <w:r/>
            <w:r>
              <w:rPr>
                <w:b w:val="0"/>
                <w:color w:val="1F2937"/>
                <w:sz w:val="18"/>
              </w:rPr>
              <w:t>Non-critical personalization must not block ordering.</w:t>
            </w:r>
          </w:p>
        </w:tc>
      </w:tr>
      <w:tr>
        <w:tc>
          <w:tcPr>
            <w:tcW w:type="dxa" w:w="2304"/>
            <w:vAlign w:val="center"/>
            <w:tcMar>
              <w:top w:w="100" w:type="dxa"/>
              <w:start w:w="120" w:type="dxa"/>
              <w:bottom w:w="100" w:type="dxa"/>
              <w:end w:w="120" w:type="dxa"/>
            </w:tcMar>
          </w:tcPr>
          <w:p>
            <w:pPr>
              <w:jc w:val="left"/>
            </w:pPr>
            <w:r/>
            <w:r>
              <w:rPr>
                <w:b w:val="0"/>
                <w:color w:val="1F2937"/>
                <w:sz w:val="18"/>
              </w:rPr>
              <w:t>Active order</w:t>
            </w:r>
          </w:p>
        </w:tc>
        <w:tc>
          <w:tcPr>
            <w:tcW w:type="dxa" w:w="4392"/>
            <w:vAlign w:val="center"/>
            <w:tcMar>
              <w:top w:w="100" w:type="dxa"/>
              <w:start w:w="120" w:type="dxa"/>
              <w:bottom w:w="100" w:type="dxa"/>
              <w:end w:w="120" w:type="dxa"/>
            </w:tcMar>
          </w:tcPr>
          <w:p>
            <w:pPr>
              <w:jc w:val="left"/>
            </w:pPr>
            <w:r/>
            <w:r>
              <w:rPr>
                <w:b w:val="0"/>
                <w:color w:val="1F2937"/>
                <w:sz w:val="18"/>
              </w:rPr>
              <w:t>Prefer authoritative response or explicit unavailable state</w:t>
            </w:r>
          </w:p>
        </w:tc>
        <w:tc>
          <w:tcPr>
            <w:tcW w:type="dxa" w:w="3096"/>
            <w:vAlign w:val="center"/>
            <w:tcMar>
              <w:top w:w="100" w:type="dxa"/>
              <w:start w:w="120" w:type="dxa"/>
              <w:bottom w:w="100" w:type="dxa"/>
              <w:end w:w="120" w:type="dxa"/>
            </w:tcMar>
          </w:tcPr>
          <w:p>
            <w:pPr>
              <w:jc w:val="left"/>
            </w:pPr>
            <w:r/>
            <w:r>
              <w:rPr>
                <w:b w:val="0"/>
                <w:color w:val="1F2937"/>
                <w:sz w:val="18"/>
              </w:rPr>
              <w:t>Incorrect order status harms trust and operations.</w:t>
            </w:r>
          </w:p>
        </w:tc>
      </w:tr>
    </w:tbl>
    <w:p>
      <w:pPr>
        <w:spacing w:after="20"/>
      </w:pPr>
    </w:p>
    <w:p>
      <w:r>
        <w:t>Nullability is an architectural decision. Marking every field non-null can cause one downstream failure to nullify an entire response. Marking everything nullable makes client contracts weak. Choose nullability based on business criticality and fallback behavior.</w:t>
      </w:r>
    </w:p>
    <w:p>
      <w:pPr>
        <w:pStyle w:val="Heading1"/>
      </w:pPr>
      <w:r>
        <w:t>4. Running example B: healthcare clinician view</w:t>
      </w:r>
    </w:p>
    <w:p>
      <w:pPr>
        <w:pStyle w:val="Heading2"/>
      </w:pPr>
      <w:r>
        <w:t>4.1 Why a graph can help a controlled clinical UI</w:t>
      </w:r>
    </w:p>
    <w:p>
      <w:r>
        <w:t>A clinician workspace may need demographics, allergies, medications, recent observations, encounters, and care-team information. A GraphQL façade can compose these for a first-party UI, while standards-based FHIR APIs remain the interoperability boundary.</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type Patient {</w:t>
              <w:br/>
              <w:t xml:space="preserve">  id: ID!</w:t>
              <w:br/>
              <w:t xml:space="preserve">  name: HumanName!</w:t>
              <w:br/>
              <w:t xml:space="preserve">  allergies(activeOnly: Boolean = true): [Allergy!]!</w:t>
              <w:br/>
              <w:t xml:space="preserve">  medications(status: MedicationStatus): [Medication!]!</w:t>
              <w:br/>
              <w:t xml:space="preserve">  recentObservations(first: Int!, category: ObservationCategory): ObservationConnection!</w:t>
              <w:br/>
              <w:t xml:space="preserve">  encounters(first: Int!, after: String): EncounterConnection!</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Mar>
              <w:top w:w="135" w:type="dxa"/>
              <w:start w:w="175" w:type="dxa"/>
              <w:bottom w:w="135" w:type="dxa"/>
              <w:end w:w="175" w:type="dxa"/>
            </w:tcMar>
          </w:tcPr>
          <w:p>
            <w:pPr>
              <w:spacing w:after="40"/>
            </w:pPr>
            <w:r>
              <w:rPr>
                <w:b/>
                <w:color w:val="7F6000"/>
                <w:sz w:val="20"/>
              </w:rPr>
              <w:t xml:space="preserve">Do not replace interoperability:  </w:t>
            </w:r>
            <w:r>
              <w:rPr>
                <w:color w:val="1F2937"/>
                <w:sz w:val="20"/>
              </w:rPr>
              <w:t>GraphQL may improve an application-specific clinician experience, but it should not silently replace required FHIR contracts for cross-organization exchange.</w:t>
            </w:r>
          </w:p>
        </w:tc>
      </w:tr>
    </w:tbl>
    <w:p>
      <w:pPr>
        <w:spacing w:after="20"/>
      </w:pPr>
    </w:p>
    <w:p>
      <w:pPr>
        <w:pStyle w:val="Heading2"/>
      </w:pPr>
      <w:r>
        <w:t>4.2 Field-level authorization</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query PatientView {</w:t>
              <w:br/>
              <w:t xml:space="preserve">  patient(id: "P123") {</w:t>
              <w:br/>
              <w:t xml:space="preserve">    name</w:t>
              <w:br/>
              <w:t xml:space="preserve">    medications { name status }</w:t>
              <w:br/>
              <w:t xml:space="preserve">    psychiatricNotes { text author }</w:t>
              <w:br/>
              <w:t xml:space="preserve">  }</w:t>
              <w:br/>
              <w:t>}</w:t>
            </w:r>
          </w:p>
        </w:tc>
      </w:tr>
    </w:tbl>
    <w:p>
      <w:pPr>
        <w:spacing w:after="20"/>
      </w:pPr>
    </w:p>
    <w:p>
      <w:r>
        <w:t>Authorization cannot stop at the patient object. The user may access demographics but not sensitive notes, may access one patient only during an active care relationship, or may require purpose-of-use and consent checks.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65D"/>
            <w:vAlign w:val="center"/>
            <w:tcMar>
              <w:top w:w="100" w:type="dxa"/>
              <w:start w:w="120" w:type="dxa"/>
              <w:bottom w:w="100" w:type="dxa"/>
              <w:end w:w="120" w:type="dxa"/>
            </w:tcMar>
          </w:tcPr>
          <w:p>
            <w:pPr>
              <w:jc w:val="center"/>
            </w:pPr>
            <w:r/>
            <w:r>
              <w:rPr>
                <w:b/>
                <w:color w:val="FFFFFF"/>
                <w:sz w:val="18"/>
              </w:rPr>
              <w:t>Authorization layer</w:t>
            </w:r>
          </w:p>
        </w:tc>
        <w:tc>
          <w:tcPr>
            <w:tcW w:type="dxa" w:w="7344"/>
            <w:shd w:fill="17365D"/>
            <w:vAlign w:val="center"/>
            <w:tcMar>
              <w:top w:w="100" w:type="dxa"/>
              <w:start w:w="120" w:type="dxa"/>
              <w:bottom w:w="100" w:type="dxa"/>
              <w:end w:w="120" w:type="dxa"/>
            </w:tcMar>
          </w:tcPr>
          <w:p>
            <w:pPr>
              <w:jc w:val="center"/>
            </w:pPr>
            <w:r/>
            <w:r>
              <w:rPr>
                <w:b/>
                <w:color w:val="FFFFFF"/>
                <w:sz w:val="18"/>
              </w:rPr>
              <w:t>Question</w:t>
            </w:r>
          </w:p>
        </w:tc>
      </w:tr>
      <w:tr>
        <w:tc>
          <w:tcPr>
            <w:tcW w:type="dxa" w:w="2304"/>
            <w:vAlign w:val="center"/>
            <w:tcMar>
              <w:top w:w="100" w:type="dxa"/>
              <w:start w:w="120" w:type="dxa"/>
              <w:bottom w:w="100" w:type="dxa"/>
              <w:end w:w="120" w:type="dxa"/>
            </w:tcMar>
          </w:tcPr>
          <w:p>
            <w:pPr>
              <w:jc w:val="left"/>
            </w:pPr>
            <w:r/>
            <w:r>
              <w:rPr>
                <w:b w:val="0"/>
                <w:color w:val="1F2937"/>
                <w:sz w:val="18"/>
              </w:rPr>
              <w:t>Operation</w:t>
            </w:r>
          </w:p>
        </w:tc>
        <w:tc>
          <w:tcPr>
            <w:tcW w:type="dxa" w:w="7344"/>
            <w:vAlign w:val="center"/>
            <w:tcMar>
              <w:top w:w="100" w:type="dxa"/>
              <w:start w:w="120" w:type="dxa"/>
              <w:bottom w:w="100" w:type="dxa"/>
              <w:end w:w="120" w:type="dxa"/>
            </w:tcMar>
          </w:tcPr>
          <w:p>
            <w:pPr>
              <w:jc w:val="left"/>
            </w:pPr>
            <w:r/>
            <w:r>
              <w:rPr>
                <w:b w:val="0"/>
                <w:color w:val="1F2937"/>
                <w:sz w:val="18"/>
              </w:rPr>
              <w:t>May this client invoke patient queries?</w:t>
            </w:r>
          </w:p>
        </w:tc>
      </w:tr>
      <w:tr>
        <w:tc>
          <w:tcPr>
            <w:tcW w:type="dxa" w:w="2304"/>
            <w:vAlign w:val="center"/>
            <w:tcMar>
              <w:top w:w="100" w:type="dxa"/>
              <w:start w:w="120" w:type="dxa"/>
              <w:bottom w:w="100" w:type="dxa"/>
              <w:end w:w="120" w:type="dxa"/>
            </w:tcMar>
          </w:tcPr>
          <w:p>
            <w:pPr>
              <w:jc w:val="left"/>
            </w:pPr>
            <w:r/>
            <w:r>
              <w:rPr>
                <w:b w:val="0"/>
                <w:color w:val="1F2937"/>
                <w:sz w:val="18"/>
              </w:rPr>
              <w:t>Object</w:t>
            </w:r>
          </w:p>
        </w:tc>
        <w:tc>
          <w:tcPr>
            <w:tcW w:type="dxa" w:w="7344"/>
            <w:vAlign w:val="center"/>
            <w:tcMar>
              <w:top w:w="100" w:type="dxa"/>
              <w:start w:w="120" w:type="dxa"/>
              <w:bottom w:w="100" w:type="dxa"/>
              <w:end w:w="120" w:type="dxa"/>
            </w:tcMar>
          </w:tcPr>
          <w:p>
            <w:pPr>
              <w:jc w:val="left"/>
            </w:pPr>
            <w:r/>
            <w:r>
              <w:rPr>
                <w:b w:val="0"/>
                <w:color w:val="1F2937"/>
                <w:sz w:val="18"/>
              </w:rPr>
              <w:t>May this user access Patient/P123?</w:t>
            </w:r>
          </w:p>
        </w:tc>
      </w:tr>
      <w:tr>
        <w:tc>
          <w:tcPr>
            <w:tcW w:type="dxa" w:w="2304"/>
            <w:vAlign w:val="center"/>
            <w:tcMar>
              <w:top w:w="100" w:type="dxa"/>
              <w:start w:w="120" w:type="dxa"/>
              <w:bottom w:w="100" w:type="dxa"/>
              <w:end w:w="120" w:type="dxa"/>
            </w:tcMar>
          </w:tcPr>
          <w:p>
            <w:pPr>
              <w:jc w:val="left"/>
            </w:pPr>
            <w:r/>
            <w:r>
              <w:rPr>
                <w:b w:val="0"/>
                <w:color w:val="1F2937"/>
                <w:sz w:val="18"/>
              </w:rPr>
              <w:t>Field</w:t>
            </w:r>
          </w:p>
        </w:tc>
        <w:tc>
          <w:tcPr>
            <w:tcW w:type="dxa" w:w="7344"/>
            <w:vAlign w:val="center"/>
            <w:tcMar>
              <w:top w:w="100" w:type="dxa"/>
              <w:start w:w="120" w:type="dxa"/>
              <w:bottom w:w="100" w:type="dxa"/>
              <w:end w:w="120" w:type="dxa"/>
            </w:tcMar>
          </w:tcPr>
          <w:p>
            <w:pPr>
              <w:jc w:val="left"/>
            </w:pPr>
            <w:r/>
            <w:r>
              <w:rPr>
                <w:b w:val="0"/>
                <w:color w:val="1F2937"/>
                <w:sz w:val="18"/>
              </w:rPr>
              <w:t>May the user access psychiatricNotes?</w:t>
            </w:r>
          </w:p>
        </w:tc>
      </w:tr>
      <w:tr>
        <w:tc>
          <w:tcPr>
            <w:tcW w:type="dxa" w:w="2304"/>
            <w:vAlign w:val="center"/>
            <w:tcMar>
              <w:top w:w="100" w:type="dxa"/>
              <w:start w:w="120" w:type="dxa"/>
              <w:bottom w:w="100" w:type="dxa"/>
              <w:end w:w="120" w:type="dxa"/>
            </w:tcMar>
          </w:tcPr>
          <w:p>
            <w:pPr>
              <w:jc w:val="left"/>
            </w:pPr>
            <w:r/>
            <w:r>
              <w:rPr>
                <w:b w:val="0"/>
                <w:color w:val="1F2937"/>
                <w:sz w:val="18"/>
              </w:rPr>
              <w:t>Relationship</w:t>
            </w:r>
          </w:p>
        </w:tc>
        <w:tc>
          <w:tcPr>
            <w:tcW w:type="dxa" w:w="7344"/>
            <w:vAlign w:val="center"/>
            <w:tcMar>
              <w:top w:w="100" w:type="dxa"/>
              <w:start w:w="120" w:type="dxa"/>
              <w:bottom w:w="100" w:type="dxa"/>
              <w:end w:w="120" w:type="dxa"/>
            </w:tcMar>
          </w:tcPr>
          <w:p>
            <w:pPr>
              <w:jc w:val="left"/>
            </w:pPr>
            <w:r/>
            <w:r>
              <w:rPr>
                <w:b w:val="0"/>
                <w:color w:val="1F2937"/>
                <w:sz w:val="18"/>
              </w:rPr>
              <w:t>May the user traverse from patient to another organization or practitioner?</w:t>
            </w:r>
          </w:p>
        </w:tc>
      </w:tr>
      <w:tr>
        <w:tc>
          <w:tcPr>
            <w:tcW w:type="dxa" w:w="2304"/>
            <w:vAlign w:val="center"/>
            <w:tcMar>
              <w:top w:w="100" w:type="dxa"/>
              <w:start w:w="120" w:type="dxa"/>
              <w:bottom w:w="100" w:type="dxa"/>
              <w:end w:w="120" w:type="dxa"/>
            </w:tcMar>
          </w:tcPr>
          <w:p>
            <w:pPr>
              <w:jc w:val="left"/>
            </w:pPr>
            <w:r/>
            <w:r>
              <w:rPr>
                <w:b w:val="0"/>
                <w:color w:val="1F2937"/>
                <w:sz w:val="18"/>
              </w:rPr>
              <w:t>Purpose and consent</w:t>
            </w:r>
          </w:p>
        </w:tc>
        <w:tc>
          <w:tcPr>
            <w:tcW w:type="dxa" w:w="7344"/>
            <w:vAlign w:val="center"/>
            <w:tcMar>
              <w:top w:w="100" w:type="dxa"/>
              <w:start w:w="120" w:type="dxa"/>
              <w:bottom w:w="100" w:type="dxa"/>
              <w:end w:w="120" w:type="dxa"/>
            </w:tcMar>
          </w:tcPr>
          <w:p>
            <w:pPr>
              <w:jc w:val="left"/>
            </w:pPr>
            <w:r/>
            <w:r>
              <w:rPr>
                <w:b w:val="0"/>
                <w:color w:val="1F2937"/>
                <w:sz w:val="18"/>
              </w:rPr>
              <w:t>Is this access permitted for treatment, billing, research, or another stated purpose?</w:t>
            </w:r>
          </w:p>
        </w:tc>
      </w:tr>
      <w:tr>
        <w:tc>
          <w:tcPr>
            <w:tcW w:type="dxa" w:w="2304"/>
            <w:vAlign w:val="center"/>
            <w:tcMar>
              <w:top w:w="100" w:type="dxa"/>
              <w:start w:w="120" w:type="dxa"/>
              <w:bottom w:w="100" w:type="dxa"/>
              <w:end w:w="120" w:type="dxa"/>
            </w:tcMar>
          </w:tcPr>
          <w:p>
            <w:pPr>
              <w:jc w:val="left"/>
            </w:pPr>
            <w:r/>
            <w:r>
              <w:rPr>
                <w:b w:val="0"/>
                <w:color w:val="1F2937"/>
                <w:sz w:val="18"/>
              </w:rPr>
              <w:t>Data source</w:t>
            </w:r>
          </w:p>
        </w:tc>
        <w:tc>
          <w:tcPr>
            <w:tcW w:type="dxa" w:w="7344"/>
            <w:vAlign w:val="center"/>
            <w:tcMar>
              <w:top w:w="100" w:type="dxa"/>
              <w:start w:w="120" w:type="dxa"/>
              <w:bottom w:w="100" w:type="dxa"/>
              <w:end w:w="120" w:type="dxa"/>
            </w:tcMar>
          </w:tcPr>
          <w:p>
            <w:pPr>
              <w:jc w:val="left"/>
            </w:pPr>
            <w:r/>
            <w:r>
              <w:rPr>
                <w:b w:val="0"/>
                <w:color w:val="1F2937"/>
                <w:sz w:val="18"/>
              </w:rPr>
              <w:t>Can restricted data be filtered before it is fetched or logged?</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Mar>
              <w:top w:w="135" w:type="dxa"/>
              <w:start w:w="175" w:type="dxa"/>
              <w:bottom w:w="135" w:type="dxa"/>
              <w:end w:w="175" w:type="dxa"/>
            </w:tcMar>
          </w:tcPr>
          <w:p>
            <w:pPr>
              <w:spacing w:after="40"/>
            </w:pPr>
            <w:r>
              <w:rPr>
                <w:b/>
                <w:color w:val="9C0006"/>
                <w:sz w:val="20"/>
              </w:rPr>
              <w:t xml:space="preserve">Security rule:  </w:t>
            </w:r>
            <w:r>
              <w:rPr>
                <w:color w:val="1F2937"/>
                <w:sz w:val="20"/>
              </w:rPr>
              <w:t>Authorize before fetching sensitive fields whenever possible. Removing a field after loading the data is not equivalent to preventing access.</w:t>
            </w:r>
          </w:p>
        </w:tc>
      </w:tr>
    </w:tbl>
    <w:p>
      <w:pPr>
        <w:spacing w:after="20"/>
      </w:pPr>
    </w:p>
    <w:p>
      <w:pPr>
        <w:pStyle w:val="Heading1"/>
      </w:pPr>
      <w:r>
        <w:t>5. Running example C: financial dashboard and transfer</w:t>
      </w:r>
    </w:p>
    <w:p>
      <w:pPr>
        <w:pStyle w:val="Heading2"/>
      </w:pPr>
      <w:r>
        <w:t>5.1 GraphQL is useful for the dashboard query</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query FinancialDashboard {</w:t>
              <w:br/>
              <w:t xml:space="preserve">  viewer { id displayName }</w:t>
              <w:br/>
              <w:t xml:space="preserve">  accounts(first: 20) {</w:t>
              <w:br/>
              <w:t xml:space="preserve">    edges { node { id name availableBalance { currency value } } }</w:t>
              <w:br/>
              <w:t xml:space="preserve">  }</w:t>
              <w:br/>
              <w:t xml:space="preserve">  recentTransactions(first: 10) {</w:t>
              <w:br/>
              <w:t xml:space="preserve">    edges { node { id postedAt description amount { currency value } status } }</w:t>
              <w:br/>
              <w:t xml:space="preserve">  }</w:t>
              <w:br/>
              <w:t xml:space="preserve">  alerts { id severity message }</w:t>
              <w:br/>
              <w:t>}</w:t>
            </w:r>
          </w:p>
        </w:tc>
      </w:tr>
    </w:tbl>
    <w:p>
      <w:pPr>
        <w:spacing w:after="20"/>
      </w:pPr>
    </w:p>
    <w:p>
      <w:r>
        <w:t>This is a read-composition use case: the client needs a shaped dashboard response. Query cost and caching must still be controlled because balances and transaction history have different freshness requirements.</w:t>
      </w:r>
    </w:p>
    <w:p>
      <w:pPr>
        <w:pStyle w:val="Heading2"/>
      </w:pPr>
      <w:r>
        <w:t>5.2 GraphQL is often not the best public transfer command</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mutation TransferFunds {</w:t>
              <w:br/>
              <w:t xml:space="preserve">  transferFunds(input: { from: "A1", to: "A2", amount: "10000.00" }) {</w:t>
              <w:br/>
              <w:t xml:space="preserve">    id</w:t>
              <w:br/>
              <w:t xml:space="preserve">    status</w:t>
              <w:br/>
              <w:t xml:space="preserve">  }</w:t>
              <w:br/>
              <w:t>}</w:t>
            </w:r>
          </w:p>
        </w:tc>
      </w:tr>
    </w:tbl>
    <w:p>
      <w:pPr>
        <w:spacing w:after="20"/>
      </w:pPr>
    </w:p>
    <w:p>
      <w:r>
        <w:t>The mutation can be implemented safely, but client-selected fields are not the main concern. High-value transfers require explicit idempotency, signatures, replay protection, audit semantics, gateway policy, and clear transport/business outcomes. A dedicated REST command is often easier to govern publicly.</w:t>
      </w:r>
    </w:p>
    <w:tbl>
      <w:tblPr>
        <w:tblW w:type="auto" w:w="0"/>
        <w:jc w:val="center"/>
        <w:tblLook w:firstColumn="1" w:firstRow="1" w:lastColumn="0" w:lastRow="0" w:noHBand="0" w:noVBand="1" w:val="04A0"/>
      </w:tblPr>
      <w:tblGrid>
        <w:gridCol w:w="10080"/>
      </w:tblGrid>
      <w:tr>
        <w:tc>
          <w:tcPr>
            <w:tcW w:type="dxa" w:w="10080"/>
            <w:shd w:fill="E2F0D9"/>
            <w:tcMar>
              <w:top w:w="135" w:type="dxa"/>
              <w:start w:w="175" w:type="dxa"/>
              <w:bottom w:w="135" w:type="dxa"/>
              <w:end w:w="175" w:type="dxa"/>
            </w:tcMar>
          </w:tcPr>
          <w:p>
            <w:pPr>
              <w:spacing w:after="40"/>
            </w:pPr>
            <w:r>
              <w:rPr>
                <w:b/>
                <w:color w:val="375623"/>
                <w:sz w:val="20"/>
              </w:rPr>
              <w:t xml:space="preserve">Hybrid design:  </w:t>
            </w:r>
            <w:r>
              <w:rPr>
                <w:color w:val="1F2937"/>
                <w:sz w:val="20"/>
              </w:rPr>
              <w:t>Use GraphQL for financial dashboards and account composition, while routing high-value commands through a hardened REST endpoint or a dedicated command service.</w:t>
            </w:r>
          </w:p>
        </w:tc>
      </w:tr>
    </w:tbl>
    <w:p>
      <w:pPr>
        <w:spacing w:after="20"/>
      </w:pPr>
    </w:p>
    <w:p>
      <w:pPr>
        <w:pStyle w:val="Heading1"/>
      </w:pPr>
      <w:r>
        <w:t>6. Schema design principles</w:t>
      </w:r>
    </w:p>
    <w:p>
      <w:pPr>
        <w:pStyle w:val="Heading2"/>
      </w:pPr>
      <w:r>
        <w:t>6.1 Model the domain, not database tables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Avoid:</w:t>
              <w:br/>
              <w:t>type OrderTable {</w:t>
              <w:br/>
              <w:t xml:space="preserve">  order_id: Int</w:t>
              <w:br/>
              <w:t xml:space="preserve">  customer_fk: Int</w:t>
              <w:br/>
              <w:t xml:space="preserve">  status_cd: String</w:t>
              <w:br/>
              <w:t xml:space="preserve">  created_ts: String</w:t>
              <w:br/>
              <w:t>}</w:t>
              <w:br/>
              <w:br/>
              <w:t>Prefer:</w:t>
              <w:br/>
              <w:t>type Order {</w:t>
              <w:br/>
              <w:t xml:space="preserve">  id: ID!</w:t>
              <w:br/>
              <w:t xml:space="preserve">  customer: Customer!</w:t>
              <w:br/>
              <w:t xml:space="preserve">  status: OrderStatus!</w:t>
              <w:br/>
              <w:t xml:space="preserve">  createdAt: DateTime!</w:t>
              <w:br/>
              <w:t>}</w:t>
            </w:r>
          </w:p>
        </w:tc>
      </w:tr>
    </w:tbl>
    <w:p>
      <w:pPr>
        <w:spacing w:after="20"/>
      </w:pPr>
    </w:p>
    <w:p>
      <w:pPr>
        <w:pStyle w:val="Heading2"/>
      </w:pPr>
      <w:r>
        <w:t>6.2 Use purpose-specific input types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input CreateOrderInput {</w:t>
              <w:br/>
              <w:t xml:space="preserve">  restaurantId: ID!</w:t>
              <w:br/>
              <w:t xml:space="preserve">  deliveryAddressId: ID!</w:t>
              <w:br/>
              <w:t xml:space="preserve">  items: [CreateOrderItemInput!]!</w:t>
              <w:br/>
              <w:t xml:space="preserve">  paymentMethodId: ID!</w:t>
              <w:br/>
              <w:t xml:space="preserve">  clientMutationId: String</w:t>
              <w:br/>
              <w:t>}</w:t>
            </w:r>
          </w:p>
        </w:tc>
      </w:tr>
    </w:tbl>
    <w:p>
      <w:pPr>
        <w:spacing w:after="20"/>
      </w:pPr>
    </w:p>
    <w:p>
      <w:r>
        <w:t>Do not reuse output object types as mutation input types. Inputs evolve under different rules, have different validation requirements, and should not expose server-managed fields.</w:t>
      </w:r>
    </w:p>
    <w:p>
      <w:pPr>
        <w:pStyle w:val="Heading2"/>
      </w:pPr>
      <w:r>
        <w:t>6.3 Nullability is a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7365D"/>
            <w:vAlign w:val="center"/>
            <w:tcMar>
              <w:top w:w="100" w:type="dxa"/>
              <w:start w:w="120" w:type="dxa"/>
              <w:bottom w:w="100" w:type="dxa"/>
              <w:end w:w="120" w:type="dxa"/>
            </w:tcMar>
          </w:tcPr>
          <w:p>
            <w:pPr>
              <w:jc w:val="center"/>
            </w:pPr>
            <w:r/>
            <w:r>
              <w:rPr>
                <w:b/>
                <w:color w:val="FFFFFF"/>
                <w:sz w:val="18"/>
              </w:rPr>
              <w:t>Type</w:t>
            </w:r>
          </w:p>
        </w:tc>
        <w:tc>
          <w:tcPr>
            <w:tcW w:type="dxa" w:w="4176"/>
            <w:shd w:fill="17365D"/>
            <w:vAlign w:val="center"/>
            <w:tcMar>
              <w:top w:w="100" w:type="dxa"/>
              <w:start w:w="120" w:type="dxa"/>
              <w:bottom w:w="100" w:type="dxa"/>
              <w:end w:w="120" w:type="dxa"/>
            </w:tcMar>
          </w:tcPr>
          <w:p>
            <w:pPr>
              <w:jc w:val="center"/>
            </w:pPr>
            <w:r/>
            <w:r>
              <w:rPr>
                <w:b/>
                <w:color w:val="FFFFFF"/>
                <w:sz w:val="18"/>
              </w:rPr>
              <w:t>Meaning</w:t>
            </w:r>
          </w:p>
        </w:tc>
        <w:tc>
          <w:tcPr>
            <w:tcW w:type="dxa" w:w="3888"/>
            <w:shd w:fill="17365D"/>
            <w:vAlign w:val="center"/>
            <w:tcMar>
              <w:top w:w="100" w:type="dxa"/>
              <w:start w:w="120" w:type="dxa"/>
              <w:bottom w:w="100" w:type="dxa"/>
              <w:end w:w="120" w:type="dxa"/>
            </w:tcMar>
          </w:tcPr>
          <w:p>
            <w:pPr>
              <w:jc w:val="center"/>
            </w:pPr>
            <w:r/>
            <w:r>
              <w:rPr>
                <w:b/>
                <w:color w:val="FFFFFF"/>
                <w:sz w:val="18"/>
              </w:rPr>
              <w:t>Architectural consequence</w:t>
            </w:r>
          </w:p>
        </w:tc>
      </w:tr>
      <w:tr>
        <w:tc>
          <w:tcPr>
            <w:tcW w:type="dxa" w:w="1728"/>
            <w:vAlign w:val="center"/>
            <w:tcMar>
              <w:top w:w="100" w:type="dxa"/>
              <w:start w:w="120" w:type="dxa"/>
              <w:bottom w:w="100" w:type="dxa"/>
              <w:end w:w="120" w:type="dxa"/>
            </w:tcMar>
          </w:tcPr>
          <w:p>
            <w:pPr>
              <w:jc w:val="left"/>
            </w:pPr>
            <w:r/>
            <w:r>
              <w:rPr>
                <w:b w:val="0"/>
                <w:color w:val="1F2937"/>
                <w:sz w:val="18"/>
              </w:rPr>
              <w:t>String</w:t>
            </w:r>
          </w:p>
        </w:tc>
        <w:tc>
          <w:tcPr>
            <w:tcW w:type="dxa" w:w="4176"/>
            <w:vAlign w:val="center"/>
            <w:tcMar>
              <w:top w:w="100" w:type="dxa"/>
              <w:start w:w="120" w:type="dxa"/>
              <w:bottom w:w="100" w:type="dxa"/>
              <w:end w:w="120" w:type="dxa"/>
            </w:tcMar>
          </w:tcPr>
          <w:p>
            <w:pPr>
              <w:jc w:val="left"/>
            </w:pPr>
            <w:r/>
            <w:r>
              <w:rPr>
                <w:b w:val="0"/>
                <w:color w:val="1F2937"/>
                <w:sz w:val="18"/>
              </w:rPr>
              <w:t>Field may be absent/null</w:t>
            </w:r>
          </w:p>
        </w:tc>
        <w:tc>
          <w:tcPr>
            <w:tcW w:type="dxa" w:w="3888"/>
            <w:vAlign w:val="center"/>
            <w:tcMar>
              <w:top w:w="100" w:type="dxa"/>
              <w:start w:w="120" w:type="dxa"/>
              <w:bottom w:w="100" w:type="dxa"/>
              <w:end w:w="120" w:type="dxa"/>
            </w:tcMar>
          </w:tcPr>
          <w:p>
            <w:pPr>
              <w:jc w:val="left"/>
            </w:pPr>
            <w:r/>
            <w:r>
              <w:rPr>
                <w:b w:val="0"/>
                <w:color w:val="1F2937"/>
                <w:sz w:val="18"/>
              </w:rPr>
              <w:t>Client must handle absence.</w:t>
            </w:r>
          </w:p>
        </w:tc>
      </w:tr>
      <w:tr>
        <w:tc>
          <w:tcPr>
            <w:tcW w:type="dxa" w:w="1728"/>
            <w:vAlign w:val="center"/>
            <w:tcMar>
              <w:top w:w="100" w:type="dxa"/>
              <w:start w:w="120" w:type="dxa"/>
              <w:bottom w:w="100" w:type="dxa"/>
              <w:end w:w="120" w:type="dxa"/>
            </w:tcMar>
          </w:tcPr>
          <w:p>
            <w:pPr>
              <w:jc w:val="left"/>
            </w:pPr>
            <w:r/>
            <w:r>
              <w:rPr>
                <w:b w:val="0"/>
                <w:color w:val="1F2937"/>
                <w:sz w:val="18"/>
              </w:rPr>
              <w:t>String!</w:t>
            </w:r>
          </w:p>
        </w:tc>
        <w:tc>
          <w:tcPr>
            <w:tcW w:type="dxa" w:w="4176"/>
            <w:vAlign w:val="center"/>
            <w:tcMar>
              <w:top w:w="100" w:type="dxa"/>
              <w:start w:w="120" w:type="dxa"/>
              <w:bottom w:w="100" w:type="dxa"/>
              <w:end w:w="120" w:type="dxa"/>
            </w:tcMar>
          </w:tcPr>
          <w:p>
            <w:pPr>
              <w:jc w:val="left"/>
            </w:pPr>
            <w:r/>
            <w:r>
              <w:rPr>
                <w:b w:val="0"/>
                <w:color w:val="1F2937"/>
                <w:sz w:val="18"/>
              </w:rPr>
              <w:t>Field is guaranteed when parent object exists</w:t>
            </w:r>
          </w:p>
        </w:tc>
        <w:tc>
          <w:tcPr>
            <w:tcW w:type="dxa" w:w="3888"/>
            <w:vAlign w:val="center"/>
            <w:tcMar>
              <w:top w:w="100" w:type="dxa"/>
              <w:start w:w="120" w:type="dxa"/>
              <w:bottom w:w="100" w:type="dxa"/>
              <w:end w:w="120" w:type="dxa"/>
            </w:tcMar>
          </w:tcPr>
          <w:p>
            <w:pPr>
              <w:jc w:val="left"/>
            </w:pPr>
            <w:r/>
            <w:r>
              <w:rPr>
                <w:b w:val="0"/>
                <w:color w:val="1F2937"/>
                <w:sz w:val="18"/>
              </w:rPr>
              <w:t>Resolver failure can propagate to the parent.</w:t>
            </w:r>
          </w:p>
        </w:tc>
      </w:tr>
      <w:tr>
        <w:tc>
          <w:tcPr>
            <w:tcW w:type="dxa" w:w="1728"/>
            <w:vAlign w:val="center"/>
            <w:tcMar>
              <w:top w:w="100" w:type="dxa"/>
              <w:start w:w="120" w:type="dxa"/>
              <w:bottom w:w="100" w:type="dxa"/>
              <w:end w:w="120" w:type="dxa"/>
            </w:tcMar>
          </w:tcPr>
          <w:p>
            <w:pPr>
              <w:jc w:val="left"/>
            </w:pPr>
            <w:r/>
            <w:r>
              <w:rPr>
                <w:b w:val="0"/>
                <w:color w:val="1F2937"/>
                <w:sz w:val="18"/>
              </w:rPr>
              <w:t>[Item]</w:t>
            </w:r>
          </w:p>
        </w:tc>
        <w:tc>
          <w:tcPr>
            <w:tcW w:type="dxa" w:w="4176"/>
            <w:vAlign w:val="center"/>
            <w:tcMar>
              <w:top w:w="100" w:type="dxa"/>
              <w:start w:w="120" w:type="dxa"/>
              <w:bottom w:w="100" w:type="dxa"/>
              <w:end w:w="120" w:type="dxa"/>
            </w:tcMar>
          </w:tcPr>
          <w:p>
            <w:pPr>
              <w:jc w:val="left"/>
            </w:pPr>
            <w:r/>
            <w:r>
              <w:rPr>
                <w:b w:val="0"/>
                <w:color w:val="1F2937"/>
                <w:sz w:val="18"/>
              </w:rPr>
              <w:t>List, list elements, or both may be null</w:t>
            </w:r>
          </w:p>
        </w:tc>
        <w:tc>
          <w:tcPr>
            <w:tcW w:type="dxa" w:w="3888"/>
            <w:vAlign w:val="center"/>
            <w:tcMar>
              <w:top w:w="100" w:type="dxa"/>
              <w:start w:w="120" w:type="dxa"/>
              <w:bottom w:w="100" w:type="dxa"/>
              <w:end w:w="120" w:type="dxa"/>
            </w:tcMar>
          </w:tcPr>
          <w:p>
            <w:pPr>
              <w:jc w:val="left"/>
            </w:pPr>
            <w:r/>
            <w:r>
              <w:rPr>
                <w:b w:val="0"/>
                <w:color w:val="1F2937"/>
                <w:sz w:val="18"/>
              </w:rPr>
              <w:t>Usually too weak for deliberate APIs.</w:t>
            </w:r>
          </w:p>
        </w:tc>
      </w:tr>
      <w:tr>
        <w:tc>
          <w:tcPr>
            <w:tcW w:type="dxa" w:w="1728"/>
            <w:vAlign w:val="center"/>
            <w:tcMar>
              <w:top w:w="100" w:type="dxa"/>
              <w:start w:w="120" w:type="dxa"/>
              <w:bottom w:w="100" w:type="dxa"/>
              <w:end w:w="120" w:type="dxa"/>
            </w:tcMar>
          </w:tcPr>
          <w:p>
            <w:pPr>
              <w:jc w:val="left"/>
            </w:pPr>
            <w:r/>
            <w:r>
              <w:rPr>
                <w:b w:val="0"/>
                <w:color w:val="1F2937"/>
                <w:sz w:val="18"/>
              </w:rPr>
              <w:t>[Item!]!</w:t>
            </w:r>
          </w:p>
        </w:tc>
        <w:tc>
          <w:tcPr>
            <w:tcW w:type="dxa" w:w="4176"/>
            <w:vAlign w:val="center"/>
            <w:tcMar>
              <w:top w:w="100" w:type="dxa"/>
              <w:start w:w="120" w:type="dxa"/>
              <w:bottom w:w="100" w:type="dxa"/>
              <w:end w:w="120" w:type="dxa"/>
            </w:tcMar>
          </w:tcPr>
          <w:p>
            <w:pPr>
              <w:jc w:val="left"/>
            </w:pPr>
            <w:r/>
            <w:r>
              <w:rPr>
                <w:b w:val="0"/>
                <w:color w:val="1F2937"/>
                <w:sz w:val="18"/>
              </w:rPr>
              <w:t>List always exists and contains no null elements</w:t>
            </w:r>
          </w:p>
        </w:tc>
        <w:tc>
          <w:tcPr>
            <w:tcW w:type="dxa" w:w="3888"/>
            <w:vAlign w:val="center"/>
            <w:tcMar>
              <w:top w:w="100" w:type="dxa"/>
              <w:start w:w="120" w:type="dxa"/>
              <w:bottom w:w="100" w:type="dxa"/>
              <w:end w:w="120" w:type="dxa"/>
            </w:tcMar>
          </w:tcPr>
          <w:p>
            <w:pPr>
              <w:jc w:val="left"/>
            </w:pPr>
            <w:r/>
            <w:r>
              <w:rPr>
                <w:b w:val="0"/>
                <w:color w:val="1F2937"/>
                <w:sz w:val="18"/>
              </w:rPr>
              <w:t>Useful for empty collections, but requires reliable resolution.</w:t>
            </w:r>
          </w:p>
        </w:tc>
      </w:tr>
    </w:tbl>
    <w:p>
      <w:pPr>
        <w:spacing w:after="20"/>
      </w:pPr>
    </w:p>
    <w:p>
      <w:pPr>
        <w:pStyle w:val="Heading2"/>
      </w:pPr>
      <w:r>
        <w:t>6.4 Enums and evolution</w:t>
      </w:r>
    </w:p>
    <w:p>
      <w:r>
        <w:t>Adding an enum value may break clients that assume exhaustive handling. Document unknown-value behavior, generate tolerant clients, and avoid changing the meaning of existing values.</w:t>
      </w:r>
    </w:p>
    <w:p>
      <w:pPr>
        <w:pStyle w:val="Heading1"/>
      </w:pPr>
      <w:r>
        <w:t>7. Pagination and filtering</w:t>
      </w:r>
    </w:p>
    <w:p>
      <w:pPr>
        <w:pStyle w:val="Heading2"/>
      </w:pPr>
      <w:r>
        <w:t>7.1 Prefer cursor pagination for changing collections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type OrderConnection {</w:t>
              <w:br/>
              <w:t xml:space="preserve">  edges: [OrderEdge!]!</w:t>
              <w:br/>
              <w:t xml:space="preserve">  pageInfo: PageInfo!</w:t>
              <w:br/>
              <w:t>}</w:t>
              <w:br/>
              <w:br/>
              <w:t>type OrderEdge {</w:t>
              <w:br/>
              <w:t xml:space="preserve">  cursor: String!</w:t>
              <w:br/>
              <w:t xml:space="preserve">  node: Order!</w:t>
              <w:br/>
              <w:t>}</w:t>
            </w:r>
          </w:p>
        </w:tc>
      </w:tr>
    </w:tbl>
    <w:p>
      <w:pPr>
        <w:spacing w:after="20"/>
      </w:pP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query Orders($first: Int!, $after: String) {</w:t>
              <w:br/>
              <w:t xml:space="preserve">  orders(first: $first, after: $after, status: DELIVERED) {</w:t>
              <w:br/>
              <w:t xml:space="preserve">    edges { cursor node { id status createdAt } }</w:t>
              <w:br/>
              <w:t xml:space="preserve">    pageInfo { endCursor hasNextPage }</w:t>
              <w:br/>
              <w:t xml:space="preserve">  }</w:t>
              <w:br/>
              <w:t>}</w:t>
            </w:r>
          </w:p>
        </w:tc>
      </w:tr>
    </w:tbl>
    <w:p>
      <w:pPr>
        <w:spacing w:after="20"/>
      </w:pPr>
    </w:p>
    <w:p>
      <w:r>
        <w:t>The cursor should encode stable sort values and a unique tie-breaker. The server must enforce maximum page sizes and deterministic ordering.</w:t>
      </w:r>
    </w:p>
    <w:p>
      <w:pPr>
        <w:pStyle w:val="Heading2"/>
      </w:pPr>
      <w:r>
        <w:t>7.2 Bound every list</w:t>
      </w:r>
    </w:p>
    <w:tbl>
      <w:tblPr>
        <w:tblW w:type="auto" w:w="0"/>
        <w:jc w:val="center"/>
        <w:tblLook w:firstColumn="1" w:firstRow="1" w:lastColumn="0" w:lastRow="0" w:noHBand="0" w:noVBand="1" w:val="04A0"/>
      </w:tblPr>
      <w:tblGrid>
        <w:gridCol w:w="10080"/>
      </w:tblGrid>
      <w:tr>
        <w:tc>
          <w:tcPr>
            <w:tcW w:type="dxa" w:w="10080"/>
            <w:shd w:fill="FCE4D6"/>
            <w:tcMar>
              <w:top w:w="135" w:type="dxa"/>
              <w:start w:w="175" w:type="dxa"/>
              <w:bottom w:w="135" w:type="dxa"/>
              <w:end w:w="175" w:type="dxa"/>
            </w:tcMar>
          </w:tcPr>
          <w:p>
            <w:pPr>
              <w:spacing w:after="40"/>
            </w:pPr>
            <w:r>
              <w:rPr>
                <w:b/>
                <w:color w:val="9C0006"/>
                <w:sz w:val="20"/>
              </w:rPr>
              <w:t xml:space="preserve">Unsafe schema:  </w:t>
            </w:r>
            <w:r>
              <w:rPr>
                <w:color w:val="1F2937"/>
                <w:sz w:val="20"/>
              </w:rPr>
              <w:t>A field such as orders: [Order!]! without pagination or a hard server limit can return millions of rows and create accidental denial of service.</w:t>
            </w:r>
          </w:p>
        </w:tc>
      </w:tr>
    </w:tbl>
    <w:p>
      <w:pPr>
        <w:spacing w:after="20"/>
      </w:pPr>
    </w:p>
    <w:p>
      <w:pPr>
        <w:pStyle w:val="Heading1"/>
      </w:pPr>
      <w:r>
        <w:t>8. Resolver design and the N+1 problem</w:t>
      </w:r>
    </w:p>
    <w:p>
      <w:pPr>
        <w:pStyle w:val="Heading2"/>
      </w:pPr>
      <w:r>
        <w:t>8.1 Naive execution</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query {</w:t>
              <w:br/>
              <w:t xml:space="preserve">  orders(first: 100) {</w:t>
              <w:br/>
              <w:t xml:space="preserve">    edges {</w:t>
              <w:br/>
              <w:t xml:space="preserve">      node { id customer { name } restaurant { name } }</w:t>
              <w:br/>
              <w:t xml:space="preserve">    }</w:t>
              <w:br/>
              <w:t xml:space="preserve">  }</w:t>
              <w:br/>
              <w:t>}</w:t>
              <w:br/>
              <w:br/>
              <w:t>Naive data access:</w:t>
              <w:br/>
              <w:t>1 query for orders</w:t>
              <w:br/>
              <w:t>100 queries for customers</w:t>
              <w:br/>
              <w:t>100 queries for restaurants</w:t>
              <w:br/>
              <w:t>= 201 queries</w:t>
            </w:r>
          </w:p>
        </w:tc>
      </w:tr>
    </w:tbl>
    <w:p>
      <w:pPr>
        <w:spacing w:after="20"/>
      </w:pPr>
    </w:p>
    <w:p>
      <w:pPr>
        <w:pStyle w:val="Heading2"/>
      </w:pPr>
      <w:r>
        <w:t>8.2 Batching and caching</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CustomerLoader.loadMany([c1, c2, c3, ...])</w:t>
              <w:br/>
              <w:t xml:space="preserve">  -&gt; SELECT ... FROM customer WHERE id IN (...)</w:t>
              <w:br/>
              <w:br/>
              <w:t>RestaurantLoader.loadMany([r1, r2, r3, ...])</w:t>
              <w:br/>
              <w:t xml:space="preserve">  -&gt; one batched service/database request</w:t>
            </w:r>
          </w:p>
        </w:tc>
      </w:tr>
    </w:tbl>
    <w:p>
      <w:pPr>
        <w:spacing w:after="2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7365D"/>
            <w:vAlign w:val="center"/>
            <w:tcMar>
              <w:top w:w="100" w:type="dxa"/>
              <w:start w:w="120" w:type="dxa"/>
              <w:bottom w:w="100" w:type="dxa"/>
              <w:end w:w="120" w:type="dxa"/>
            </w:tcMar>
          </w:tcPr>
          <w:p>
            <w:pPr>
              <w:jc w:val="center"/>
            </w:pPr>
            <w:r/>
            <w:r>
              <w:rPr>
                <w:b/>
                <w:color w:val="FFFFFF"/>
                <w:sz w:val="18"/>
              </w:rPr>
              <w:t>Technique</w:t>
            </w:r>
          </w:p>
        </w:tc>
        <w:tc>
          <w:tcPr>
            <w:tcW w:type="dxa" w:w="3672"/>
            <w:shd w:fill="17365D"/>
            <w:vAlign w:val="center"/>
            <w:tcMar>
              <w:top w:w="100" w:type="dxa"/>
              <w:start w:w="120" w:type="dxa"/>
              <w:bottom w:w="100" w:type="dxa"/>
              <w:end w:w="120" w:type="dxa"/>
            </w:tcMar>
          </w:tcPr>
          <w:p>
            <w:pPr>
              <w:jc w:val="center"/>
            </w:pPr>
            <w:r/>
            <w:r>
              <w:rPr>
                <w:b/>
                <w:color w:val="FFFFFF"/>
                <w:sz w:val="18"/>
              </w:rPr>
              <w:t>Use</w:t>
            </w:r>
          </w:p>
        </w:tc>
        <w:tc>
          <w:tcPr>
            <w:tcW w:type="dxa" w:w="3528"/>
            <w:shd w:fill="17365D"/>
            <w:vAlign w:val="center"/>
            <w:tcMar>
              <w:top w:w="100" w:type="dxa"/>
              <w:start w:w="120" w:type="dxa"/>
              <w:bottom w:w="100" w:type="dxa"/>
              <w:end w:w="120" w:type="dxa"/>
            </w:tcMar>
          </w:tcPr>
          <w:p>
            <w:pPr>
              <w:jc w:val="center"/>
            </w:pPr>
            <w:r/>
            <w:r>
              <w:rPr>
                <w:b/>
                <w:color w:val="FFFFFF"/>
                <w:sz w:val="18"/>
              </w:rPr>
              <w:t>Risk</w:t>
            </w:r>
          </w:p>
        </w:tc>
      </w:tr>
      <w:tr>
        <w:tc>
          <w:tcPr>
            <w:tcW w:type="dxa" w:w="2448"/>
            <w:vAlign w:val="center"/>
            <w:tcMar>
              <w:top w:w="100" w:type="dxa"/>
              <w:start w:w="120" w:type="dxa"/>
              <w:bottom w:w="100" w:type="dxa"/>
              <w:end w:w="120" w:type="dxa"/>
            </w:tcMar>
          </w:tcPr>
          <w:p>
            <w:pPr>
              <w:jc w:val="left"/>
            </w:pPr>
            <w:r/>
            <w:r>
              <w:rPr>
                <w:b w:val="0"/>
                <w:color w:val="1F2937"/>
                <w:sz w:val="18"/>
              </w:rPr>
              <w:t>Request-scoped DataLoader</w:t>
            </w:r>
          </w:p>
        </w:tc>
        <w:tc>
          <w:tcPr>
            <w:tcW w:type="dxa" w:w="3672"/>
            <w:vAlign w:val="center"/>
            <w:tcMar>
              <w:top w:w="100" w:type="dxa"/>
              <w:start w:w="120" w:type="dxa"/>
              <w:bottom w:w="100" w:type="dxa"/>
              <w:end w:w="120" w:type="dxa"/>
            </w:tcMar>
          </w:tcPr>
          <w:p>
            <w:pPr>
              <w:jc w:val="left"/>
            </w:pPr>
            <w:r/>
            <w:r>
              <w:rPr>
                <w:b w:val="0"/>
                <w:color w:val="1F2937"/>
                <w:sz w:val="18"/>
              </w:rPr>
              <w:t>Batch duplicate keys and cache within one operation</w:t>
            </w:r>
          </w:p>
        </w:tc>
        <w:tc>
          <w:tcPr>
            <w:tcW w:type="dxa" w:w="3528"/>
            <w:vAlign w:val="center"/>
            <w:tcMar>
              <w:top w:w="100" w:type="dxa"/>
              <w:start w:w="120" w:type="dxa"/>
              <w:bottom w:w="100" w:type="dxa"/>
              <w:end w:w="120" w:type="dxa"/>
            </w:tcMar>
          </w:tcPr>
          <w:p>
            <w:pPr>
              <w:jc w:val="left"/>
            </w:pPr>
            <w:r/>
            <w:r>
              <w:rPr>
                <w:b w:val="0"/>
                <w:color w:val="1F2937"/>
                <w:sz w:val="18"/>
              </w:rPr>
              <w:t>Global cache can leak tenant/user-specific data.</w:t>
            </w:r>
          </w:p>
        </w:tc>
      </w:tr>
      <w:tr>
        <w:tc>
          <w:tcPr>
            <w:tcW w:type="dxa" w:w="2448"/>
            <w:vAlign w:val="center"/>
            <w:tcMar>
              <w:top w:w="100" w:type="dxa"/>
              <w:start w:w="120" w:type="dxa"/>
              <w:bottom w:w="100" w:type="dxa"/>
              <w:end w:w="120" w:type="dxa"/>
            </w:tcMar>
          </w:tcPr>
          <w:p>
            <w:pPr>
              <w:jc w:val="left"/>
            </w:pPr>
            <w:r/>
            <w:r>
              <w:rPr>
                <w:b w:val="0"/>
                <w:color w:val="1F2937"/>
                <w:sz w:val="18"/>
              </w:rPr>
              <w:t>Join-aware repository</w:t>
            </w:r>
          </w:p>
        </w:tc>
        <w:tc>
          <w:tcPr>
            <w:tcW w:type="dxa" w:w="3672"/>
            <w:vAlign w:val="center"/>
            <w:tcMar>
              <w:top w:w="100" w:type="dxa"/>
              <w:start w:w="120" w:type="dxa"/>
              <w:bottom w:w="100" w:type="dxa"/>
              <w:end w:w="120" w:type="dxa"/>
            </w:tcMar>
          </w:tcPr>
          <w:p>
            <w:pPr>
              <w:jc w:val="left"/>
            </w:pPr>
            <w:r/>
            <w:r>
              <w:rPr>
                <w:b w:val="0"/>
                <w:color w:val="1F2937"/>
                <w:sz w:val="18"/>
              </w:rPr>
              <w:t>Fetch known relationships efficiently</w:t>
            </w:r>
          </w:p>
        </w:tc>
        <w:tc>
          <w:tcPr>
            <w:tcW w:type="dxa" w:w="3528"/>
            <w:vAlign w:val="center"/>
            <w:tcMar>
              <w:top w:w="100" w:type="dxa"/>
              <w:start w:w="120" w:type="dxa"/>
              <w:bottom w:w="100" w:type="dxa"/>
              <w:end w:w="120" w:type="dxa"/>
            </w:tcMar>
          </w:tcPr>
          <w:p>
            <w:pPr>
              <w:jc w:val="left"/>
            </w:pPr>
            <w:r/>
            <w:r>
              <w:rPr>
                <w:b w:val="0"/>
                <w:color w:val="1F2937"/>
                <w:sz w:val="18"/>
              </w:rPr>
              <w:t>May over-fetch when queries vary widely.</w:t>
            </w:r>
          </w:p>
        </w:tc>
      </w:tr>
      <w:tr>
        <w:tc>
          <w:tcPr>
            <w:tcW w:type="dxa" w:w="2448"/>
            <w:vAlign w:val="center"/>
            <w:tcMar>
              <w:top w:w="100" w:type="dxa"/>
              <w:start w:w="120" w:type="dxa"/>
              <w:bottom w:w="100" w:type="dxa"/>
              <w:end w:w="120" w:type="dxa"/>
            </w:tcMar>
          </w:tcPr>
          <w:p>
            <w:pPr>
              <w:jc w:val="left"/>
            </w:pPr>
            <w:r/>
            <w:r>
              <w:rPr>
                <w:b w:val="0"/>
                <w:color w:val="1F2937"/>
                <w:sz w:val="18"/>
              </w:rPr>
              <w:t>Batch service API</w:t>
            </w:r>
          </w:p>
        </w:tc>
        <w:tc>
          <w:tcPr>
            <w:tcW w:type="dxa" w:w="3672"/>
            <w:vAlign w:val="center"/>
            <w:tcMar>
              <w:top w:w="100" w:type="dxa"/>
              <w:start w:w="120" w:type="dxa"/>
              <w:bottom w:w="100" w:type="dxa"/>
              <w:end w:w="120" w:type="dxa"/>
            </w:tcMar>
          </w:tcPr>
          <w:p>
            <w:pPr>
              <w:jc w:val="left"/>
            </w:pPr>
            <w:r/>
            <w:r>
              <w:rPr>
                <w:b w:val="0"/>
                <w:color w:val="1F2937"/>
                <w:sz w:val="18"/>
              </w:rPr>
              <w:t>Replace N service calls with one internal request</w:t>
            </w:r>
          </w:p>
        </w:tc>
        <w:tc>
          <w:tcPr>
            <w:tcW w:type="dxa" w:w="3528"/>
            <w:vAlign w:val="center"/>
            <w:tcMar>
              <w:top w:w="100" w:type="dxa"/>
              <w:start w:w="120" w:type="dxa"/>
              <w:bottom w:w="100" w:type="dxa"/>
              <w:end w:w="120" w:type="dxa"/>
            </w:tcMar>
          </w:tcPr>
          <w:p>
            <w:pPr>
              <w:jc w:val="left"/>
            </w:pPr>
            <w:r/>
            <w:r>
              <w:rPr>
                <w:b w:val="0"/>
                <w:color w:val="1F2937"/>
                <w:sz w:val="18"/>
              </w:rPr>
              <w:t>Requires downstream contract support.</w:t>
            </w:r>
          </w:p>
        </w:tc>
      </w:tr>
      <w:tr>
        <w:tc>
          <w:tcPr>
            <w:tcW w:type="dxa" w:w="2448"/>
            <w:vAlign w:val="center"/>
            <w:tcMar>
              <w:top w:w="100" w:type="dxa"/>
              <w:start w:w="120" w:type="dxa"/>
              <w:bottom w:w="100" w:type="dxa"/>
              <w:end w:w="120" w:type="dxa"/>
            </w:tcMar>
          </w:tcPr>
          <w:p>
            <w:pPr>
              <w:jc w:val="left"/>
            </w:pPr>
            <w:r/>
            <w:r>
              <w:rPr>
                <w:b w:val="0"/>
                <w:color w:val="1F2937"/>
                <w:sz w:val="18"/>
              </w:rPr>
              <w:t>Precomputed read model</w:t>
            </w:r>
          </w:p>
        </w:tc>
        <w:tc>
          <w:tcPr>
            <w:tcW w:type="dxa" w:w="3672"/>
            <w:vAlign w:val="center"/>
            <w:tcMar>
              <w:top w:w="100" w:type="dxa"/>
              <w:start w:w="120" w:type="dxa"/>
              <w:bottom w:w="100" w:type="dxa"/>
              <w:end w:w="120" w:type="dxa"/>
            </w:tcMar>
          </w:tcPr>
          <w:p>
            <w:pPr>
              <w:jc w:val="left"/>
            </w:pPr>
            <w:r/>
            <w:r>
              <w:rPr>
                <w:b w:val="0"/>
                <w:color w:val="1F2937"/>
                <w:sz w:val="18"/>
              </w:rPr>
              <w:t>Serve complex screens predictably</w:t>
            </w:r>
          </w:p>
        </w:tc>
        <w:tc>
          <w:tcPr>
            <w:tcW w:type="dxa" w:w="3528"/>
            <w:vAlign w:val="center"/>
            <w:tcMar>
              <w:top w:w="100" w:type="dxa"/>
              <w:start w:w="120" w:type="dxa"/>
              <w:bottom w:w="100" w:type="dxa"/>
              <w:end w:w="120" w:type="dxa"/>
            </w:tcMar>
          </w:tcPr>
          <w:p>
            <w:pPr>
              <w:jc w:val="left"/>
            </w:pPr>
            <w:r/>
            <w:r>
              <w:rPr>
                <w:b w:val="0"/>
                <w:color w:val="1F2937"/>
                <w:sz w:val="18"/>
              </w:rPr>
              <w:t>Introduces eventual consistency and projection operations.</w:t>
            </w:r>
          </w:p>
        </w:tc>
      </w:tr>
    </w:tbl>
    <w:p>
      <w:pPr>
        <w:spacing w:after="20"/>
      </w:pPr>
    </w:p>
    <w:tbl>
      <w:tblPr>
        <w:tblW w:type="auto" w:w="0"/>
        <w:jc w:val="center"/>
        <w:tblLook w:firstColumn="1" w:firstRow="1" w:lastColumn="0" w:lastRow="0" w:noHBand="0" w:noVBand="1" w:val="04A0"/>
      </w:tblPr>
      <w:tblGrid>
        <w:gridCol w:w="10080"/>
      </w:tblGrid>
      <w:tr>
        <w:tc>
          <w:tcPr>
            <w:tcW w:type="dxa" w:w="10080"/>
            <w:shd w:fill="D9EAF7"/>
            <w:tcMar>
              <w:top w:w="135" w:type="dxa"/>
              <w:start w:w="175" w:type="dxa"/>
              <w:bottom w:w="135" w:type="dxa"/>
              <w:end w:w="175" w:type="dxa"/>
            </w:tcMar>
          </w:tcPr>
          <w:p>
            <w:pPr>
              <w:spacing w:after="40"/>
            </w:pPr>
            <w:r>
              <w:rPr>
                <w:b/>
                <w:color w:val="17365D"/>
                <w:sz w:val="20"/>
              </w:rPr>
              <w:t xml:space="preserve">Measurement rule:  </w:t>
            </w:r>
            <w:r>
              <w:rPr>
                <w:color w:val="1F2937"/>
                <w:sz w:val="20"/>
              </w:rPr>
              <w:t>Track resolver count, backend call count, database query count, response size, and latency per operation name. HTTP request count alone hides GraphQL cost.</w:t>
            </w:r>
          </w:p>
        </w:tc>
      </w:tr>
    </w:tbl>
    <w:p>
      <w:pPr>
        <w:spacing w:after="20"/>
      </w:pPr>
    </w:p>
    <w:p>
      <w:pPr>
        <w:pStyle w:val="Heading1"/>
      </w:pPr>
      <w:r>
        <w:t>9. Query safety and cost governance</w:t>
      </w:r>
    </w:p>
    <w:p>
      <w:pPr>
        <w:pStyle w:val="Heading2"/>
      </w:pPr>
      <w:r>
        <w:t>9.1 Why request count is insufficient</w:t>
      </w:r>
    </w:p>
    <w:p>
      <w:r>
        <w:t>One tiny query and one deeply nested query both arrive as a single HTTP request. Rate limiting only by request count allows expensive operations to bypass capacity controls.</w:t>
      </w:r>
    </w:p>
    <w:p>
      <w:pPr>
        <w:pStyle w:val="Heading2"/>
      </w:pPr>
      <w:r>
        <w:t>9.2 Required controls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Control</w:t>
            </w:r>
          </w:p>
        </w:tc>
        <w:tc>
          <w:tcPr>
            <w:tcW w:type="dxa" w:w="3960"/>
            <w:shd w:fill="17365D"/>
            <w:vAlign w:val="center"/>
            <w:tcMar>
              <w:top w:w="100" w:type="dxa"/>
              <w:start w:w="120" w:type="dxa"/>
              <w:bottom w:w="100" w:type="dxa"/>
              <w:end w:w="120" w:type="dxa"/>
            </w:tcMar>
          </w:tcPr>
          <w:p>
            <w:pPr>
              <w:jc w:val="center"/>
            </w:pPr>
            <w:r/>
            <w:r>
              <w:rPr>
                <w:b/>
                <w:color w:val="FFFFFF"/>
                <w:sz w:val="18"/>
              </w:rPr>
              <w:t>Purpose</w:t>
            </w:r>
          </w:p>
        </w:tc>
        <w:tc>
          <w:tcPr>
            <w:tcW w:type="dxa" w:w="3456"/>
            <w:shd w:fill="17365D"/>
            <w:vAlign w:val="center"/>
            <w:tcMar>
              <w:top w:w="100" w:type="dxa"/>
              <w:start w:w="120" w:type="dxa"/>
              <w:bottom w:w="100" w:type="dxa"/>
              <w:end w:w="120" w:type="dxa"/>
            </w:tcMar>
          </w:tcPr>
          <w:p>
            <w:pPr>
              <w:jc w:val="center"/>
            </w:pPr>
            <w:r/>
            <w:r>
              <w:rPr>
                <w:b/>
                <w:color w:val="FFFFFF"/>
                <w:sz w:val="18"/>
              </w:rPr>
              <w:t>Example policy</w:t>
            </w:r>
          </w:p>
        </w:tc>
      </w:tr>
      <w:tr>
        <w:tc>
          <w:tcPr>
            <w:tcW w:type="dxa" w:w="2232"/>
            <w:vAlign w:val="center"/>
            <w:tcMar>
              <w:top w:w="100" w:type="dxa"/>
              <w:start w:w="120" w:type="dxa"/>
              <w:bottom w:w="100" w:type="dxa"/>
              <w:end w:w="120" w:type="dxa"/>
            </w:tcMar>
          </w:tcPr>
          <w:p>
            <w:pPr>
              <w:jc w:val="left"/>
            </w:pPr>
            <w:r/>
            <w:r>
              <w:rPr>
                <w:b w:val="0"/>
                <w:color w:val="1F2937"/>
                <w:sz w:val="18"/>
              </w:rPr>
              <w:t>Depth limit</w:t>
            </w:r>
          </w:p>
        </w:tc>
        <w:tc>
          <w:tcPr>
            <w:tcW w:type="dxa" w:w="3960"/>
            <w:vAlign w:val="center"/>
            <w:tcMar>
              <w:top w:w="100" w:type="dxa"/>
              <w:start w:w="120" w:type="dxa"/>
              <w:bottom w:w="100" w:type="dxa"/>
              <w:end w:w="120" w:type="dxa"/>
            </w:tcMar>
          </w:tcPr>
          <w:p>
            <w:pPr>
              <w:jc w:val="left"/>
            </w:pPr>
            <w:r/>
            <w:r>
              <w:rPr>
                <w:b w:val="0"/>
                <w:color w:val="1F2937"/>
                <w:sz w:val="18"/>
              </w:rPr>
              <w:t>Prevent pathological recursive traversal</w:t>
            </w:r>
          </w:p>
        </w:tc>
        <w:tc>
          <w:tcPr>
            <w:tcW w:type="dxa" w:w="3456"/>
            <w:vAlign w:val="center"/>
            <w:tcMar>
              <w:top w:w="100" w:type="dxa"/>
              <w:start w:w="120" w:type="dxa"/>
              <w:bottom w:w="100" w:type="dxa"/>
              <w:end w:w="120" w:type="dxa"/>
            </w:tcMar>
          </w:tcPr>
          <w:p>
            <w:pPr>
              <w:jc w:val="left"/>
            </w:pPr>
            <w:r/>
            <w:r>
              <w:rPr>
                <w:b w:val="0"/>
                <w:color w:val="1F2937"/>
                <w:sz w:val="18"/>
              </w:rPr>
              <w:t>Maximum depth 8 for interactive clients.</w:t>
            </w:r>
          </w:p>
        </w:tc>
      </w:tr>
      <w:tr>
        <w:tc>
          <w:tcPr>
            <w:tcW w:type="dxa" w:w="2232"/>
            <w:vAlign w:val="center"/>
            <w:tcMar>
              <w:top w:w="100" w:type="dxa"/>
              <w:start w:w="120" w:type="dxa"/>
              <w:bottom w:w="100" w:type="dxa"/>
              <w:end w:w="120" w:type="dxa"/>
            </w:tcMar>
          </w:tcPr>
          <w:p>
            <w:pPr>
              <w:jc w:val="left"/>
            </w:pPr>
            <w:r/>
            <w:r>
              <w:rPr>
                <w:b w:val="0"/>
                <w:color w:val="1F2937"/>
                <w:sz w:val="18"/>
              </w:rPr>
              <w:t>Node/field limit</w:t>
            </w:r>
          </w:p>
        </w:tc>
        <w:tc>
          <w:tcPr>
            <w:tcW w:type="dxa" w:w="3960"/>
            <w:vAlign w:val="center"/>
            <w:tcMar>
              <w:top w:w="100" w:type="dxa"/>
              <w:start w:w="120" w:type="dxa"/>
              <w:bottom w:w="100" w:type="dxa"/>
              <w:end w:w="120" w:type="dxa"/>
            </w:tcMar>
          </w:tcPr>
          <w:p>
            <w:pPr>
              <w:jc w:val="left"/>
            </w:pPr>
            <w:r/>
            <w:r>
              <w:rPr>
                <w:b w:val="0"/>
                <w:color w:val="1F2937"/>
                <w:sz w:val="18"/>
              </w:rPr>
              <w:t>Bound total requested result structure</w:t>
            </w:r>
          </w:p>
        </w:tc>
        <w:tc>
          <w:tcPr>
            <w:tcW w:type="dxa" w:w="3456"/>
            <w:vAlign w:val="center"/>
            <w:tcMar>
              <w:top w:w="100" w:type="dxa"/>
              <w:start w:w="120" w:type="dxa"/>
              <w:bottom w:w="100" w:type="dxa"/>
              <w:end w:w="120" w:type="dxa"/>
            </w:tcMar>
          </w:tcPr>
          <w:p>
            <w:pPr>
              <w:jc w:val="left"/>
            </w:pPr>
            <w:r/>
            <w:r>
              <w:rPr>
                <w:b w:val="0"/>
                <w:color w:val="1F2937"/>
                <w:sz w:val="18"/>
              </w:rPr>
              <w:t>Maximum 5,000 field resolutions.</w:t>
            </w:r>
          </w:p>
        </w:tc>
      </w:tr>
      <w:tr>
        <w:tc>
          <w:tcPr>
            <w:tcW w:type="dxa" w:w="2232"/>
            <w:vAlign w:val="center"/>
            <w:tcMar>
              <w:top w:w="100" w:type="dxa"/>
              <w:start w:w="120" w:type="dxa"/>
              <w:bottom w:w="100" w:type="dxa"/>
              <w:end w:w="120" w:type="dxa"/>
            </w:tcMar>
          </w:tcPr>
          <w:p>
            <w:pPr>
              <w:jc w:val="left"/>
            </w:pPr>
            <w:r/>
            <w:r>
              <w:rPr>
                <w:b w:val="0"/>
                <w:color w:val="1F2937"/>
                <w:sz w:val="18"/>
              </w:rPr>
              <w:t>Complexity scoring</w:t>
            </w:r>
          </w:p>
        </w:tc>
        <w:tc>
          <w:tcPr>
            <w:tcW w:type="dxa" w:w="3960"/>
            <w:vAlign w:val="center"/>
            <w:tcMar>
              <w:top w:w="100" w:type="dxa"/>
              <w:start w:w="120" w:type="dxa"/>
              <w:bottom w:w="100" w:type="dxa"/>
              <w:end w:w="120" w:type="dxa"/>
            </w:tcMar>
          </w:tcPr>
          <w:p>
            <w:pPr>
              <w:jc w:val="left"/>
            </w:pPr>
            <w:r/>
            <w:r>
              <w:rPr>
                <w:b w:val="0"/>
                <w:color w:val="1F2937"/>
                <w:sz w:val="18"/>
              </w:rPr>
              <w:t>Weight expensive fields and cardinality</w:t>
            </w:r>
          </w:p>
        </w:tc>
        <w:tc>
          <w:tcPr>
            <w:tcW w:type="dxa" w:w="3456"/>
            <w:vAlign w:val="center"/>
            <w:tcMar>
              <w:top w:w="100" w:type="dxa"/>
              <w:start w:w="120" w:type="dxa"/>
              <w:bottom w:w="100" w:type="dxa"/>
              <w:end w:w="120" w:type="dxa"/>
            </w:tcMar>
          </w:tcPr>
          <w:p>
            <w:pPr>
              <w:jc w:val="left"/>
            </w:pPr>
            <w:r/>
            <w:r>
              <w:rPr>
                <w:b w:val="0"/>
                <w:color w:val="1F2937"/>
                <w:sz w:val="18"/>
              </w:rPr>
              <w:t>Reject operations above cost 10,000.</w:t>
            </w:r>
          </w:p>
        </w:tc>
      </w:tr>
      <w:tr>
        <w:tc>
          <w:tcPr>
            <w:tcW w:type="dxa" w:w="2232"/>
            <w:vAlign w:val="center"/>
            <w:tcMar>
              <w:top w:w="100" w:type="dxa"/>
              <w:start w:w="120" w:type="dxa"/>
              <w:bottom w:w="100" w:type="dxa"/>
              <w:end w:w="120" w:type="dxa"/>
            </w:tcMar>
          </w:tcPr>
          <w:p>
            <w:pPr>
              <w:jc w:val="left"/>
            </w:pPr>
            <w:r/>
            <w:r>
              <w:rPr>
                <w:b w:val="0"/>
                <w:color w:val="1F2937"/>
                <w:sz w:val="18"/>
              </w:rPr>
              <w:t>Page-size limits</w:t>
            </w:r>
          </w:p>
        </w:tc>
        <w:tc>
          <w:tcPr>
            <w:tcW w:type="dxa" w:w="3960"/>
            <w:vAlign w:val="center"/>
            <w:tcMar>
              <w:top w:w="100" w:type="dxa"/>
              <w:start w:w="120" w:type="dxa"/>
              <w:bottom w:w="100" w:type="dxa"/>
              <w:end w:w="120" w:type="dxa"/>
            </w:tcMar>
          </w:tcPr>
          <w:p>
            <w:pPr>
              <w:jc w:val="left"/>
            </w:pPr>
            <w:r/>
            <w:r>
              <w:rPr>
                <w:b w:val="0"/>
                <w:color w:val="1F2937"/>
                <w:sz w:val="18"/>
              </w:rPr>
              <w:t>Bound list expansion</w:t>
            </w:r>
          </w:p>
        </w:tc>
        <w:tc>
          <w:tcPr>
            <w:tcW w:type="dxa" w:w="3456"/>
            <w:vAlign w:val="center"/>
            <w:tcMar>
              <w:top w:w="100" w:type="dxa"/>
              <w:start w:w="120" w:type="dxa"/>
              <w:bottom w:w="100" w:type="dxa"/>
              <w:end w:w="120" w:type="dxa"/>
            </w:tcMar>
          </w:tcPr>
          <w:p>
            <w:pPr>
              <w:jc w:val="left"/>
            </w:pPr>
            <w:r/>
            <w:r>
              <w:rPr>
                <w:b w:val="0"/>
                <w:color w:val="1F2937"/>
                <w:sz w:val="18"/>
              </w:rPr>
              <w:t>first &lt;= 100; nested collections &lt;= 25.</w:t>
            </w:r>
          </w:p>
        </w:tc>
      </w:tr>
      <w:tr>
        <w:tc>
          <w:tcPr>
            <w:tcW w:type="dxa" w:w="2232"/>
            <w:vAlign w:val="center"/>
            <w:tcMar>
              <w:top w:w="100" w:type="dxa"/>
              <w:start w:w="120" w:type="dxa"/>
              <w:bottom w:w="100" w:type="dxa"/>
              <w:end w:w="120" w:type="dxa"/>
            </w:tcMar>
          </w:tcPr>
          <w:p>
            <w:pPr>
              <w:jc w:val="left"/>
            </w:pPr>
            <w:r/>
            <w:r>
              <w:rPr>
                <w:b w:val="0"/>
                <w:color w:val="1F2937"/>
                <w:sz w:val="18"/>
              </w:rPr>
              <w:t>Timeout/deadline</w:t>
            </w:r>
          </w:p>
        </w:tc>
        <w:tc>
          <w:tcPr>
            <w:tcW w:type="dxa" w:w="3960"/>
            <w:vAlign w:val="center"/>
            <w:tcMar>
              <w:top w:w="100" w:type="dxa"/>
              <w:start w:w="120" w:type="dxa"/>
              <w:bottom w:w="100" w:type="dxa"/>
              <w:end w:w="120" w:type="dxa"/>
            </w:tcMar>
          </w:tcPr>
          <w:p>
            <w:pPr>
              <w:jc w:val="left"/>
            </w:pPr>
            <w:r/>
            <w:r>
              <w:rPr>
                <w:b w:val="0"/>
                <w:color w:val="1F2937"/>
                <w:sz w:val="18"/>
              </w:rPr>
              <w:t>Stop excessive execution</w:t>
            </w:r>
          </w:p>
        </w:tc>
        <w:tc>
          <w:tcPr>
            <w:tcW w:type="dxa" w:w="3456"/>
            <w:vAlign w:val="center"/>
            <w:tcMar>
              <w:top w:w="100" w:type="dxa"/>
              <w:start w:w="120" w:type="dxa"/>
              <w:bottom w:w="100" w:type="dxa"/>
              <w:end w:w="120" w:type="dxa"/>
            </w:tcMar>
          </w:tcPr>
          <w:p>
            <w:pPr>
              <w:jc w:val="left"/>
            </w:pPr>
            <w:r/>
            <w:r>
              <w:rPr>
                <w:b w:val="0"/>
                <w:color w:val="1F2937"/>
                <w:sz w:val="18"/>
              </w:rPr>
              <w:t>Two-second interactive budget.</w:t>
            </w:r>
          </w:p>
        </w:tc>
      </w:tr>
      <w:tr>
        <w:tc>
          <w:tcPr>
            <w:tcW w:type="dxa" w:w="2232"/>
            <w:vAlign w:val="center"/>
            <w:tcMar>
              <w:top w:w="100" w:type="dxa"/>
              <w:start w:w="120" w:type="dxa"/>
              <w:bottom w:w="100" w:type="dxa"/>
              <w:end w:w="120" w:type="dxa"/>
            </w:tcMar>
          </w:tcPr>
          <w:p>
            <w:pPr>
              <w:jc w:val="left"/>
            </w:pPr>
            <w:r/>
            <w:r>
              <w:rPr>
                <w:b w:val="0"/>
                <w:color w:val="1F2937"/>
                <w:sz w:val="18"/>
              </w:rPr>
              <w:t>Response-size limit</w:t>
            </w:r>
          </w:p>
        </w:tc>
        <w:tc>
          <w:tcPr>
            <w:tcW w:type="dxa" w:w="3960"/>
            <w:vAlign w:val="center"/>
            <w:tcMar>
              <w:top w:w="100" w:type="dxa"/>
              <w:start w:w="120" w:type="dxa"/>
              <w:bottom w:w="100" w:type="dxa"/>
              <w:end w:w="120" w:type="dxa"/>
            </w:tcMar>
          </w:tcPr>
          <w:p>
            <w:pPr>
              <w:jc w:val="left"/>
            </w:pPr>
            <w:r/>
            <w:r>
              <w:rPr>
                <w:b w:val="0"/>
                <w:color w:val="1F2937"/>
                <w:sz w:val="18"/>
              </w:rPr>
              <w:t>Protect memory and egress</w:t>
            </w:r>
          </w:p>
        </w:tc>
        <w:tc>
          <w:tcPr>
            <w:tcW w:type="dxa" w:w="3456"/>
            <w:vAlign w:val="center"/>
            <w:tcMar>
              <w:top w:w="100" w:type="dxa"/>
              <w:start w:w="120" w:type="dxa"/>
              <w:bottom w:w="100" w:type="dxa"/>
              <w:end w:w="120" w:type="dxa"/>
            </w:tcMar>
          </w:tcPr>
          <w:p>
            <w:pPr>
              <w:jc w:val="left"/>
            </w:pPr>
            <w:r/>
            <w:r>
              <w:rPr>
                <w:b w:val="0"/>
                <w:color w:val="1F2937"/>
                <w:sz w:val="18"/>
              </w:rPr>
              <w:t>Abort or reject beyond defined bytes.</w:t>
            </w:r>
          </w:p>
        </w:tc>
      </w:tr>
      <w:tr>
        <w:tc>
          <w:tcPr>
            <w:tcW w:type="dxa" w:w="2232"/>
            <w:vAlign w:val="center"/>
            <w:tcMar>
              <w:top w:w="100" w:type="dxa"/>
              <w:start w:w="120" w:type="dxa"/>
              <w:bottom w:w="100" w:type="dxa"/>
              <w:end w:w="120" w:type="dxa"/>
            </w:tcMar>
          </w:tcPr>
          <w:p>
            <w:pPr>
              <w:jc w:val="left"/>
            </w:pPr>
            <w:r/>
            <w:r>
              <w:rPr>
                <w:b w:val="0"/>
                <w:color w:val="1F2937"/>
                <w:sz w:val="18"/>
              </w:rPr>
              <w:t>Persisted queries</w:t>
            </w:r>
          </w:p>
        </w:tc>
        <w:tc>
          <w:tcPr>
            <w:tcW w:type="dxa" w:w="3960"/>
            <w:vAlign w:val="center"/>
            <w:tcMar>
              <w:top w:w="100" w:type="dxa"/>
              <w:start w:w="120" w:type="dxa"/>
              <w:bottom w:w="100" w:type="dxa"/>
              <w:end w:w="120" w:type="dxa"/>
            </w:tcMar>
          </w:tcPr>
          <w:p>
            <w:pPr>
              <w:jc w:val="left"/>
            </w:pPr>
            <w:r/>
            <w:r>
              <w:rPr>
                <w:b w:val="0"/>
                <w:color w:val="1F2937"/>
                <w:sz w:val="18"/>
              </w:rPr>
              <w:t>Allow only reviewed operations for controlled clients</w:t>
            </w:r>
          </w:p>
        </w:tc>
        <w:tc>
          <w:tcPr>
            <w:tcW w:type="dxa" w:w="3456"/>
            <w:vAlign w:val="center"/>
            <w:tcMar>
              <w:top w:w="100" w:type="dxa"/>
              <w:start w:w="120" w:type="dxa"/>
              <w:bottom w:w="100" w:type="dxa"/>
              <w:end w:w="120" w:type="dxa"/>
            </w:tcMar>
          </w:tcPr>
          <w:p>
            <w:pPr>
              <w:jc w:val="left"/>
            </w:pPr>
            <w:r/>
            <w:r>
              <w:rPr>
                <w:b w:val="0"/>
                <w:color w:val="1F2937"/>
                <w:sz w:val="18"/>
              </w:rPr>
              <w:t>Mobile app sends operation hash/name.</w:t>
            </w:r>
          </w:p>
        </w:tc>
      </w:tr>
      <w:tr>
        <w:tc>
          <w:tcPr>
            <w:tcW w:type="dxa" w:w="2232"/>
            <w:vAlign w:val="center"/>
            <w:tcMar>
              <w:top w:w="100" w:type="dxa"/>
              <w:start w:w="120" w:type="dxa"/>
              <w:bottom w:w="100" w:type="dxa"/>
              <w:end w:w="120" w:type="dxa"/>
            </w:tcMar>
          </w:tcPr>
          <w:p>
            <w:pPr>
              <w:jc w:val="left"/>
            </w:pPr>
            <w:r/>
            <w:r>
              <w:rPr>
                <w:b w:val="0"/>
                <w:color w:val="1F2937"/>
                <w:sz w:val="18"/>
              </w:rPr>
              <w:t>Per-client cost budget</w:t>
            </w:r>
          </w:p>
        </w:tc>
        <w:tc>
          <w:tcPr>
            <w:tcW w:type="dxa" w:w="3960"/>
            <w:vAlign w:val="center"/>
            <w:tcMar>
              <w:top w:w="100" w:type="dxa"/>
              <w:start w:w="120" w:type="dxa"/>
              <w:bottom w:w="100" w:type="dxa"/>
              <w:end w:w="120" w:type="dxa"/>
            </w:tcMar>
          </w:tcPr>
          <w:p>
            <w:pPr>
              <w:jc w:val="left"/>
            </w:pPr>
            <w:r/>
            <w:r>
              <w:rPr>
                <w:b w:val="0"/>
                <w:color w:val="1F2937"/>
                <w:sz w:val="18"/>
              </w:rPr>
              <w:t>Protect fairness and tenants</w:t>
            </w:r>
          </w:p>
        </w:tc>
        <w:tc>
          <w:tcPr>
            <w:tcW w:type="dxa" w:w="3456"/>
            <w:vAlign w:val="center"/>
            <w:tcMar>
              <w:top w:w="100" w:type="dxa"/>
              <w:start w:w="120" w:type="dxa"/>
              <w:bottom w:w="100" w:type="dxa"/>
              <w:end w:w="120" w:type="dxa"/>
            </w:tcMar>
          </w:tcPr>
          <w:p>
            <w:pPr>
              <w:jc w:val="left"/>
            </w:pPr>
            <w:r/>
            <w:r>
              <w:rPr>
                <w:b w:val="0"/>
                <w:color w:val="1F2937"/>
                <w:sz w:val="18"/>
              </w:rPr>
              <w:t>Cost-weighted token bucket.</w:t>
            </w:r>
          </w:p>
        </w:tc>
      </w:tr>
    </w:tbl>
    <w:p>
      <w:pPr>
        <w:spacing w:after="20"/>
      </w:pPr>
    </w:p>
    <w:p>
      <w:pPr>
        <w:pStyle w:val="Heading2"/>
      </w:pPr>
      <w:r>
        <w:t>9.3 Persisted operation workflow</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Build time: client query -&gt; validation -&gt; cost analysis -&gt; register hash</w:t>
              <w:br/>
              <w:t>Runtime: client sends hash + variables -&gt; server loads approved operation -&gt; execute</w:t>
            </w:r>
          </w:p>
        </w:tc>
      </w:tr>
    </w:tbl>
    <w:p>
      <w:pPr>
        <w:spacing w:after="20"/>
      </w:pPr>
    </w:p>
    <w:p>
      <w:r>
        <w:t>Persisted operations improve predictability, observability, caching, and security for first-party clients. Public developer graphs may allow arbitrary operations but still require complexity controls.</w:t>
      </w:r>
    </w:p>
    <w:p>
      <w:pPr>
        <w:pStyle w:val="Heading1"/>
      </w:pPr>
      <w:r>
        <w:t>10. Mutation design</w:t>
      </w:r>
    </w:p>
    <w:p>
      <w:pPr>
        <w:pStyle w:val="Heading2"/>
      </w:pPr>
      <w:r>
        <w:t>10.1 Treat mutations as business commands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type Mutation {</w:t>
              <w:br/>
              <w:t xml:space="preserve">  cancelOrder(input: CancelOrderInput!): CancelOrderPayload!</w:t>
              <w:br/>
              <w:t>}</w:t>
              <w:br/>
              <w:br/>
              <w:t>union CancelOrderResult = Order | OrderNotCancellable | OrderNotFound</w:t>
              <w:br/>
              <w:br/>
              <w:t>type CancelOrderPayload {</w:t>
              <w:br/>
              <w:t xml:space="preserve">  result: CancelOrderResult!</w:t>
              <w:br/>
              <w:t xml:space="preserve">  clientMutationId: String</w:t>
              <w:br/>
              <w:t>}</w:t>
            </w:r>
          </w:p>
        </w:tc>
      </w:tr>
    </w:tbl>
    <w:p>
      <w:pPr>
        <w:spacing w:after="20"/>
      </w:pPr>
    </w:p>
    <w:p>
      <w:r>
        <w:t>Expected business outcomes can be represented as typed results. Infrastructure failures should remain execution errors. Keep this distinction consistent across the schema.</w:t>
      </w:r>
    </w:p>
    <w:p>
      <w:pPr>
        <w:pStyle w:val="Heading2"/>
      </w:pPr>
      <w:r>
        <w:t>10.2 Idempotency</w:t>
      </w:r>
    </w:p>
    <w:p>
      <w:r>
        <w:t>Critical mutations need an idempotency mechanism even though GraphQL uses one endpoint. Options include an idempotency key in input, a transport header enforced by the gateway, or a stable client mutation identifier bound to the authenticated client and request fingerprint.</w:t>
      </w:r>
    </w:p>
    <w:p>
      <w:pPr>
        <w:pStyle w:val="Heading2"/>
      </w:pPr>
      <w:r>
        <w:t>10.3 Avoid giant multi-action mutations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Avoid:</w:t>
              <w:br/>
              <w:t>mutation {</w:t>
              <w:br/>
              <w:t xml:space="preserve">  createCustomer(...)</w:t>
              <w:br/>
              <w:t xml:space="preserve">  createOrder(...)</w:t>
              <w:br/>
              <w:t xml:space="preserve">  chargeCard(...)</w:t>
              <w:br/>
              <w:t xml:space="preserve">  assignDriver(...)</w:t>
              <w:br/>
              <w:t xml:space="preserve">  sendEmail(...)</w:t>
              <w:br/>
              <w:t>}</w:t>
            </w:r>
          </w:p>
        </w:tc>
      </w:tr>
    </w:tbl>
    <w:p>
      <w:pPr>
        <w:spacing w:after="20"/>
      </w:pPr>
    </w:p>
    <w:p>
      <w:r>
        <w:t>GraphQL executes top-level mutation fields serially, but that does not create a safe distributed transaction. Use a domain command and asynchronous workflow rather than asking the client to orchestrate several services.</w:t>
      </w:r>
    </w:p>
    <w:p>
      <w:pPr>
        <w:pStyle w:val="Heading1"/>
      </w:pPr>
      <w:r>
        <w:t>11. Errors and partial responses</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w:t>
              <w:br/>
              <w:t xml:space="preserve">  "data": {</w:t>
              <w:br/>
              <w:t xml:space="preserve">    "home": {</w:t>
              <w:br/>
              <w:t xml:space="preserve">      "viewer": {"id":"C1"},</w:t>
              <w:br/>
              <w:t xml:space="preserve">      "recommendations": null</w:t>
              <w:br/>
              <w:t xml:space="preserve">    }</w:t>
              <w:br/>
              <w:t xml:space="preserve">  },</w:t>
              <w:br/>
              <w:t xml:space="preserve">  "errors": [{</w:t>
              <w:br/>
              <w:t xml:space="preserve">    "message":"Recommendation service unavailable",</w:t>
              <w:br/>
              <w:t xml:space="preserve">    "path":["home","recommendations"],</w:t>
              <w:br/>
              <w:t xml:space="preserve">    "extensions": {</w:t>
              <w:br/>
              <w:t xml:space="preserve">      "code":"DEPENDENCY_UNAVAILABLE",</w:t>
              <w:br/>
              <w:t xml:space="preserve">      "traceId":"tr-91",</w:t>
              <w:br/>
              <w:t xml:space="preserve">      "retryable":true</w:t>
              <w:br/>
              <w:t xml:space="preserve">    }</w:t>
              <w:br/>
              <w:t xml:space="preserve">  }]</w:t>
              <w:br/>
              <w:t>}</w:t>
            </w:r>
          </w:p>
        </w:tc>
      </w:tr>
    </w:tbl>
    <w:p>
      <w:pPr>
        <w:spacing w:after="2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100" w:type="dxa"/>
              <w:start w:w="120" w:type="dxa"/>
              <w:bottom w:w="100" w:type="dxa"/>
              <w:end w:w="120" w:type="dxa"/>
            </w:tcMar>
          </w:tcPr>
          <w:p>
            <w:pPr>
              <w:jc w:val="center"/>
            </w:pPr>
            <w:r/>
            <w:r>
              <w:rPr>
                <w:b/>
                <w:color w:val="FFFFFF"/>
                <w:sz w:val="18"/>
              </w:rPr>
              <w:t>Failure type</w:t>
            </w:r>
          </w:p>
        </w:tc>
        <w:tc>
          <w:tcPr>
            <w:tcW w:type="dxa" w:w="6624"/>
            <w:shd w:fill="17365D"/>
            <w:vAlign w:val="center"/>
            <w:tcMar>
              <w:top w:w="100" w:type="dxa"/>
              <w:start w:w="120" w:type="dxa"/>
              <w:bottom w:w="100" w:type="dxa"/>
              <w:end w:w="120" w:type="dxa"/>
            </w:tcMar>
          </w:tcPr>
          <w:p>
            <w:pPr>
              <w:jc w:val="center"/>
            </w:pPr>
            <w:r/>
            <w:r>
              <w:rPr>
                <w:b/>
                <w:color w:val="FFFFFF"/>
                <w:sz w:val="18"/>
              </w:rPr>
              <w:t>Recommended representation</w:t>
            </w:r>
          </w:p>
        </w:tc>
      </w:tr>
      <w:tr>
        <w:tc>
          <w:tcPr>
            <w:tcW w:type="dxa" w:w="3024"/>
            <w:vAlign w:val="center"/>
            <w:tcMar>
              <w:top w:w="100" w:type="dxa"/>
              <w:start w:w="120" w:type="dxa"/>
              <w:bottom w:w="100" w:type="dxa"/>
              <w:end w:w="120" w:type="dxa"/>
            </w:tcMar>
          </w:tcPr>
          <w:p>
            <w:pPr>
              <w:jc w:val="left"/>
            </w:pPr>
            <w:r/>
            <w:r>
              <w:rPr>
                <w:b w:val="0"/>
                <w:color w:val="1F2937"/>
                <w:sz w:val="18"/>
              </w:rPr>
              <w:t>Syntax/validation failure</w:t>
            </w:r>
          </w:p>
        </w:tc>
        <w:tc>
          <w:tcPr>
            <w:tcW w:type="dxa" w:w="6624"/>
            <w:vAlign w:val="center"/>
            <w:tcMar>
              <w:top w:w="100" w:type="dxa"/>
              <w:start w:w="120" w:type="dxa"/>
              <w:bottom w:w="100" w:type="dxa"/>
              <w:end w:w="120" w:type="dxa"/>
            </w:tcMar>
          </w:tcPr>
          <w:p>
            <w:pPr>
              <w:jc w:val="left"/>
            </w:pPr>
            <w:r/>
            <w:r>
              <w:rPr>
                <w:b w:val="0"/>
                <w:color w:val="1F2937"/>
                <w:sz w:val="18"/>
              </w:rPr>
              <w:t>GraphQL errors; operation does not execute.</w:t>
            </w:r>
          </w:p>
        </w:tc>
      </w:tr>
      <w:tr>
        <w:tc>
          <w:tcPr>
            <w:tcW w:type="dxa" w:w="3024"/>
            <w:vAlign w:val="center"/>
            <w:tcMar>
              <w:top w:w="100" w:type="dxa"/>
              <w:start w:w="120" w:type="dxa"/>
              <w:bottom w:w="100" w:type="dxa"/>
              <w:end w:w="120" w:type="dxa"/>
            </w:tcMar>
          </w:tcPr>
          <w:p>
            <w:pPr>
              <w:jc w:val="left"/>
            </w:pPr>
            <w:r/>
            <w:r>
              <w:rPr>
                <w:b w:val="0"/>
                <w:color w:val="1F2937"/>
                <w:sz w:val="18"/>
              </w:rPr>
              <w:t>Authentication failure</w:t>
            </w:r>
          </w:p>
        </w:tc>
        <w:tc>
          <w:tcPr>
            <w:tcW w:type="dxa" w:w="6624"/>
            <w:vAlign w:val="center"/>
            <w:tcMar>
              <w:top w:w="100" w:type="dxa"/>
              <w:start w:w="120" w:type="dxa"/>
              <w:bottom w:w="100" w:type="dxa"/>
              <w:end w:w="120" w:type="dxa"/>
            </w:tcMar>
          </w:tcPr>
          <w:p>
            <w:pPr>
              <w:jc w:val="left"/>
            </w:pPr>
            <w:r/>
            <w:r>
              <w:rPr>
                <w:b w:val="0"/>
                <w:color w:val="1F2937"/>
                <w:sz w:val="18"/>
              </w:rPr>
              <w:t>Transport/gateway error or consistent GraphQL error policy.</w:t>
            </w:r>
          </w:p>
        </w:tc>
      </w:tr>
      <w:tr>
        <w:tc>
          <w:tcPr>
            <w:tcW w:type="dxa" w:w="3024"/>
            <w:vAlign w:val="center"/>
            <w:tcMar>
              <w:top w:w="100" w:type="dxa"/>
              <w:start w:w="120" w:type="dxa"/>
              <w:bottom w:w="100" w:type="dxa"/>
              <w:end w:w="120" w:type="dxa"/>
            </w:tcMar>
          </w:tcPr>
          <w:p>
            <w:pPr>
              <w:jc w:val="left"/>
            </w:pPr>
            <w:r/>
            <w:r>
              <w:rPr>
                <w:b w:val="0"/>
                <w:color w:val="1F2937"/>
                <w:sz w:val="18"/>
              </w:rPr>
              <w:t>Field authorization failure</w:t>
            </w:r>
          </w:p>
        </w:tc>
        <w:tc>
          <w:tcPr>
            <w:tcW w:type="dxa" w:w="6624"/>
            <w:vAlign w:val="center"/>
            <w:tcMar>
              <w:top w:w="100" w:type="dxa"/>
              <w:start w:w="120" w:type="dxa"/>
              <w:bottom w:w="100" w:type="dxa"/>
              <w:end w:w="120" w:type="dxa"/>
            </w:tcMar>
          </w:tcPr>
          <w:p>
            <w:pPr>
              <w:jc w:val="left"/>
            </w:pPr>
            <w:r/>
            <w:r>
              <w:rPr>
                <w:b w:val="0"/>
                <w:color w:val="1F2937"/>
                <w:sz w:val="18"/>
              </w:rPr>
              <w:t>Null/typed omission plus stable error code, without leaking sensitive existence.</w:t>
            </w:r>
          </w:p>
        </w:tc>
      </w:tr>
      <w:tr>
        <w:tc>
          <w:tcPr>
            <w:tcW w:type="dxa" w:w="3024"/>
            <w:vAlign w:val="center"/>
            <w:tcMar>
              <w:top w:w="100" w:type="dxa"/>
              <w:start w:w="120" w:type="dxa"/>
              <w:bottom w:w="100" w:type="dxa"/>
              <w:end w:w="120" w:type="dxa"/>
            </w:tcMar>
          </w:tcPr>
          <w:p>
            <w:pPr>
              <w:jc w:val="left"/>
            </w:pPr>
            <w:r/>
            <w:r>
              <w:rPr>
                <w:b w:val="0"/>
                <w:color w:val="1F2937"/>
                <w:sz w:val="18"/>
              </w:rPr>
              <w:t>Expected business rejection</w:t>
            </w:r>
          </w:p>
        </w:tc>
        <w:tc>
          <w:tcPr>
            <w:tcW w:type="dxa" w:w="6624"/>
            <w:vAlign w:val="center"/>
            <w:tcMar>
              <w:top w:w="100" w:type="dxa"/>
              <w:start w:w="120" w:type="dxa"/>
              <w:bottom w:w="100" w:type="dxa"/>
              <w:end w:w="120" w:type="dxa"/>
            </w:tcMar>
          </w:tcPr>
          <w:p>
            <w:pPr>
              <w:jc w:val="left"/>
            </w:pPr>
            <w:r/>
            <w:r>
              <w:rPr>
                <w:b w:val="0"/>
                <w:color w:val="1F2937"/>
                <w:sz w:val="18"/>
              </w:rPr>
              <w:t>Typed mutation result or stable domain error.</w:t>
            </w:r>
          </w:p>
        </w:tc>
      </w:tr>
      <w:tr>
        <w:tc>
          <w:tcPr>
            <w:tcW w:type="dxa" w:w="3024"/>
            <w:vAlign w:val="center"/>
            <w:tcMar>
              <w:top w:w="100" w:type="dxa"/>
              <w:start w:w="120" w:type="dxa"/>
              <w:bottom w:w="100" w:type="dxa"/>
              <w:end w:w="120" w:type="dxa"/>
            </w:tcMar>
          </w:tcPr>
          <w:p>
            <w:pPr>
              <w:jc w:val="left"/>
            </w:pPr>
            <w:r/>
            <w:r>
              <w:rPr>
                <w:b w:val="0"/>
                <w:color w:val="1F2937"/>
                <w:sz w:val="18"/>
              </w:rPr>
              <w:t>Dependency outage</w:t>
            </w:r>
          </w:p>
        </w:tc>
        <w:tc>
          <w:tcPr>
            <w:tcW w:type="dxa" w:w="6624"/>
            <w:vAlign w:val="center"/>
            <w:tcMar>
              <w:top w:w="100" w:type="dxa"/>
              <w:start w:w="120" w:type="dxa"/>
              <w:bottom w:w="100" w:type="dxa"/>
              <w:end w:w="120" w:type="dxa"/>
            </w:tcMar>
          </w:tcPr>
          <w:p>
            <w:pPr>
              <w:jc w:val="left"/>
            </w:pPr>
            <w:r/>
            <w:r>
              <w:rPr>
                <w:b w:val="0"/>
                <w:color w:val="1F2937"/>
                <w:sz w:val="18"/>
              </w:rPr>
              <w:t>Field error for optional data; fail operation for authoritative critical data.</w:t>
            </w:r>
          </w:p>
        </w:tc>
      </w:tr>
      <w:tr>
        <w:tc>
          <w:tcPr>
            <w:tcW w:type="dxa" w:w="3024"/>
            <w:vAlign w:val="center"/>
            <w:tcMar>
              <w:top w:w="100" w:type="dxa"/>
              <w:start w:w="120" w:type="dxa"/>
              <w:bottom w:w="100" w:type="dxa"/>
              <w:end w:w="120" w:type="dxa"/>
            </w:tcMar>
          </w:tcPr>
          <w:p>
            <w:pPr>
              <w:jc w:val="left"/>
            </w:pPr>
            <w:r/>
            <w:r>
              <w:rPr>
                <w:b w:val="0"/>
                <w:color w:val="1F2937"/>
                <w:sz w:val="18"/>
              </w:rPr>
              <w:t>Unexpected defect</w:t>
            </w:r>
          </w:p>
        </w:tc>
        <w:tc>
          <w:tcPr>
            <w:tcW w:type="dxa" w:w="6624"/>
            <w:vAlign w:val="center"/>
            <w:tcMar>
              <w:top w:w="100" w:type="dxa"/>
              <w:start w:w="120" w:type="dxa"/>
              <w:bottom w:w="100" w:type="dxa"/>
              <w:end w:w="120" w:type="dxa"/>
            </w:tcMar>
          </w:tcPr>
          <w:p>
            <w:pPr>
              <w:jc w:val="left"/>
            </w:pPr>
            <w:r/>
            <w:r>
              <w:rPr>
                <w:b w:val="0"/>
                <w:color w:val="1F2937"/>
                <w:sz w:val="18"/>
              </w:rPr>
              <w:t>Generic client message, stable internal code, trace ID; do not expose stack traces.</w:t>
            </w:r>
          </w:p>
        </w:tc>
      </w:tr>
    </w:tbl>
    <w:p>
      <w:pPr>
        <w:spacing w:after="20"/>
      </w:pPr>
    </w:p>
    <w:p>
      <w:pPr>
        <w:pStyle w:val="Heading1"/>
      </w:pPr>
      <w:r>
        <w:t>12. Caching strategy</w:t>
      </w:r>
    </w:p>
    <w:p>
      <w:pPr>
        <w:pStyle w:val="Heading2"/>
      </w:pPr>
      <w:r>
        <w:t>12.1 Why GraphQL caching is harder</w:t>
      </w:r>
    </w:p>
    <w:p>
      <w:r>
        <w:t>Many GraphQL requests target one URL and differ by body, selected fields, variables, identity, and authorization. Traditional URL-based CDN caching is therefore less direct than REST resource caching.</w:t>
      </w:r>
    </w:p>
    <w:p>
      <w:pPr>
        <w:pStyle w:val="Heading2"/>
      </w:pPr>
      <w:r>
        <w:t>12.2 Practical cache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Layer</w:t>
            </w:r>
          </w:p>
        </w:tc>
        <w:tc>
          <w:tcPr>
            <w:tcW w:type="dxa" w:w="3528"/>
            <w:shd w:fill="17365D"/>
            <w:vAlign w:val="center"/>
            <w:tcMar>
              <w:top w:w="100" w:type="dxa"/>
              <w:start w:w="120" w:type="dxa"/>
              <w:bottom w:w="100" w:type="dxa"/>
              <w:end w:w="120" w:type="dxa"/>
            </w:tcMar>
          </w:tcPr>
          <w:p>
            <w:pPr>
              <w:jc w:val="center"/>
            </w:pPr>
            <w:r/>
            <w:r>
              <w:rPr>
                <w:b/>
                <w:color w:val="FFFFFF"/>
                <w:sz w:val="18"/>
              </w:rPr>
              <w:t>What to cache</w:t>
            </w:r>
          </w:p>
        </w:tc>
        <w:tc>
          <w:tcPr>
            <w:tcW w:type="dxa" w:w="3888"/>
            <w:shd w:fill="17365D"/>
            <w:vAlign w:val="center"/>
            <w:tcMar>
              <w:top w:w="100" w:type="dxa"/>
              <w:start w:w="120" w:type="dxa"/>
              <w:bottom w:w="100" w:type="dxa"/>
              <w:end w:w="120" w:type="dxa"/>
            </w:tcMar>
          </w:tcPr>
          <w:p>
            <w:pPr>
              <w:jc w:val="center"/>
            </w:pPr>
            <w:r/>
            <w:r>
              <w:rPr>
                <w:b/>
                <w:color w:val="FFFFFF"/>
                <w:sz w:val="18"/>
              </w:rPr>
              <w:t>Key considerations</w:t>
            </w:r>
          </w:p>
        </w:tc>
      </w:tr>
      <w:tr>
        <w:tc>
          <w:tcPr>
            <w:tcW w:type="dxa" w:w="2232"/>
            <w:vAlign w:val="center"/>
            <w:tcMar>
              <w:top w:w="100" w:type="dxa"/>
              <w:start w:w="120" w:type="dxa"/>
              <w:bottom w:w="100" w:type="dxa"/>
              <w:end w:w="120" w:type="dxa"/>
            </w:tcMar>
          </w:tcPr>
          <w:p>
            <w:pPr>
              <w:jc w:val="left"/>
            </w:pPr>
            <w:r/>
            <w:r>
              <w:rPr>
                <w:b w:val="0"/>
                <w:color w:val="1F2937"/>
                <w:sz w:val="18"/>
              </w:rPr>
              <w:t>Persisted-query/CDN</w:t>
            </w:r>
          </w:p>
        </w:tc>
        <w:tc>
          <w:tcPr>
            <w:tcW w:type="dxa" w:w="3528"/>
            <w:vAlign w:val="center"/>
            <w:tcMar>
              <w:top w:w="100" w:type="dxa"/>
              <w:start w:w="120" w:type="dxa"/>
              <w:bottom w:w="100" w:type="dxa"/>
              <w:end w:w="120" w:type="dxa"/>
            </w:tcMar>
          </w:tcPr>
          <w:p>
            <w:pPr>
              <w:jc w:val="left"/>
            </w:pPr>
            <w:r/>
            <w:r>
              <w:rPr>
                <w:b w:val="0"/>
                <w:color w:val="1F2937"/>
                <w:sz w:val="18"/>
              </w:rPr>
              <w:t>Approved public queries with stable variables</w:t>
            </w:r>
          </w:p>
        </w:tc>
        <w:tc>
          <w:tcPr>
            <w:tcW w:type="dxa" w:w="3888"/>
            <w:vAlign w:val="center"/>
            <w:tcMar>
              <w:top w:w="100" w:type="dxa"/>
              <w:start w:w="120" w:type="dxa"/>
              <w:bottom w:w="100" w:type="dxa"/>
              <w:end w:w="120" w:type="dxa"/>
            </w:tcMar>
          </w:tcPr>
          <w:p>
            <w:pPr>
              <w:jc w:val="left"/>
            </w:pPr>
            <w:r/>
            <w:r>
              <w:rPr>
                <w:b w:val="0"/>
                <w:color w:val="1F2937"/>
                <w:sz w:val="18"/>
              </w:rPr>
              <w:t>Identity, headers, freshness, invalidation.</w:t>
            </w:r>
          </w:p>
        </w:tc>
      </w:tr>
      <w:tr>
        <w:tc>
          <w:tcPr>
            <w:tcW w:type="dxa" w:w="2232"/>
            <w:vAlign w:val="center"/>
            <w:tcMar>
              <w:top w:w="100" w:type="dxa"/>
              <w:start w:w="120" w:type="dxa"/>
              <w:bottom w:w="100" w:type="dxa"/>
              <w:end w:w="120" w:type="dxa"/>
            </w:tcMar>
          </w:tcPr>
          <w:p>
            <w:pPr>
              <w:jc w:val="left"/>
            </w:pPr>
            <w:r/>
            <w:r>
              <w:rPr>
                <w:b w:val="0"/>
                <w:color w:val="1F2937"/>
                <w:sz w:val="18"/>
              </w:rPr>
              <w:t>Graph response cache</w:t>
            </w:r>
          </w:p>
        </w:tc>
        <w:tc>
          <w:tcPr>
            <w:tcW w:type="dxa" w:w="3528"/>
            <w:vAlign w:val="center"/>
            <w:tcMar>
              <w:top w:w="100" w:type="dxa"/>
              <w:start w:w="120" w:type="dxa"/>
              <w:bottom w:w="100" w:type="dxa"/>
              <w:end w:w="120" w:type="dxa"/>
            </w:tcMar>
          </w:tcPr>
          <w:p>
            <w:pPr>
              <w:jc w:val="left"/>
            </w:pPr>
            <w:r/>
            <w:r>
              <w:rPr>
                <w:b w:val="0"/>
                <w:color w:val="1F2937"/>
                <w:sz w:val="18"/>
              </w:rPr>
              <w:t>Whole response for identical operation and variables</w:t>
            </w:r>
          </w:p>
        </w:tc>
        <w:tc>
          <w:tcPr>
            <w:tcW w:type="dxa" w:w="3888"/>
            <w:vAlign w:val="center"/>
            <w:tcMar>
              <w:top w:w="100" w:type="dxa"/>
              <w:start w:w="120" w:type="dxa"/>
              <w:bottom w:w="100" w:type="dxa"/>
              <w:end w:w="120" w:type="dxa"/>
            </w:tcMar>
          </w:tcPr>
          <w:p>
            <w:pPr>
              <w:jc w:val="left"/>
            </w:pPr>
            <w:r/>
            <w:r>
              <w:rPr>
                <w:b w:val="0"/>
                <w:color w:val="1F2937"/>
                <w:sz w:val="18"/>
              </w:rPr>
              <w:t>Authorization and personalized fields can make this unsafe.</w:t>
            </w:r>
          </w:p>
        </w:tc>
      </w:tr>
      <w:tr>
        <w:tc>
          <w:tcPr>
            <w:tcW w:type="dxa" w:w="2232"/>
            <w:vAlign w:val="center"/>
            <w:tcMar>
              <w:top w:w="100" w:type="dxa"/>
              <w:start w:w="120" w:type="dxa"/>
              <w:bottom w:w="100" w:type="dxa"/>
              <w:end w:w="120" w:type="dxa"/>
            </w:tcMar>
          </w:tcPr>
          <w:p>
            <w:pPr>
              <w:jc w:val="left"/>
            </w:pPr>
            <w:r/>
            <w:r>
              <w:rPr>
                <w:b w:val="0"/>
                <w:color w:val="1F2937"/>
                <w:sz w:val="18"/>
              </w:rPr>
              <w:t>Resolver cache</w:t>
            </w:r>
          </w:p>
        </w:tc>
        <w:tc>
          <w:tcPr>
            <w:tcW w:type="dxa" w:w="3528"/>
            <w:vAlign w:val="center"/>
            <w:tcMar>
              <w:top w:w="100" w:type="dxa"/>
              <w:start w:w="120" w:type="dxa"/>
              <w:bottom w:w="100" w:type="dxa"/>
              <w:end w:w="120" w:type="dxa"/>
            </w:tcMar>
          </w:tcPr>
          <w:p>
            <w:pPr>
              <w:jc w:val="left"/>
            </w:pPr>
            <w:r/>
            <w:r>
              <w:rPr>
                <w:b w:val="0"/>
                <w:color w:val="1F2937"/>
                <w:sz w:val="18"/>
              </w:rPr>
              <w:t>Stable field results such as restaurant metadata</w:t>
            </w:r>
          </w:p>
        </w:tc>
        <w:tc>
          <w:tcPr>
            <w:tcW w:type="dxa" w:w="3888"/>
            <w:vAlign w:val="center"/>
            <w:tcMar>
              <w:top w:w="100" w:type="dxa"/>
              <w:start w:w="120" w:type="dxa"/>
              <w:bottom w:w="100" w:type="dxa"/>
              <w:end w:w="120" w:type="dxa"/>
            </w:tcMar>
          </w:tcPr>
          <w:p>
            <w:pPr>
              <w:jc w:val="left"/>
            </w:pPr>
            <w:r/>
            <w:r>
              <w:rPr>
                <w:b w:val="0"/>
                <w:color w:val="1F2937"/>
                <w:sz w:val="18"/>
              </w:rPr>
              <w:t>Include tenant, locale, permissions, and version in key.</w:t>
            </w:r>
          </w:p>
        </w:tc>
      </w:tr>
      <w:tr>
        <w:tc>
          <w:tcPr>
            <w:tcW w:type="dxa" w:w="2232"/>
            <w:vAlign w:val="center"/>
            <w:tcMar>
              <w:top w:w="100" w:type="dxa"/>
              <w:start w:w="120" w:type="dxa"/>
              <w:bottom w:w="100" w:type="dxa"/>
              <w:end w:w="120" w:type="dxa"/>
            </w:tcMar>
          </w:tcPr>
          <w:p>
            <w:pPr>
              <w:jc w:val="left"/>
            </w:pPr>
            <w:r/>
            <w:r>
              <w:rPr>
                <w:b w:val="0"/>
                <w:color w:val="1F2937"/>
                <w:sz w:val="18"/>
              </w:rPr>
              <w:t>DataLoader request cache</w:t>
            </w:r>
          </w:p>
        </w:tc>
        <w:tc>
          <w:tcPr>
            <w:tcW w:type="dxa" w:w="3528"/>
            <w:vAlign w:val="center"/>
            <w:tcMar>
              <w:top w:w="100" w:type="dxa"/>
              <w:start w:w="120" w:type="dxa"/>
              <w:bottom w:w="100" w:type="dxa"/>
              <w:end w:w="120" w:type="dxa"/>
            </w:tcMar>
          </w:tcPr>
          <w:p>
            <w:pPr>
              <w:jc w:val="left"/>
            </w:pPr>
            <w:r/>
            <w:r>
              <w:rPr>
                <w:b w:val="0"/>
                <w:color w:val="1F2937"/>
                <w:sz w:val="18"/>
              </w:rPr>
              <w:t>Duplicate entity loads in one request</w:t>
            </w:r>
          </w:p>
        </w:tc>
        <w:tc>
          <w:tcPr>
            <w:tcW w:type="dxa" w:w="3888"/>
            <w:vAlign w:val="center"/>
            <w:tcMar>
              <w:top w:w="100" w:type="dxa"/>
              <w:start w:w="120" w:type="dxa"/>
              <w:bottom w:w="100" w:type="dxa"/>
              <w:end w:w="120" w:type="dxa"/>
            </w:tcMar>
          </w:tcPr>
          <w:p>
            <w:pPr>
              <w:jc w:val="left"/>
            </w:pPr>
            <w:r/>
            <w:r>
              <w:rPr>
                <w:b w:val="0"/>
                <w:color w:val="1F2937"/>
                <w:sz w:val="18"/>
              </w:rPr>
              <w:t>Must be request-scoped.</w:t>
            </w:r>
          </w:p>
        </w:tc>
      </w:tr>
      <w:tr>
        <w:tc>
          <w:tcPr>
            <w:tcW w:type="dxa" w:w="2232"/>
            <w:vAlign w:val="center"/>
            <w:tcMar>
              <w:top w:w="100" w:type="dxa"/>
              <w:start w:w="120" w:type="dxa"/>
              <w:bottom w:w="100" w:type="dxa"/>
              <w:end w:w="120" w:type="dxa"/>
            </w:tcMar>
          </w:tcPr>
          <w:p>
            <w:pPr>
              <w:jc w:val="left"/>
            </w:pPr>
            <w:r/>
            <w:r>
              <w:rPr>
                <w:b w:val="0"/>
                <w:color w:val="1F2937"/>
                <w:sz w:val="18"/>
              </w:rPr>
              <w:t>Backend/read model</w:t>
            </w:r>
          </w:p>
        </w:tc>
        <w:tc>
          <w:tcPr>
            <w:tcW w:type="dxa" w:w="3528"/>
            <w:vAlign w:val="center"/>
            <w:tcMar>
              <w:top w:w="100" w:type="dxa"/>
              <w:start w:w="120" w:type="dxa"/>
              <w:bottom w:w="100" w:type="dxa"/>
              <w:end w:w="120" w:type="dxa"/>
            </w:tcMar>
          </w:tcPr>
          <w:p>
            <w:pPr>
              <w:jc w:val="left"/>
            </w:pPr>
            <w:r/>
            <w:r>
              <w:rPr>
                <w:b w:val="0"/>
                <w:color w:val="1F2937"/>
                <w:sz w:val="18"/>
              </w:rPr>
              <w:t>Precomputed views for high-traffic screens</w:t>
            </w:r>
          </w:p>
        </w:tc>
        <w:tc>
          <w:tcPr>
            <w:tcW w:type="dxa" w:w="3888"/>
            <w:vAlign w:val="center"/>
            <w:tcMar>
              <w:top w:w="100" w:type="dxa"/>
              <w:start w:w="120" w:type="dxa"/>
              <w:bottom w:w="100" w:type="dxa"/>
              <w:end w:w="120" w:type="dxa"/>
            </w:tcMar>
          </w:tcPr>
          <w:p>
            <w:pPr>
              <w:jc w:val="left"/>
            </w:pPr>
            <w:r/>
            <w:r>
              <w:rPr>
                <w:b w:val="0"/>
                <w:color w:val="1F2937"/>
                <w:sz w:val="18"/>
              </w:rPr>
              <w:t>Define consistency and update lag.</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Mar>
              <w:top w:w="135" w:type="dxa"/>
              <w:start w:w="175" w:type="dxa"/>
              <w:bottom w:w="135" w:type="dxa"/>
              <w:end w:w="175" w:type="dxa"/>
            </w:tcMar>
          </w:tcPr>
          <w:p>
            <w:pPr>
              <w:spacing w:after="40"/>
            </w:pPr>
            <w:r>
              <w:rPr>
                <w:b/>
                <w:color w:val="9C0006"/>
                <w:sz w:val="20"/>
              </w:rPr>
              <w:t xml:space="preserve">Cache safety:  </w:t>
            </w:r>
            <w:r>
              <w:rPr>
                <w:color w:val="1F2937"/>
                <w:sz w:val="20"/>
              </w:rPr>
              <w:t>Never share a cached GraphQL response across users unless every selected field is proven public and the cache key captures all representation-changing inputs.</w:t>
            </w:r>
          </w:p>
        </w:tc>
      </w:tr>
    </w:tbl>
    <w:p>
      <w:pPr>
        <w:spacing w:after="20"/>
      </w:pPr>
    </w:p>
    <w:p>
      <w:pPr>
        <w:pStyle w:val="Heading1"/>
      </w:pPr>
      <w:r>
        <w:t>13. Subscriptions and real-time updates</w:t>
      </w:r>
    </w:p>
    <w:p>
      <w:pPr>
        <w:pStyle w:val="Heading2"/>
      </w:pPr>
      <w:r>
        <w:t>13.1 Suitable use</w:t>
      </w:r>
    </w:p>
    <w:tbl>
      <w:tblPr>
        <w:tblW w:type="auto" w:w="0"/>
        <w:jc w:val="center"/>
        <w:tblLook w:firstColumn="1" w:firstRow="1" w:lastColumn="0" w:lastRow="0" w:noHBand="0" w:noVBand="1" w:val="04A0"/>
      </w:tblPr>
      <w:tblGrid>
        <w:gridCol w:w="10080"/>
      </w:tblGrid>
      <w:tr>
        <w:tc>
          <w:tcPr>
            <w:tcW w:type="dxa" w:w="10080"/>
            <w:shd w:fill="F2F5F8"/>
            <w:tcMar>
              <w:top w:w="130" w:type="dxa"/>
              <w:start w:w="160" w:type="dxa"/>
              <w:bottom w:w="130" w:type="dxa"/>
              <w:end w:w="160" w:type="dxa"/>
            </w:tcMar>
          </w:tcPr>
          <w:p>
            <w:pPr>
              <w:spacing w:after="0"/>
            </w:pPr>
            <w:r>
              <w:rPr>
                <w:rFonts w:ascii="Consolas" w:hAnsi="Consolas"/>
                <w:color w:val="1F2937"/>
                <w:sz w:val="17"/>
              </w:rPr>
              <w:t>subscription OrderStatus($orderId: ID!) {</w:t>
              <w:br/>
              <w:t xml:space="preserve">  orderStatusChanged(orderId: $orderId) {</w:t>
              <w:br/>
              <w:t xml:space="preserve">    orderId</w:t>
              <w:br/>
              <w:t xml:space="preserve">    status</w:t>
              <w:br/>
              <w:t xml:space="preserve">    version</w:t>
              <w:br/>
              <w:t xml:space="preserve">    occurredAt</w:t>
              <w:br/>
              <w:t xml:space="preserve">  }</w:t>
              <w:br/>
              <w:t>}</w:t>
            </w:r>
          </w:p>
        </w:tc>
      </w:tr>
    </w:tbl>
    <w:p>
      <w:pPr>
        <w:spacing w:after="20"/>
      </w:pPr>
    </w:p>
    <w:p>
      <w:r>
        <w:t>Subscriptions can update connected clients, but the implementation still needs connection authentication, reauthorization, fan-out, backpressure, reconnection, ordering, and version handling.</w:t>
      </w:r>
    </w:p>
    <w:p>
      <w:pPr>
        <w:pStyle w:val="Heading2"/>
      </w:pPr>
      <w:r>
        <w:t>13.2 What subscriptions do not replace</w:t>
      </w:r>
    </w:p>
    <w:p>
      <w:pPr>
        <w:pStyle w:val="ListBullet"/>
      </w:pPr>
      <w:r>
        <w:t>A durable broker with replay and consumer offsets.</w:t>
      </w:r>
    </w:p>
    <w:p>
      <w:pPr>
        <w:pStyle w:val="ListBullet"/>
      </w:pPr>
      <w:r>
        <w:t>Reliable integration for offline partner systems.</w:t>
      </w:r>
    </w:p>
    <w:p>
      <w:pPr>
        <w:pStyle w:val="ListBullet"/>
      </w:pPr>
      <w:r>
        <w:t>Long-term audit storage.</w:t>
      </w:r>
    </w:p>
    <w:p>
      <w:pPr>
        <w:pStyle w:val="ListBullet"/>
      </w:pPr>
      <w:r>
        <w:t>A transactional outbox for publishing business events.</w:t>
      </w:r>
    </w:p>
    <w:p>
      <w:pPr>
        <w:pStyle w:val="Heading1"/>
      </w:pPr>
      <w:r>
        <w:t>14. Federation and organizational governance</w:t>
      </w:r>
    </w:p>
    <w:p>
      <w:pPr>
        <w:pStyle w:val="Heading2"/>
      </w:pPr>
      <w:r>
        <w:t>14.1 When federation helps</w:t>
      </w:r>
    </w:p>
    <w:p>
      <w:r>
        <w:t>Federation can let domain teams own subgraphs while presenting one client graph. It is valuable when the organization already has multiple domains, clear ownership, a mature platform, and a real need for cross-domain composition.</w:t>
      </w:r>
    </w:p>
    <w:p>
      <w:pPr>
        <w:pStyle w:val="Heading2"/>
      </w:pPr>
      <w:r>
        <w:t>14.2 What federation does not solve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100" w:type="dxa"/>
              <w:start w:w="120" w:type="dxa"/>
              <w:bottom w:w="100" w:type="dxa"/>
              <w:end w:w="120" w:type="dxa"/>
            </w:tcMar>
          </w:tcPr>
          <w:p>
            <w:pPr>
              <w:jc w:val="center"/>
            </w:pPr>
            <w:r/>
            <w:r>
              <w:rPr>
                <w:b/>
                <w:color w:val="FFFFFF"/>
                <w:sz w:val="18"/>
              </w:rPr>
              <w:t>Problem</w:t>
            </w:r>
          </w:p>
        </w:tc>
        <w:tc>
          <w:tcPr>
            <w:tcW w:type="dxa" w:w="6624"/>
            <w:shd w:fill="17365D"/>
            <w:vAlign w:val="center"/>
            <w:tcMar>
              <w:top w:w="100" w:type="dxa"/>
              <w:start w:w="120" w:type="dxa"/>
              <w:bottom w:w="100" w:type="dxa"/>
              <w:end w:w="120" w:type="dxa"/>
            </w:tcMar>
          </w:tcPr>
          <w:p>
            <w:pPr>
              <w:jc w:val="center"/>
            </w:pPr>
            <w:r/>
            <w:r>
              <w:rPr>
                <w:b/>
                <w:color w:val="FFFFFF"/>
                <w:sz w:val="18"/>
              </w:rPr>
              <w:t>Why federation alone is insufficient</w:t>
            </w:r>
          </w:p>
        </w:tc>
      </w:tr>
      <w:tr>
        <w:tc>
          <w:tcPr>
            <w:tcW w:type="dxa" w:w="3024"/>
            <w:vAlign w:val="center"/>
            <w:tcMar>
              <w:top w:w="100" w:type="dxa"/>
              <w:start w:w="120" w:type="dxa"/>
              <w:bottom w:w="100" w:type="dxa"/>
              <w:end w:w="120" w:type="dxa"/>
            </w:tcMar>
          </w:tcPr>
          <w:p>
            <w:pPr>
              <w:jc w:val="left"/>
            </w:pPr>
            <w:r/>
            <w:r>
              <w:rPr>
                <w:b w:val="0"/>
                <w:color w:val="1F2937"/>
                <w:sz w:val="18"/>
              </w:rPr>
              <w:t>Unclear ownership</w:t>
            </w:r>
          </w:p>
        </w:tc>
        <w:tc>
          <w:tcPr>
            <w:tcW w:type="dxa" w:w="6624"/>
            <w:vAlign w:val="center"/>
            <w:tcMar>
              <w:top w:w="100" w:type="dxa"/>
              <w:start w:w="120" w:type="dxa"/>
              <w:bottom w:w="100" w:type="dxa"/>
              <w:end w:w="120" w:type="dxa"/>
            </w:tcMar>
          </w:tcPr>
          <w:p>
            <w:pPr>
              <w:jc w:val="left"/>
            </w:pPr>
            <w:r/>
            <w:r>
              <w:rPr>
                <w:b w:val="0"/>
                <w:color w:val="1F2937"/>
                <w:sz w:val="18"/>
              </w:rPr>
              <w:t>A technical subgraph boundary does not create accountable domain ownership.</w:t>
            </w:r>
          </w:p>
        </w:tc>
      </w:tr>
      <w:tr>
        <w:tc>
          <w:tcPr>
            <w:tcW w:type="dxa" w:w="3024"/>
            <w:vAlign w:val="center"/>
            <w:tcMar>
              <w:top w:w="100" w:type="dxa"/>
              <w:start w:w="120" w:type="dxa"/>
              <w:bottom w:w="100" w:type="dxa"/>
              <w:end w:w="120" w:type="dxa"/>
            </w:tcMar>
          </w:tcPr>
          <w:p>
            <w:pPr>
              <w:jc w:val="left"/>
            </w:pPr>
            <w:r/>
            <w:r>
              <w:rPr>
                <w:b w:val="0"/>
                <w:color w:val="1F2937"/>
                <w:sz w:val="18"/>
              </w:rPr>
              <w:t>Cross-domain authorization</w:t>
            </w:r>
          </w:p>
        </w:tc>
        <w:tc>
          <w:tcPr>
            <w:tcW w:type="dxa" w:w="6624"/>
            <w:vAlign w:val="center"/>
            <w:tcMar>
              <w:top w:w="100" w:type="dxa"/>
              <w:start w:w="120" w:type="dxa"/>
              <w:bottom w:w="100" w:type="dxa"/>
              <w:end w:w="120" w:type="dxa"/>
            </w:tcMar>
          </w:tcPr>
          <w:p>
            <w:pPr>
              <w:jc w:val="left"/>
            </w:pPr>
            <w:r/>
            <w:r>
              <w:rPr>
                <w:b w:val="0"/>
                <w:color w:val="1F2937"/>
                <w:sz w:val="18"/>
              </w:rPr>
              <w:t>The router still needs identity and policy context; every subgraph must enforce its responsibilities.</w:t>
            </w:r>
          </w:p>
        </w:tc>
      </w:tr>
      <w:tr>
        <w:tc>
          <w:tcPr>
            <w:tcW w:type="dxa" w:w="3024"/>
            <w:vAlign w:val="center"/>
            <w:tcMar>
              <w:top w:w="100" w:type="dxa"/>
              <w:start w:w="120" w:type="dxa"/>
              <w:bottom w:w="100" w:type="dxa"/>
              <w:end w:w="120" w:type="dxa"/>
            </w:tcMar>
          </w:tcPr>
          <w:p>
            <w:pPr>
              <w:jc w:val="left"/>
            </w:pPr>
            <w:r/>
            <w:r>
              <w:rPr>
                <w:b w:val="0"/>
                <w:color w:val="1F2937"/>
                <w:sz w:val="18"/>
              </w:rPr>
              <w:t>Distributed latency</w:t>
            </w:r>
          </w:p>
        </w:tc>
        <w:tc>
          <w:tcPr>
            <w:tcW w:type="dxa" w:w="6624"/>
            <w:vAlign w:val="center"/>
            <w:tcMar>
              <w:top w:w="100" w:type="dxa"/>
              <w:start w:w="120" w:type="dxa"/>
              <w:bottom w:w="100" w:type="dxa"/>
              <w:end w:w="120" w:type="dxa"/>
            </w:tcMar>
          </w:tcPr>
          <w:p>
            <w:pPr>
              <w:jc w:val="left"/>
            </w:pPr>
            <w:r/>
            <w:r>
              <w:rPr>
                <w:b w:val="0"/>
                <w:color w:val="1F2937"/>
                <w:sz w:val="18"/>
              </w:rPr>
              <w:t>One query can fan out across many subgraphs and create a deep synchronous call graph.</w:t>
            </w:r>
          </w:p>
        </w:tc>
      </w:tr>
      <w:tr>
        <w:tc>
          <w:tcPr>
            <w:tcW w:type="dxa" w:w="3024"/>
            <w:vAlign w:val="center"/>
            <w:tcMar>
              <w:top w:w="100" w:type="dxa"/>
              <w:start w:w="120" w:type="dxa"/>
              <w:bottom w:w="100" w:type="dxa"/>
              <w:end w:w="120" w:type="dxa"/>
            </w:tcMar>
          </w:tcPr>
          <w:p>
            <w:pPr>
              <w:jc w:val="left"/>
            </w:pPr>
            <w:r/>
            <w:r>
              <w:rPr>
                <w:b w:val="0"/>
                <w:color w:val="1F2937"/>
                <w:sz w:val="18"/>
              </w:rPr>
              <w:t>Breaking changes</w:t>
            </w:r>
          </w:p>
        </w:tc>
        <w:tc>
          <w:tcPr>
            <w:tcW w:type="dxa" w:w="6624"/>
            <w:vAlign w:val="center"/>
            <w:tcMar>
              <w:top w:w="100" w:type="dxa"/>
              <w:start w:w="120" w:type="dxa"/>
              <w:bottom w:w="100" w:type="dxa"/>
              <w:end w:w="120" w:type="dxa"/>
            </w:tcMar>
          </w:tcPr>
          <w:p>
            <w:pPr>
              <w:jc w:val="left"/>
            </w:pPr>
            <w:r/>
            <w:r>
              <w:rPr>
                <w:b w:val="0"/>
                <w:color w:val="1F2937"/>
                <w:sz w:val="18"/>
              </w:rPr>
              <w:t>Schema composition does not eliminate consumer compatibility requirements.</w:t>
            </w:r>
          </w:p>
        </w:tc>
      </w:tr>
      <w:tr>
        <w:tc>
          <w:tcPr>
            <w:tcW w:type="dxa" w:w="3024"/>
            <w:vAlign w:val="center"/>
            <w:tcMar>
              <w:top w:w="100" w:type="dxa"/>
              <w:start w:w="120" w:type="dxa"/>
              <w:bottom w:w="100" w:type="dxa"/>
              <w:end w:w="120" w:type="dxa"/>
            </w:tcMar>
          </w:tcPr>
          <w:p>
            <w:pPr>
              <w:jc w:val="left"/>
            </w:pPr>
            <w:r/>
            <w:r>
              <w:rPr>
                <w:b w:val="0"/>
                <w:color w:val="1F2937"/>
                <w:sz w:val="18"/>
              </w:rPr>
              <w:t>Incident isolation</w:t>
            </w:r>
          </w:p>
        </w:tc>
        <w:tc>
          <w:tcPr>
            <w:tcW w:type="dxa" w:w="6624"/>
            <w:vAlign w:val="center"/>
            <w:tcMar>
              <w:top w:w="100" w:type="dxa"/>
              <w:start w:w="120" w:type="dxa"/>
              <w:bottom w:w="100" w:type="dxa"/>
              <w:end w:w="120" w:type="dxa"/>
            </w:tcMar>
          </w:tcPr>
          <w:p>
            <w:pPr>
              <w:jc w:val="left"/>
            </w:pPr>
            <w:r/>
            <w:r>
              <w:rPr>
                <w:b w:val="0"/>
                <w:color w:val="1F2937"/>
                <w:sz w:val="18"/>
              </w:rPr>
              <w:t>A popular query may depend on several teams and fail partially in complex ways.</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2CC"/>
            <w:tcMar>
              <w:top w:w="135" w:type="dxa"/>
              <w:start w:w="175" w:type="dxa"/>
              <w:bottom w:w="135" w:type="dxa"/>
              <w:end w:w="175" w:type="dxa"/>
            </w:tcMar>
          </w:tcPr>
          <w:p>
            <w:pPr>
              <w:spacing w:after="40"/>
            </w:pPr>
            <w:r>
              <w:rPr>
                <w:b/>
                <w:color w:val="7F6000"/>
                <w:sz w:val="20"/>
              </w:rPr>
              <w:t xml:space="preserve">Adoption rule:  </w:t>
            </w:r>
            <w:r>
              <w:rPr>
                <w:color w:val="1F2937"/>
                <w:sz w:val="20"/>
              </w:rPr>
              <w:t>Do not start with federation because the company has microservices. Start when independent schema ownership and cross-domain client composition justify the platform cost.</w:t>
            </w:r>
          </w:p>
        </w:tc>
      </w:tr>
    </w:tbl>
    <w:p>
      <w:pPr>
        <w:spacing w:after="20"/>
      </w:pPr>
    </w:p>
    <w:p>
      <w:pPr>
        <w:pStyle w:val="Heading1"/>
      </w:pPr>
      <w:r>
        <w:t>15. Observability and production operations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100" w:type="dxa"/>
              <w:start w:w="120" w:type="dxa"/>
              <w:bottom w:w="100" w:type="dxa"/>
              <w:end w:w="120" w:type="dxa"/>
            </w:tcMar>
          </w:tcPr>
          <w:p>
            <w:pPr>
              <w:jc w:val="center"/>
            </w:pPr>
            <w:r/>
            <w:r>
              <w:rPr>
                <w:b/>
                <w:color w:val="FFFFFF"/>
                <w:sz w:val="18"/>
              </w:rPr>
              <w:t>Signal</w:t>
            </w:r>
          </w:p>
        </w:tc>
        <w:tc>
          <w:tcPr>
            <w:tcW w:type="dxa" w:w="7416"/>
            <w:shd w:fill="17365D"/>
            <w:vAlign w:val="center"/>
            <w:tcMar>
              <w:top w:w="100" w:type="dxa"/>
              <w:start w:w="120" w:type="dxa"/>
              <w:bottom w:w="100" w:type="dxa"/>
              <w:end w:w="120" w:type="dxa"/>
            </w:tcMar>
          </w:tcPr>
          <w:p>
            <w:pPr>
              <w:jc w:val="center"/>
            </w:pPr>
            <w:r/>
            <w:r>
              <w:rPr>
                <w:b/>
                <w:color w:val="FFFFFF"/>
                <w:sz w:val="18"/>
              </w:rPr>
              <w:t>What to record</w:t>
            </w:r>
          </w:p>
        </w:tc>
      </w:tr>
      <w:tr>
        <w:tc>
          <w:tcPr>
            <w:tcW w:type="dxa" w:w="2232"/>
            <w:vAlign w:val="center"/>
            <w:tcMar>
              <w:top w:w="100" w:type="dxa"/>
              <w:start w:w="120" w:type="dxa"/>
              <w:bottom w:w="100" w:type="dxa"/>
              <w:end w:w="120" w:type="dxa"/>
            </w:tcMar>
          </w:tcPr>
          <w:p>
            <w:pPr>
              <w:jc w:val="left"/>
            </w:pPr>
            <w:r/>
            <w:r>
              <w:rPr>
                <w:b w:val="0"/>
                <w:color w:val="1F2937"/>
                <w:sz w:val="18"/>
              </w:rPr>
              <w:t>Operation identity</w:t>
            </w:r>
          </w:p>
        </w:tc>
        <w:tc>
          <w:tcPr>
            <w:tcW w:type="dxa" w:w="7416"/>
            <w:vAlign w:val="center"/>
            <w:tcMar>
              <w:top w:w="100" w:type="dxa"/>
              <w:start w:w="120" w:type="dxa"/>
              <w:bottom w:w="100" w:type="dxa"/>
              <w:end w:w="120" w:type="dxa"/>
            </w:tcMar>
          </w:tcPr>
          <w:p>
            <w:pPr>
              <w:jc w:val="left"/>
            </w:pPr>
            <w:r/>
            <w:r>
              <w:rPr>
                <w:b w:val="0"/>
                <w:color w:val="1F2937"/>
                <w:sz w:val="18"/>
              </w:rPr>
              <w:t>Persisted query ID, operation name, client version; avoid logging raw sensitive queries.</w:t>
            </w:r>
          </w:p>
        </w:tc>
      </w:tr>
      <w:tr>
        <w:tc>
          <w:tcPr>
            <w:tcW w:type="dxa" w:w="2232"/>
            <w:vAlign w:val="center"/>
            <w:tcMar>
              <w:top w:w="100" w:type="dxa"/>
              <w:start w:w="120" w:type="dxa"/>
              <w:bottom w:w="100" w:type="dxa"/>
              <w:end w:w="120" w:type="dxa"/>
            </w:tcMar>
          </w:tcPr>
          <w:p>
            <w:pPr>
              <w:jc w:val="left"/>
            </w:pPr>
            <w:r/>
            <w:r>
              <w:rPr>
                <w:b w:val="0"/>
                <w:color w:val="1F2937"/>
                <w:sz w:val="18"/>
              </w:rPr>
              <w:t>Performance</w:t>
            </w:r>
          </w:p>
        </w:tc>
        <w:tc>
          <w:tcPr>
            <w:tcW w:type="dxa" w:w="7416"/>
            <w:vAlign w:val="center"/>
            <w:tcMar>
              <w:top w:w="100" w:type="dxa"/>
              <w:start w:w="120" w:type="dxa"/>
              <w:bottom w:w="100" w:type="dxa"/>
              <w:end w:w="120" w:type="dxa"/>
            </w:tcMar>
          </w:tcPr>
          <w:p>
            <w:pPr>
              <w:jc w:val="left"/>
            </w:pPr>
            <w:r/>
            <w:r>
              <w:rPr>
                <w:b w:val="0"/>
                <w:color w:val="1F2937"/>
                <w:sz w:val="18"/>
              </w:rPr>
              <w:t>Total latency, parse/validate time, resolver time, backend time, P50/P95/P99.</w:t>
            </w:r>
          </w:p>
        </w:tc>
      </w:tr>
      <w:tr>
        <w:tc>
          <w:tcPr>
            <w:tcW w:type="dxa" w:w="2232"/>
            <w:vAlign w:val="center"/>
            <w:tcMar>
              <w:top w:w="100" w:type="dxa"/>
              <w:start w:w="120" w:type="dxa"/>
              <w:bottom w:w="100" w:type="dxa"/>
              <w:end w:w="120" w:type="dxa"/>
            </w:tcMar>
          </w:tcPr>
          <w:p>
            <w:pPr>
              <w:jc w:val="left"/>
            </w:pPr>
            <w:r/>
            <w:r>
              <w:rPr>
                <w:b w:val="0"/>
                <w:color w:val="1F2937"/>
                <w:sz w:val="18"/>
              </w:rPr>
              <w:t>Cost</w:t>
            </w:r>
          </w:p>
        </w:tc>
        <w:tc>
          <w:tcPr>
            <w:tcW w:type="dxa" w:w="7416"/>
            <w:vAlign w:val="center"/>
            <w:tcMar>
              <w:top w:w="100" w:type="dxa"/>
              <w:start w:w="120" w:type="dxa"/>
              <w:bottom w:w="100" w:type="dxa"/>
              <w:end w:w="120" w:type="dxa"/>
            </w:tcMar>
          </w:tcPr>
          <w:p>
            <w:pPr>
              <w:jc w:val="left"/>
            </w:pPr>
            <w:r/>
            <w:r>
              <w:rPr>
                <w:b w:val="0"/>
                <w:color w:val="1F2937"/>
                <w:sz w:val="18"/>
              </w:rPr>
              <w:t>Complexity score, field count, depth, result count, response bytes.</w:t>
            </w:r>
          </w:p>
        </w:tc>
      </w:tr>
      <w:tr>
        <w:tc>
          <w:tcPr>
            <w:tcW w:type="dxa" w:w="2232"/>
            <w:vAlign w:val="center"/>
            <w:tcMar>
              <w:top w:w="100" w:type="dxa"/>
              <w:start w:w="120" w:type="dxa"/>
              <w:bottom w:w="100" w:type="dxa"/>
              <w:end w:w="120" w:type="dxa"/>
            </w:tcMar>
          </w:tcPr>
          <w:p>
            <w:pPr>
              <w:jc w:val="left"/>
            </w:pPr>
            <w:r/>
            <w:r>
              <w:rPr>
                <w:b w:val="0"/>
                <w:color w:val="1F2937"/>
                <w:sz w:val="18"/>
              </w:rPr>
              <w:t>Dependencies</w:t>
            </w:r>
          </w:p>
        </w:tc>
        <w:tc>
          <w:tcPr>
            <w:tcW w:type="dxa" w:w="7416"/>
            <w:vAlign w:val="center"/>
            <w:tcMar>
              <w:top w:w="100" w:type="dxa"/>
              <w:start w:w="120" w:type="dxa"/>
              <w:bottom w:w="100" w:type="dxa"/>
              <w:end w:w="120" w:type="dxa"/>
            </w:tcMar>
          </w:tcPr>
          <w:p>
            <w:pPr>
              <w:jc w:val="left"/>
            </w:pPr>
            <w:r/>
            <w:r>
              <w:rPr>
                <w:b w:val="0"/>
                <w:color w:val="1F2937"/>
                <w:sz w:val="18"/>
              </w:rPr>
              <w:t>Calls per backend, retries, timeouts, cache hit ratio.</w:t>
            </w:r>
          </w:p>
        </w:tc>
      </w:tr>
      <w:tr>
        <w:tc>
          <w:tcPr>
            <w:tcW w:type="dxa" w:w="2232"/>
            <w:vAlign w:val="center"/>
            <w:tcMar>
              <w:top w:w="100" w:type="dxa"/>
              <w:start w:w="120" w:type="dxa"/>
              <w:bottom w:w="100" w:type="dxa"/>
              <w:end w:w="120" w:type="dxa"/>
            </w:tcMar>
          </w:tcPr>
          <w:p>
            <w:pPr>
              <w:jc w:val="left"/>
            </w:pPr>
            <w:r/>
            <w:r>
              <w:rPr>
                <w:b w:val="0"/>
                <w:color w:val="1F2937"/>
                <w:sz w:val="18"/>
              </w:rPr>
              <w:t>Errors</w:t>
            </w:r>
          </w:p>
        </w:tc>
        <w:tc>
          <w:tcPr>
            <w:tcW w:type="dxa" w:w="7416"/>
            <w:vAlign w:val="center"/>
            <w:tcMar>
              <w:top w:w="100" w:type="dxa"/>
              <w:start w:w="120" w:type="dxa"/>
              <w:bottom w:w="100" w:type="dxa"/>
              <w:end w:w="120" w:type="dxa"/>
            </w:tcMar>
          </w:tcPr>
          <w:p>
            <w:pPr>
              <w:jc w:val="left"/>
            </w:pPr>
            <w:r/>
            <w:r>
              <w:rPr>
                <w:b w:val="0"/>
                <w:color w:val="1F2937"/>
                <w:sz w:val="18"/>
              </w:rPr>
              <w:t>Error code, field path, subgraph/service, retryability, trace ID.</w:t>
            </w:r>
          </w:p>
        </w:tc>
      </w:tr>
      <w:tr>
        <w:tc>
          <w:tcPr>
            <w:tcW w:type="dxa" w:w="2232"/>
            <w:vAlign w:val="center"/>
            <w:tcMar>
              <w:top w:w="100" w:type="dxa"/>
              <w:start w:w="120" w:type="dxa"/>
              <w:bottom w:w="100" w:type="dxa"/>
              <w:end w:w="120" w:type="dxa"/>
            </w:tcMar>
          </w:tcPr>
          <w:p>
            <w:pPr>
              <w:jc w:val="left"/>
            </w:pPr>
            <w:r/>
            <w:r>
              <w:rPr>
                <w:b w:val="0"/>
                <w:color w:val="1F2937"/>
                <w:sz w:val="18"/>
              </w:rPr>
              <w:t>Security</w:t>
            </w:r>
          </w:p>
        </w:tc>
        <w:tc>
          <w:tcPr>
            <w:tcW w:type="dxa" w:w="7416"/>
            <w:vAlign w:val="center"/>
            <w:tcMar>
              <w:top w:w="100" w:type="dxa"/>
              <w:start w:w="120" w:type="dxa"/>
              <w:bottom w:w="100" w:type="dxa"/>
              <w:end w:w="120" w:type="dxa"/>
            </w:tcMar>
          </w:tcPr>
          <w:p>
            <w:pPr>
              <w:jc w:val="left"/>
            </w:pPr>
            <w:r/>
            <w:r>
              <w:rPr>
                <w:b w:val="0"/>
                <w:color w:val="1F2937"/>
                <w:sz w:val="18"/>
              </w:rPr>
              <w:t>Denied fields/objects, client identity, tenant, purpose where permitted; never log secrets or clinical/financial payloads indiscriminately.</w:t>
            </w:r>
          </w:p>
        </w:tc>
      </w:tr>
    </w:tbl>
    <w:p>
      <w:pPr>
        <w:spacing w:after="20"/>
      </w:pPr>
    </w:p>
    <w:p>
      <w:r>
        <w:t>Use distributed tracing to connect one GraphQL operation to resolver and downstream activity. Dashboards should be operation-centric, not just endpoint-centric, because every request may target /graphql.</w:t>
      </w:r>
    </w:p>
    <w:p>
      <w:pPr>
        <w:pStyle w:val="Heading1"/>
      </w:pPr>
      <w:r>
        <w:t>16. Versioning and compatibility</w:t>
      </w:r>
    </w:p>
    <w:p>
      <w:r>
        <w:t>GraphQL commonly evolves one schema rather than publishing /v1 and /v2 endpoints. This makes deprecation discipline essential.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84"/>
            <w:shd w:fill="17365D"/>
            <w:vAlign w:val="center"/>
            <w:tcMar>
              <w:top w:w="100" w:type="dxa"/>
              <w:start w:w="120" w:type="dxa"/>
              <w:bottom w:w="100" w:type="dxa"/>
              <w:end w:w="120" w:type="dxa"/>
            </w:tcMar>
          </w:tcPr>
          <w:p>
            <w:pPr>
              <w:jc w:val="center"/>
            </w:pPr>
            <w:r/>
            <w:r>
              <w:rPr>
                <w:b/>
                <w:color w:val="FFFFFF"/>
                <w:sz w:val="18"/>
              </w:rPr>
              <w:t>Change</w:t>
            </w:r>
          </w:p>
        </w:tc>
        <w:tc>
          <w:tcPr>
            <w:tcW w:type="dxa" w:w="6264"/>
            <w:shd w:fill="17365D"/>
            <w:vAlign w:val="center"/>
            <w:tcMar>
              <w:top w:w="100" w:type="dxa"/>
              <w:start w:w="120" w:type="dxa"/>
              <w:bottom w:w="100" w:type="dxa"/>
              <w:end w:w="120" w:type="dxa"/>
            </w:tcMar>
          </w:tcPr>
          <w:p>
            <w:pPr>
              <w:jc w:val="center"/>
            </w:pPr>
            <w:r/>
            <w:r>
              <w:rPr>
                <w:b/>
                <w:color w:val="FFFFFF"/>
                <w:sz w:val="18"/>
              </w:rPr>
              <w:t>Compatibility assessment</w:t>
            </w:r>
          </w:p>
        </w:tc>
      </w:tr>
      <w:tr>
        <w:tc>
          <w:tcPr>
            <w:tcW w:type="dxa" w:w="3384"/>
            <w:vAlign w:val="center"/>
            <w:tcMar>
              <w:top w:w="100" w:type="dxa"/>
              <w:start w:w="120" w:type="dxa"/>
              <w:bottom w:w="100" w:type="dxa"/>
              <w:end w:w="120" w:type="dxa"/>
            </w:tcMar>
          </w:tcPr>
          <w:p>
            <w:pPr>
              <w:jc w:val="left"/>
            </w:pPr>
            <w:r/>
            <w:r>
              <w:rPr>
                <w:b w:val="0"/>
                <w:color w:val="1F2937"/>
                <w:sz w:val="18"/>
              </w:rPr>
              <w:t>Add optional field</w:t>
            </w:r>
          </w:p>
        </w:tc>
        <w:tc>
          <w:tcPr>
            <w:tcW w:type="dxa" w:w="6264"/>
            <w:vAlign w:val="center"/>
            <w:tcMar>
              <w:top w:w="100" w:type="dxa"/>
              <w:start w:w="120" w:type="dxa"/>
              <w:bottom w:w="100" w:type="dxa"/>
              <w:end w:w="120" w:type="dxa"/>
            </w:tcMar>
          </w:tcPr>
          <w:p>
            <w:pPr>
              <w:jc w:val="left"/>
            </w:pPr>
            <w:r/>
            <w:r>
              <w:rPr>
                <w:b w:val="0"/>
                <w:color w:val="1F2937"/>
                <w:sz w:val="18"/>
              </w:rPr>
              <w:t>Usually safe.</w:t>
            </w:r>
          </w:p>
        </w:tc>
      </w:tr>
      <w:tr>
        <w:tc>
          <w:tcPr>
            <w:tcW w:type="dxa" w:w="3384"/>
            <w:vAlign w:val="center"/>
            <w:tcMar>
              <w:top w:w="100" w:type="dxa"/>
              <w:start w:w="120" w:type="dxa"/>
              <w:bottom w:w="100" w:type="dxa"/>
              <w:end w:w="120" w:type="dxa"/>
            </w:tcMar>
          </w:tcPr>
          <w:p>
            <w:pPr>
              <w:jc w:val="left"/>
            </w:pPr>
            <w:r/>
            <w:r>
              <w:rPr>
                <w:b w:val="0"/>
                <w:color w:val="1F2937"/>
                <w:sz w:val="18"/>
              </w:rPr>
              <w:t>Add optional argument</w:t>
            </w:r>
          </w:p>
        </w:tc>
        <w:tc>
          <w:tcPr>
            <w:tcW w:type="dxa" w:w="6264"/>
            <w:vAlign w:val="center"/>
            <w:tcMar>
              <w:top w:w="100" w:type="dxa"/>
              <w:start w:w="120" w:type="dxa"/>
              <w:bottom w:w="100" w:type="dxa"/>
              <w:end w:w="120" w:type="dxa"/>
            </w:tcMar>
          </w:tcPr>
          <w:p>
            <w:pPr>
              <w:jc w:val="left"/>
            </w:pPr>
            <w:r/>
            <w:r>
              <w:rPr>
                <w:b w:val="0"/>
                <w:color w:val="1F2937"/>
                <w:sz w:val="18"/>
              </w:rPr>
              <w:t>Usually safe when default behavior is unchanged.</w:t>
            </w:r>
          </w:p>
        </w:tc>
      </w:tr>
      <w:tr>
        <w:tc>
          <w:tcPr>
            <w:tcW w:type="dxa" w:w="3384"/>
            <w:vAlign w:val="center"/>
            <w:tcMar>
              <w:top w:w="100" w:type="dxa"/>
              <w:start w:w="120" w:type="dxa"/>
              <w:bottom w:w="100" w:type="dxa"/>
              <w:end w:w="120" w:type="dxa"/>
            </w:tcMar>
          </w:tcPr>
          <w:p>
            <w:pPr>
              <w:jc w:val="left"/>
            </w:pPr>
            <w:r/>
            <w:r>
              <w:rPr>
                <w:b w:val="0"/>
                <w:color w:val="1F2937"/>
                <w:sz w:val="18"/>
              </w:rPr>
              <w:t>Add enum value</w:t>
            </w:r>
          </w:p>
        </w:tc>
        <w:tc>
          <w:tcPr>
            <w:tcW w:type="dxa" w:w="6264"/>
            <w:vAlign w:val="center"/>
            <w:tcMar>
              <w:top w:w="100" w:type="dxa"/>
              <w:start w:w="120" w:type="dxa"/>
              <w:bottom w:w="100" w:type="dxa"/>
              <w:end w:w="120" w:type="dxa"/>
            </w:tcMar>
          </w:tcPr>
          <w:p>
            <w:pPr>
              <w:jc w:val="left"/>
            </w:pPr>
            <w:r/>
            <w:r>
              <w:rPr>
                <w:b w:val="0"/>
                <w:color w:val="1F2937"/>
                <w:sz w:val="18"/>
              </w:rPr>
              <w:t>Can break exhaustive clients; treat carefully.</w:t>
            </w:r>
          </w:p>
        </w:tc>
      </w:tr>
      <w:tr>
        <w:tc>
          <w:tcPr>
            <w:tcW w:type="dxa" w:w="3384"/>
            <w:vAlign w:val="center"/>
            <w:tcMar>
              <w:top w:w="100" w:type="dxa"/>
              <w:start w:w="120" w:type="dxa"/>
              <w:bottom w:w="100" w:type="dxa"/>
              <w:end w:w="120" w:type="dxa"/>
            </w:tcMar>
          </w:tcPr>
          <w:p>
            <w:pPr>
              <w:jc w:val="left"/>
            </w:pPr>
            <w:r/>
            <w:r>
              <w:rPr>
                <w:b w:val="0"/>
                <w:color w:val="1F2937"/>
                <w:sz w:val="18"/>
              </w:rPr>
              <w:t>Make nullable field non-null</w:t>
            </w:r>
          </w:p>
        </w:tc>
        <w:tc>
          <w:tcPr>
            <w:tcW w:type="dxa" w:w="6264"/>
            <w:vAlign w:val="center"/>
            <w:tcMar>
              <w:top w:w="100" w:type="dxa"/>
              <w:start w:w="120" w:type="dxa"/>
              <w:bottom w:w="100" w:type="dxa"/>
              <w:end w:w="120" w:type="dxa"/>
            </w:tcMar>
          </w:tcPr>
          <w:p>
            <w:pPr>
              <w:jc w:val="left"/>
            </w:pPr>
            <w:r/>
            <w:r>
              <w:rPr>
                <w:b w:val="0"/>
                <w:color w:val="1F2937"/>
                <w:sz w:val="18"/>
              </w:rPr>
              <w:t>Potentially breaking because existing data/resolvers may not satisfy it.</w:t>
            </w:r>
          </w:p>
        </w:tc>
      </w:tr>
      <w:tr>
        <w:tc>
          <w:tcPr>
            <w:tcW w:type="dxa" w:w="3384"/>
            <w:vAlign w:val="center"/>
            <w:tcMar>
              <w:top w:w="100" w:type="dxa"/>
              <w:start w:w="120" w:type="dxa"/>
              <w:bottom w:w="100" w:type="dxa"/>
              <w:end w:w="120" w:type="dxa"/>
            </w:tcMar>
          </w:tcPr>
          <w:p>
            <w:pPr>
              <w:jc w:val="left"/>
            </w:pPr>
            <w:r/>
            <w:r>
              <w:rPr>
                <w:b w:val="0"/>
                <w:color w:val="1F2937"/>
                <w:sz w:val="18"/>
              </w:rPr>
              <w:t>Make non-null field nullable</w:t>
            </w:r>
          </w:p>
        </w:tc>
        <w:tc>
          <w:tcPr>
            <w:tcW w:type="dxa" w:w="6264"/>
            <w:vAlign w:val="center"/>
            <w:tcMar>
              <w:top w:w="100" w:type="dxa"/>
              <w:start w:w="120" w:type="dxa"/>
              <w:bottom w:w="100" w:type="dxa"/>
              <w:end w:w="120" w:type="dxa"/>
            </w:tcMar>
          </w:tcPr>
          <w:p>
            <w:pPr>
              <w:jc w:val="left"/>
            </w:pPr>
            <w:r/>
            <w:r>
              <w:rPr>
                <w:b w:val="0"/>
                <w:color w:val="1F2937"/>
                <w:sz w:val="18"/>
              </w:rPr>
              <w:t>Breaking for generated client assumptions.</w:t>
            </w:r>
          </w:p>
        </w:tc>
      </w:tr>
      <w:tr>
        <w:tc>
          <w:tcPr>
            <w:tcW w:type="dxa" w:w="3384"/>
            <w:vAlign w:val="center"/>
            <w:tcMar>
              <w:top w:w="100" w:type="dxa"/>
              <w:start w:w="120" w:type="dxa"/>
              <w:bottom w:w="100" w:type="dxa"/>
              <w:end w:w="120" w:type="dxa"/>
            </w:tcMar>
          </w:tcPr>
          <w:p>
            <w:pPr>
              <w:jc w:val="left"/>
            </w:pPr>
            <w:r/>
            <w:r>
              <w:rPr>
                <w:b w:val="0"/>
                <w:color w:val="1F2937"/>
                <w:sz w:val="18"/>
              </w:rPr>
              <w:t>Remove or rename field</w:t>
            </w:r>
          </w:p>
        </w:tc>
        <w:tc>
          <w:tcPr>
            <w:tcW w:type="dxa" w:w="6264"/>
            <w:vAlign w:val="center"/>
            <w:tcMar>
              <w:top w:w="100" w:type="dxa"/>
              <w:start w:w="120" w:type="dxa"/>
              <w:bottom w:w="100" w:type="dxa"/>
              <w:end w:w="120" w:type="dxa"/>
            </w:tcMar>
          </w:tcPr>
          <w:p>
            <w:pPr>
              <w:jc w:val="left"/>
            </w:pPr>
            <w:r/>
            <w:r>
              <w:rPr>
                <w:b w:val="0"/>
                <w:color w:val="1F2937"/>
                <w:sz w:val="18"/>
              </w:rPr>
              <w:t>Breaking; deprecate and measure usage first.</w:t>
            </w:r>
          </w:p>
        </w:tc>
      </w:tr>
      <w:tr>
        <w:tc>
          <w:tcPr>
            <w:tcW w:type="dxa" w:w="3384"/>
            <w:vAlign w:val="center"/>
            <w:tcMar>
              <w:top w:w="100" w:type="dxa"/>
              <w:start w:w="120" w:type="dxa"/>
              <w:bottom w:w="100" w:type="dxa"/>
              <w:end w:w="120" w:type="dxa"/>
            </w:tcMar>
          </w:tcPr>
          <w:p>
            <w:pPr>
              <w:jc w:val="left"/>
            </w:pPr>
            <w:r/>
            <w:r>
              <w:rPr>
                <w:b w:val="0"/>
                <w:color w:val="1F2937"/>
                <w:sz w:val="18"/>
              </w:rPr>
              <w:t>Change field meaning or authorization</w:t>
            </w:r>
          </w:p>
        </w:tc>
        <w:tc>
          <w:tcPr>
            <w:tcW w:type="dxa" w:w="6264"/>
            <w:vAlign w:val="center"/>
            <w:tcMar>
              <w:top w:w="100" w:type="dxa"/>
              <w:start w:w="120" w:type="dxa"/>
              <w:bottom w:w="100" w:type="dxa"/>
              <w:end w:w="120" w:type="dxa"/>
            </w:tcMar>
          </w:tcPr>
          <w:p>
            <w:pPr>
              <w:jc w:val="left"/>
            </w:pPr>
            <w:r/>
            <w:r>
              <w:rPr>
                <w:b w:val="0"/>
                <w:color w:val="1F2937"/>
                <w:sz w:val="18"/>
              </w:rPr>
              <w:t>Semantic breaking change even if schema text is unchanged.</w:t>
            </w:r>
          </w:p>
        </w:tc>
      </w:tr>
    </w:tbl>
    <w:p>
      <w:pPr>
        <w:spacing w:after="20"/>
      </w:pPr>
    </w:p>
    <w:p>
      <w:pPr>
        <w:pStyle w:val="Heading2"/>
      </w:pPr>
      <w:r>
        <w:t>16.1 Safe deprecation process</w:t>
      </w:r>
    </w:p>
    <w:p>
      <w:pPr>
        <w:pStyle w:val="ListNumber"/>
      </w:pPr>
      <w:r>
        <w:t>Mark the field or argument deprecated with a clear replacement.</w:t>
      </w:r>
    </w:p>
    <w:p>
      <w:pPr>
        <w:pStyle w:val="ListNumber"/>
      </w:pPr>
      <w:r>
        <w:t>Measure usage by operation/client.</w:t>
      </w:r>
    </w:p>
    <w:p>
      <w:pPr>
        <w:pStyle w:val="ListNumber"/>
      </w:pPr>
      <w:r>
        <w:t>Contact or block unowned consumers from introducing new usage.</w:t>
      </w:r>
    </w:p>
    <w:p>
      <w:pPr>
        <w:pStyle w:val="ListNumber"/>
      </w:pPr>
      <w:r>
        <w:t>Provide migration examples and a retirement date.</w:t>
      </w:r>
    </w:p>
    <w:p>
      <w:pPr>
        <w:pStyle w:val="ListNumber"/>
      </w:pPr>
      <w:r>
        <w:t>Remove only after usage reaches an agreed threshold and compatibility review passes.</w:t>
      </w:r>
    </w:p>
    <w:p>
      <w:pPr>
        <w:pStyle w:val="Heading1"/>
      </w:pPr>
      <w:r>
        <w:t>17. Choosing GraphQL, REST, or gRPC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84"/>
            <w:shd w:fill="17365D"/>
            <w:vAlign w:val="center"/>
            <w:tcMar>
              <w:top w:w="100" w:type="dxa"/>
              <w:start w:w="120" w:type="dxa"/>
              <w:bottom w:w="100" w:type="dxa"/>
              <w:end w:w="120" w:type="dxa"/>
            </w:tcMar>
          </w:tcPr>
          <w:p>
            <w:pPr>
              <w:jc w:val="center"/>
            </w:pPr>
            <w:r/>
            <w:r>
              <w:rPr>
                <w:b/>
                <w:color w:val="FFFFFF"/>
                <w:sz w:val="18"/>
              </w:rPr>
              <w:t>Scenario</w:t>
            </w:r>
          </w:p>
        </w:tc>
        <w:tc>
          <w:tcPr>
            <w:tcW w:type="dxa" w:w="2952"/>
            <w:shd w:fill="17365D"/>
            <w:vAlign w:val="center"/>
            <w:tcMar>
              <w:top w:w="100" w:type="dxa"/>
              <w:start w:w="120" w:type="dxa"/>
              <w:bottom w:w="100" w:type="dxa"/>
              <w:end w:w="120" w:type="dxa"/>
            </w:tcMar>
          </w:tcPr>
          <w:p>
            <w:pPr>
              <w:jc w:val="center"/>
            </w:pPr>
            <w:r/>
            <w:r>
              <w:rPr>
                <w:b/>
                <w:color w:val="FFFFFF"/>
                <w:sz w:val="18"/>
              </w:rPr>
              <w:t>Best starting choice</w:t>
            </w:r>
          </w:p>
        </w:tc>
        <w:tc>
          <w:tcPr>
            <w:tcW w:type="dxa" w:w="3384"/>
            <w:shd w:fill="17365D"/>
            <w:vAlign w:val="center"/>
            <w:tcMar>
              <w:top w:w="100" w:type="dxa"/>
              <w:start w:w="120" w:type="dxa"/>
              <w:bottom w:w="100" w:type="dxa"/>
              <w:end w:w="120" w:type="dxa"/>
            </w:tcMar>
          </w:tcPr>
          <w:p>
            <w:pPr>
              <w:jc w:val="center"/>
            </w:pPr>
            <w:r/>
            <w:r>
              <w:rPr>
                <w:b/>
                <w:color w:val="FFFFFF"/>
                <w:sz w:val="18"/>
              </w:rPr>
              <w:t>Reason</w:t>
            </w:r>
          </w:p>
        </w:tc>
      </w:tr>
      <w:tr>
        <w:tc>
          <w:tcPr>
            <w:tcW w:type="dxa" w:w="3384"/>
            <w:vAlign w:val="center"/>
            <w:tcMar>
              <w:top w:w="100" w:type="dxa"/>
              <w:start w:w="120" w:type="dxa"/>
              <w:bottom w:w="100" w:type="dxa"/>
              <w:end w:w="120" w:type="dxa"/>
            </w:tcMar>
          </w:tcPr>
          <w:p>
            <w:pPr>
              <w:jc w:val="left"/>
            </w:pPr>
            <w:r/>
            <w:r>
              <w:rPr>
                <w:b w:val="0"/>
                <w:color w:val="1F2937"/>
                <w:sz w:val="18"/>
              </w:rPr>
              <w:t>Public product catalog</w:t>
            </w:r>
          </w:p>
        </w:tc>
        <w:tc>
          <w:tcPr>
            <w:tcW w:type="dxa" w:w="2952"/>
            <w:vAlign w:val="center"/>
            <w:tcMar>
              <w:top w:w="100" w:type="dxa"/>
              <w:start w:w="120" w:type="dxa"/>
              <w:bottom w:w="100" w:type="dxa"/>
              <w:end w:w="120" w:type="dxa"/>
            </w:tcMar>
          </w:tcPr>
          <w:p>
            <w:pPr>
              <w:jc w:val="left"/>
            </w:pPr>
            <w:r/>
            <w:r>
              <w:rPr>
                <w:b w:val="0"/>
                <w:color w:val="1F2937"/>
                <w:sz w:val="18"/>
              </w:rPr>
              <w:t>REST</w:t>
            </w:r>
          </w:p>
        </w:tc>
        <w:tc>
          <w:tcPr>
            <w:tcW w:type="dxa" w:w="3384"/>
            <w:vAlign w:val="center"/>
            <w:tcMar>
              <w:top w:w="100" w:type="dxa"/>
              <w:start w:w="120" w:type="dxa"/>
              <w:bottom w:w="100" w:type="dxa"/>
              <w:end w:w="120" w:type="dxa"/>
            </w:tcMar>
          </w:tcPr>
          <w:p>
            <w:pPr>
              <w:jc w:val="left"/>
            </w:pPr>
            <w:r/>
            <w:r>
              <w:rPr>
                <w:b w:val="0"/>
                <w:color w:val="1F2937"/>
                <w:sz w:val="18"/>
              </w:rPr>
              <w:t>CDN caching, simple resources, broad compatibility.</w:t>
            </w:r>
          </w:p>
        </w:tc>
      </w:tr>
      <w:tr>
        <w:tc>
          <w:tcPr>
            <w:tcW w:type="dxa" w:w="3384"/>
            <w:vAlign w:val="center"/>
            <w:tcMar>
              <w:top w:w="100" w:type="dxa"/>
              <w:start w:w="120" w:type="dxa"/>
              <w:bottom w:w="100" w:type="dxa"/>
              <w:end w:w="120" w:type="dxa"/>
            </w:tcMar>
          </w:tcPr>
          <w:p>
            <w:pPr>
              <w:jc w:val="left"/>
            </w:pPr>
            <w:r/>
            <w:r>
              <w:rPr>
                <w:b w:val="0"/>
                <w:color w:val="1F2937"/>
                <w:sz w:val="18"/>
              </w:rPr>
              <w:t>Complex first-party mobile home screen</w:t>
            </w:r>
          </w:p>
        </w:tc>
        <w:tc>
          <w:tcPr>
            <w:tcW w:type="dxa" w:w="2952"/>
            <w:vAlign w:val="center"/>
            <w:tcMar>
              <w:top w:w="100" w:type="dxa"/>
              <w:start w:w="120" w:type="dxa"/>
              <w:bottom w:w="100" w:type="dxa"/>
              <w:end w:w="120" w:type="dxa"/>
            </w:tcMar>
          </w:tcPr>
          <w:p>
            <w:pPr>
              <w:jc w:val="left"/>
            </w:pPr>
            <w:r/>
            <w:r>
              <w:rPr>
                <w:b w:val="0"/>
                <w:color w:val="1F2937"/>
                <w:sz w:val="18"/>
              </w:rPr>
              <w:t>GraphQL or BFF</w:t>
            </w:r>
          </w:p>
        </w:tc>
        <w:tc>
          <w:tcPr>
            <w:tcW w:type="dxa" w:w="3384"/>
            <w:vAlign w:val="center"/>
            <w:tcMar>
              <w:top w:w="100" w:type="dxa"/>
              <w:start w:w="120" w:type="dxa"/>
              <w:bottom w:w="100" w:type="dxa"/>
              <w:end w:w="120" w:type="dxa"/>
            </w:tcMar>
          </w:tcPr>
          <w:p>
            <w:pPr>
              <w:jc w:val="left"/>
            </w:pPr>
            <w:r/>
            <w:r>
              <w:rPr>
                <w:b w:val="0"/>
                <w:color w:val="1F2937"/>
                <w:sz w:val="18"/>
              </w:rPr>
              <w:t>Client-specific composition and fewer round trips.</w:t>
            </w:r>
          </w:p>
        </w:tc>
      </w:tr>
      <w:tr>
        <w:tc>
          <w:tcPr>
            <w:tcW w:type="dxa" w:w="3384"/>
            <w:vAlign w:val="center"/>
            <w:tcMar>
              <w:top w:w="100" w:type="dxa"/>
              <w:start w:w="120" w:type="dxa"/>
              <w:bottom w:w="100" w:type="dxa"/>
              <w:end w:w="120" w:type="dxa"/>
            </w:tcMar>
          </w:tcPr>
          <w:p>
            <w:pPr>
              <w:jc w:val="left"/>
            </w:pPr>
            <w:r/>
            <w:r>
              <w:rPr>
                <w:b w:val="0"/>
                <w:color w:val="1F2937"/>
                <w:sz w:val="18"/>
              </w:rPr>
              <w:t>High-frequency fraud scoring</w:t>
            </w:r>
          </w:p>
        </w:tc>
        <w:tc>
          <w:tcPr>
            <w:tcW w:type="dxa" w:w="2952"/>
            <w:vAlign w:val="center"/>
            <w:tcMar>
              <w:top w:w="100" w:type="dxa"/>
              <w:start w:w="120" w:type="dxa"/>
              <w:bottom w:w="100" w:type="dxa"/>
              <w:end w:w="120" w:type="dxa"/>
            </w:tcMar>
          </w:tcPr>
          <w:p>
            <w:pPr>
              <w:jc w:val="left"/>
            </w:pPr>
            <w:r/>
            <w:r>
              <w:rPr>
                <w:b w:val="0"/>
                <w:color w:val="1F2937"/>
                <w:sz w:val="18"/>
              </w:rPr>
              <w:t>gRPC</w:t>
            </w:r>
          </w:p>
        </w:tc>
        <w:tc>
          <w:tcPr>
            <w:tcW w:type="dxa" w:w="3384"/>
            <w:vAlign w:val="center"/>
            <w:tcMar>
              <w:top w:w="100" w:type="dxa"/>
              <w:start w:w="120" w:type="dxa"/>
              <w:bottom w:w="100" w:type="dxa"/>
              <w:end w:w="120" w:type="dxa"/>
            </w:tcMar>
          </w:tcPr>
          <w:p>
            <w:pPr>
              <w:jc w:val="left"/>
            </w:pPr>
            <w:r/>
            <w:r>
              <w:rPr>
                <w:b w:val="0"/>
                <w:color w:val="1F2937"/>
                <w:sz w:val="18"/>
              </w:rPr>
              <w:t>Fixed shape, controlled clients, predictable low-latency RPC.</w:t>
            </w:r>
          </w:p>
        </w:tc>
      </w:tr>
      <w:tr>
        <w:tc>
          <w:tcPr>
            <w:tcW w:type="dxa" w:w="3384"/>
            <w:vAlign w:val="center"/>
            <w:tcMar>
              <w:top w:w="100" w:type="dxa"/>
              <w:start w:w="120" w:type="dxa"/>
              <w:bottom w:w="100" w:type="dxa"/>
              <w:end w:w="120" w:type="dxa"/>
            </w:tcMar>
          </w:tcPr>
          <w:p>
            <w:pPr>
              <w:jc w:val="left"/>
            </w:pPr>
            <w:r/>
            <w:r>
              <w:rPr>
                <w:b w:val="0"/>
                <w:color w:val="1F2937"/>
                <w:sz w:val="18"/>
              </w:rPr>
              <w:t>Money transfer command</w:t>
            </w:r>
          </w:p>
        </w:tc>
        <w:tc>
          <w:tcPr>
            <w:tcW w:type="dxa" w:w="2952"/>
            <w:vAlign w:val="center"/>
            <w:tcMar>
              <w:top w:w="100" w:type="dxa"/>
              <w:start w:w="120" w:type="dxa"/>
              <w:bottom w:w="100" w:type="dxa"/>
              <w:end w:w="120" w:type="dxa"/>
            </w:tcMar>
          </w:tcPr>
          <w:p>
            <w:pPr>
              <w:jc w:val="left"/>
            </w:pPr>
            <w:r/>
            <w:r>
              <w:rPr>
                <w:b w:val="0"/>
                <w:color w:val="1F2937"/>
                <w:sz w:val="18"/>
              </w:rPr>
              <w:t>REST or dedicated command API</w:t>
            </w:r>
          </w:p>
        </w:tc>
        <w:tc>
          <w:tcPr>
            <w:tcW w:type="dxa" w:w="3384"/>
            <w:vAlign w:val="center"/>
            <w:tcMar>
              <w:top w:w="100" w:type="dxa"/>
              <w:start w:w="120" w:type="dxa"/>
              <w:bottom w:w="100" w:type="dxa"/>
              <w:end w:w="120" w:type="dxa"/>
            </w:tcMar>
          </w:tcPr>
          <w:p>
            <w:pPr>
              <w:jc w:val="left"/>
            </w:pPr>
            <w:r/>
            <w:r>
              <w:rPr>
                <w:b w:val="0"/>
                <w:color w:val="1F2937"/>
                <w:sz w:val="18"/>
              </w:rPr>
              <w:t>Explicit idempotency, audit, and security controls.</w:t>
            </w:r>
          </w:p>
        </w:tc>
      </w:tr>
      <w:tr>
        <w:tc>
          <w:tcPr>
            <w:tcW w:type="dxa" w:w="3384"/>
            <w:vAlign w:val="center"/>
            <w:tcMar>
              <w:top w:w="100" w:type="dxa"/>
              <w:start w:w="120" w:type="dxa"/>
              <w:bottom w:w="100" w:type="dxa"/>
              <w:end w:w="120" w:type="dxa"/>
            </w:tcMar>
          </w:tcPr>
          <w:p>
            <w:pPr>
              <w:jc w:val="left"/>
            </w:pPr>
            <w:r/>
            <w:r>
              <w:rPr>
                <w:b w:val="0"/>
                <w:color w:val="1F2937"/>
                <w:sz w:val="18"/>
              </w:rPr>
              <w:t>Clinician composite view</w:t>
            </w:r>
          </w:p>
        </w:tc>
        <w:tc>
          <w:tcPr>
            <w:tcW w:type="dxa" w:w="2952"/>
            <w:vAlign w:val="center"/>
            <w:tcMar>
              <w:top w:w="100" w:type="dxa"/>
              <w:start w:w="120" w:type="dxa"/>
              <w:bottom w:w="100" w:type="dxa"/>
              <w:end w:w="120" w:type="dxa"/>
            </w:tcMar>
          </w:tcPr>
          <w:p>
            <w:pPr>
              <w:jc w:val="left"/>
            </w:pPr>
            <w:r/>
            <w:r>
              <w:rPr>
                <w:b w:val="0"/>
                <w:color w:val="1F2937"/>
                <w:sz w:val="18"/>
              </w:rPr>
              <w:t>GraphQL façade over governed clinical APIs</w:t>
            </w:r>
          </w:p>
        </w:tc>
        <w:tc>
          <w:tcPr>
            <w:tcW w:type="dxa" w:w="3384"/>
            <w:vAlign w:val="center"/>
            <w:tcMar>
              <w:top w:w="100" w:type="dxa"/>
              <w:start w:w="120" w:type="dxa"/>
              <w:bottom w:w="100" w:type="dxa"/>
              <w:end w:w="120" w:type="dxa"/>
            </w:tcMar>
          </w:tcPr>
          <w:p>
            <w:pPr>
              <w:jc w:val="left"/>
            </w:pPr>
            <w:r/>
            <w:r>
              <w:rPr>
                <w:b w:val="0"/>
                <w:color w:val="1F2937"/>
                <w:sz w:val="18"/>
              </w:rPr>
              <w:t>Useful composition for controlled UI.</w:t>
            </w:r>
          </w:p>
        </w:tc>
      </w:tr>
      <w:tr>
        <w:tc>
          <w:tcPr>
            <w:tcW w:type="dxa" w:w="3384"/>
            <w:vAlign w:val="center"/>
            <w:tcMar>
              <w:top w:w="100" w:type="dxa"/>
              <w:start w:w="120" w:type="dxa"/>
              <w:bottom w:w="100" w:type="dxa"/>
              <w:end w:w="120" w:type="dxa"/>
            </w:tcMar>
          </w:tcPr>
          <w:p>
            <w:pPr>
              <w:jc w:val="left"/>
            </w:pPr>
            <w:r/>
            <w:r>
              <w:rPr>
                <w:b w:val="0"/>
                <w:color w:val="1F2937"/>
                <w:sz w:val="18"/>
              </w:rPr>
              <w:t>Cross-organization clinical exchange</w:t>
            </w:r>
          </w:p>
        </w:tc>
        <w:tc>
          <w:tcPr>
            <w:tcW w:type="dxa" w:w="2952"/>
            <w:vAlign w:val="center"/>
            <w:tcMar>
              <w:top w:w="100" w:type="dxa"/>
              <w:start w:w="120" w:type="dxa"/>
              <w:bottom w:w="100" w:type="dxa"/>
              <w:end w:w="120" w:type="dxa"/>
            </w:tcMar>
          </w:tcPr>
          <w:p>
            <w:pPr>
              <w:jc w:val="left"/>
            </w:pPr>
            <w:r/>
            <w:r>
              <w:rPr>
                <w:b w:val="0"/>
                <w:color w:val="1F2937"/>
                <w:sz w:val="18"/>
              </w:rPr>
              <w:t>FHIR REST/messages/documents</w:t>
            </w:r>
          </w:p>
        </w:tc>
        <w:tc>
          <w:tcPr>
            <w:tcW w:type="dxa" w:w="3384"/>
            <w:vAlign w:val="center"/>
            <w:tcMar>
              <w:top w:w="100" w:type="dxa"/>
              <w:start w:w="120" w:type="dxa"/>
              <w:bottom w:w="100" w:type="dxa"/>
              <w:end w:w="120" w:type="dxa"/>
            </w:tcMar>
          </w:tcPr>
          <w:p>
            <w:pPr>
              <w:jc w:val="left"/>
            </w:pPr>
            <w:r/>
            <w:r>
              <w:rPr>
                <w:b w:val="0"/>
                <w:color w:val="1F2937"/>
                <w:sz w:val="18"/>
              </w:rPr>
              <w:t>Interoperability standard matters more than UI flexibility.</w:t>
            </w:r>
          </w:p>
        </w:tc>
      </w:tr>
      <w:tr>
        <w:tc>
          <w:tcPr>
            <w:tcW w:type="dxa" w:w="3384"/>
            <w:vAlign w:val="center"/>
            <w:tcMar>
              <w:top w:w="100" w:type="dxa"/>
              <w:start w:w="120" w:type="dxa"/>
              <w:bottom w:w="100" w:type="dxa"/>
              <w:end w:w="120" w:type="dxa"/>
            </w:tcMar>
          </w:tcPr>
          <w:p>
            <w:pPr>
              <w:jc w:val="left"/>
            </w:pPr>
            <w:r/>
            <w:r>
              <w:rPr>
                <w:b w:val="0"/>
                <w:color w:val="1F2937"/>
                <w:sz w:val="18"/>
              </w:rPr>
              <w:t>Durable order workflow</w:t>
            </w:r>
          </w:p>
        </w:tc>
        <w:tc>
          <w:tcPr>
            <w:tcW w:type="dxa" w:w="2952"/>
            <w:vAlign w:val="center"/>
            <w:tcMar>
              <w:top w:w="100" w:type="dxa"/>
              <w:start w:w="120" w:type="dxa"/>
              <w:bottom w:w="100" w:type="dxa"/>
              <w:end w:w="120" w:type="dxa"/>
            </w:tcMar>
          </w:tcPr>
          <w:p>
            <w:pPr>
              <w:jc w:val="left"/>
            </w:pPr>
            <w:r/>
            <w:r>
              <w:rPr>
                <w:b w:val="0"/>
                <w:color w:val="1F2937"/>
                <w:sz w:val="18"/>
              </w:rPr>
              <w:t>REST command plus events</w:t>
            </w:r>
          </w:p>
        </w:tc>
        <w:tc>
          <w:tcPr>
            <w:tcW w:type="dxa" w:w="3384"/>
            <w:vAlign w:val="center"/>
            <w:tcMar>
              <w:top w:w="100" w:type="dxa"/>
              <w:start w:w="120" w:type="dxa"/>
              <w:bottom w:w="100" w:type="dxa"/>
              <w:end w:w="120" w:type="dxa"/>
            </w:tcMar>
          </w:tcPr>
          <w:p>
            <w:pPr>
              <w:jc w:val="left"/>
            </w:pPr>
            <w:r/>
            <w:r>
              <w:rPr>
                <w:b w:val="0"/>
                <w:color w:val="1F2937"/>
                <w:sz w:val="18"/>
              </w:rPr>
              <w:t>GraphQL is not a durable process engine.</w:t>
            </w:r>
          </w:p>
        </w:tc>
      </w:tr>
      <w:tr>
        <w:tc>
          <w:tcPr>
            <w:tcW w:type="dxa" w:w="3384"/>
            <w:vAlign w:val="center"/>
            <w:tcMar>
              <w:top w:w="100" w:type="dxa"/>
              <w:start w:w="120" w:type="dxa"/>
              <w:bottom w:w="100" w:type="dxa"/>
              <w:end w:w="120" w:type="dxa"/>
            </w:tcMar>
          </w:tcPr>
          <w:p>
            <w:pPr>
              <w:jc w:val="left"/>
            </w:pPr>
            <w:r/>
            <w:r>
              <w:rPr>
                <w:b w:val="0"/>
                <w:color w:val="1F2937"/>
                <w:sz w:val="18"/>
              </w:rPr>
              <w:t>Connected-client order updates</w:t>
            </w:r>
          </w:p>
        </w:tc>
        <w:tc>
          <w:tcPr>
            <w:tcW w:type="dxa" w:w="2952"/>
            <w:vAlign w:val="center"/>
            <w:tcMar>
              <w:top w:w="100" w:type="dxa"/>
              <w:start w:w="120" w:type="dxa"/>
              <w:bottom w:w="100" w:type="dxa"/>
              <w:end w:w="120" w:type="dxa"/>
            </w:tcMar>
          </w:tcPr>
          <w:p>
            <w:pPr>
              <w:jc w:val="left"/>
            </w:pPr>
            <w:r/>
            <w:r>
              <w:rPr>
                <w:b w:val="0"/>
                <w:color w:val="1F2937"/>
                <w:sz w:val="18"/>
              </w:rPr>
              <w:t>Subscription/SSE/WebSocket</w:t>
            </w:r>
          </w:p>
        </w:tc>
        <w:tc>
          <w:tcPr>
            <w:tcW w:type="dxa" w:w="3384"/>
            <w:vAlign w:val="center"/>
            <w:tcMar>
              <w:top w:w="100" w:type="dxa"/>
              <w:start w:w="120" w:type="dxa"/>
              <w:bottom w:w="100" w:type="dxa"/>
              <w:end w:w="120" w:type="dxa"/>
            </w:tcMar>
          </w:tcPr>
          <w:p>
            <w:pPr>
              <w:jc w:val="left"/>
            </w:pPr>
            <w:r/>
            <w:r>
              <w:rPr>
                <w:b w:val="0"/>
                <w:color w:val="1F2937"/>
                <w:sz w:val="18"/>
              </w:rPr>
              <w:t>Push updates; retain broker for durable events.</w:t>
            </w:r>
          </w:p>
        </w:tc>
      </w:tr>
    </w:tbl>
    <w:p>
      <w:pPr>
        <w:spacing w:after="20"/>
      </w:pPr>
    </w:p>
    <w:p>
      <w:pPr>
        <w:pStyle w:val="Heading1"/>
      </w:pPr>
      <w:r>
        <w:t>18. Architecture review checklist</w:t>
      </w:r>
    </w:p>
    <w:p>
      <w:pPr>
        <w:pStyle w:val="ListBullet"/>
      </w:pPr>
      <w:r>
        <w:t>Is the graph solving real client composition or merely following a trend?</w:t>
      </w:r>
    </w:p>
    <w:p>
      <w:pPr>
        <w:pStyle w:val="ListBullet"/>
      </w:pPr>
      <w:r>
        <w:t>Does the schema model consumer domain language rather than storage tables?</w:t>
      </w:r>
    </w:p>
    <w:p>
      <w:pPr>
        <w:pStyle w:val="ListBullet"/>
      </w:pPr>
      <w:r>
        <w:t>Are every list and nested collection bounded and paginated?</w:t>
      </w:r>
    </w:p>
    <w:p>
      <w:pPr>
        <w:pStyle w:val="ListBullet"/>
      </w:pPr>
      <w:r>
        <w:t>Are query depth, node count, complexity, timeout, and response size limited?</w:t>
      </w:r>
    </w:p>
    <w:p>
      <w:pPr>
        <w:pStyle w:val="ListBullet"/>
      </w:pPr>
      <w:r>
        <w:t>Are N+1 paths identified, batched, cached, or backed by read models?</w:t>
      </w:r>
    </w:p>
    <w:p>
      <w:pPr>
        <w:pStyle w:val="ListBullet"/>
      </w:pPr>
      <w:r>
        <w:t>Is authorization enforced at operation, object, field, relationship, and data-source levels?</w:t>
      </w:r>
    </w:p>
    <w:p>
      <w:pPr>
        <w:pStyle w:val="ListBullet"/>
      </w:pPr>
      <w:r>
        <w:t>Are mutation idempotency and expected business outcomes explicit?</w:t>
      </w:r>
    </w:p>
    <w:p>
      <w:pPr>
        <w:pStyle w:val="ListBullet"/>
      </w:pPr>
      <w:r>
        <w:t>Is partial failure behavior deliberate through nullability and error policy?</w:t>
      </w:r>
    </w:p>
    <w:p>
      <w:pPr>
        <w:pStyle w:val="ListBullet"/>
      </w:pPr>
      <w:r>
        <w:t>Are persisted queries or allowlists appropriate for first-party clients?</w:t>
      </w:r>
    </w:p>
    <w:p>
      <w:pPr>
        <w:pStyle w:val="ListBullet"/>
      </w:pPr>
      <w:r>
        <w:t>Can every operation be attributed, costed, traced, and rate limited?</w:t>
      </w:r>
    </w:p>
    <w:p>
      <w:pPr>
        <w:pStyle w:val="ListBullet"/>
      </w:pPr>
      <w:r>
        <w:t>Are subscriptions separated from durable event processing?</w:t>
      </w:r>
    </w:p>
    <w:p>
      <w:pPr>
        <w:pStyle w:val="ListBullet"/>
      </w:pPr>
      <w:r>
        <w:t>Is federation justified by ownership and client composition rather than service count?</w:t>
      </w:r>
    </w:p>
    <w:p>
      <w:pPr>
        <w:pStyle w:val="ListBullet"/>
      </w:pPr>
      <w:r>
        <w:t>Is schema deprecation measurable and enforceable?</w:t>
      </w:r>
    </w:p>
    <w:p>
      <w:pPr>
        <w:pStyle w:val="ListBullet"/>
      </w:pPr>
      <w:r>
        <w:t>Has a simpler REST/BFF endpoint been considered?</w:t>
      </w:r>
    </w:p>
    <w:p>
      <w:pPr>
        <w:pStyle w:val="Heading1"/>
      </w:pPr>
      <w:r>
        <w:t>19. Practical exercises</w:t>
      </w:r>
    </w:p>
    <w:p>
      <w:pPr>
        <w:pStyle w:val="Heading2"/>
      </w:pPr>
      <w:r>
        <w:t>Exercise 1: Food delivery home graph</w:t>
      </w:r>
    </w:p>
    <w:p>
      <w:r>
        <w:t>Design a schema for a mobile home screen containing profile, selected address, nearby restaurants, promotions, active order, and recommendations. Define nullability, pagination, failure policy, and a query-cost calculation.</w:t>
      </w:r>
    </w:p>
    <w:p>
      <w:pPr>
        <w:pStyle w:val="Heading2"/>
      </w:pPr>
      <w:r>
        <w:t>Exercise 2: Healthcare field authorization</w:t>
      </w:r>
    </w:p>
    <w:p>
      <w:r>
        <w:t>Design a patient query where demographics, medications, reproductive health, psychiatric notes, and billing data have different authorization rules. Explain where checks occur and how sensitive existence is concealed.</w:t>
      </w:r>
    </w:p>
    <w:p>
      <w:pPr>
        <w:pStyle w:val="Heading2"/>
      </w:pPr>
      <w:r>
        <w:t>Exercise 3: Financial hybrid boundary</w:t>
      </w:r>
    </w:p>
    <w:p>
      <w:r>
        <w:t>Use GraphQL for an account dashboard but REST for transfer creation. Define how identity, correlation IDs, idempotency, and trace context move between the two boundaries.</w:t>
      </w:r>
    </w:p>
    <w:p>
      <w:pPr>
        <w:pStyle w:val="Heading2"/>
      </w:pPr>
      <w:r>
        <w:t>Exercise 4: N+1 investigation</w:t>
      </w:r>
    </w:p>
    <w:p>
      <w:r>
        <w:t>A query returns 100 orders, each with customer, restaurant, items, and product details. Calculate naive backend calls, propose batching keys, and identify which data should become a read model.</w:t>
      </w:r>
    </w:p>
    <w:p>
      <w:pPr>
        <w:pStyle w:val="Heading1"/>
      </w:pPr>
      <w:r>
        <w:t>20. Final mental model</w:t>
      </w:r>
    </w:p>
    <w:tbl>
      <w:tblPr>
        <w:tblW w:type="auto" w:w="0"/>
        <w:jc w:val="center"/>
        <w:tblLook w:firstColumn="1" w:firstRow="1" w:lastColumn="0" w:lastRow="0" w:noHBand="0" w:noVBand="1" w:val="04A0"/>
      </w:tblPr>
      <w:tblGrid>
        <w:gridCol w:w="10080"/>
      </w:tblGrid>
      <w:tr>
        <w:tc>
          <w:tcPr>
            <w:tcW w:type="dxa" w:w="10080"/>
            <w:shd w:fill="E2F0D9"/>
            <w:tcMar>
              <w:top w:w="135" w:type="dxa"/>
              <w:start w:w="175" w:type="dxa"/>
              <w:bottom w:w="135" w:type="dxa"/>
              <w:end w:w="175" w:type="dxa"/>
            </w:tcMar>
          </w:tcPr>
          <w:p>
            <w:pPr>
              <w:spacing w:after="40"/>
            </w:pPr>
            <w:r>
              <w:rPr>
                <w:b/>
                <w:color w:val="375623"/>
                <w:sz w:val="20"/>
              </w:rPr>
              <w:t xml:space="preserve">Use GraphQL when:  </w:t>
            </w:r>
            <w:r>
              <w:rPr>
                <w:color w:val="1F2937"/>
                <w:sz w:val="20"/>
              </w:rPr>
              <w:t>Clients need flexible, typed composition across connected data and the organization can govern cost, authorization, ownership, and compatibility.</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Mar>
              <w:top w:w="135" w:type="dxa"/>
              <w:start w:w="175" w:type="dxa"/>
              <w:bottom w:w="135" w:type="dxa"/>
              <w:end w:w="175" w:type="dxa"/>
            </w:tcMar>
          </w:tcPr>
          <w:p>
            <w:pPr>
              <w:spacing w:after="40"/>
            </w:pPr>
            <w:r>
              <w:rPr>
                <w:b/>
                <w:color w:val="9C0006"/>
                <w:sz w:val="20"/>
              </w:rPr>
              <w:t xml:space="preserve">Avoid GraphQL when:  </w:t>
            </w:r>
            <w:r>
              <w:rPr>
                <w:color w:val="1F2937"/>
                <w:sz w:val="20"/>
              </w:rPr>
              <w:t>The operation is simple, fixed-shape, command-heavy, bulk, durable-event-oriented, or the team cannot safely control arbitrary query execution.</w:t>
            </w:r>
          </w:p>
        </w:tc>
      </w:tr>
    </w:tbl>
    <w:p>
      <w:pPr>
        <w:spacing w:after="20"/>
      </w:pPr>
    </w:p>
    <w:p>
      <w:r>
        <w:t>A mature architecture often uses GraphQL at the client composition boundary, REST for explicit public resources and commands, gRPC for selected internal RPC, and events for asynchronous workflows. The right question is not “Can GraphQL do this?” but “Does client-driven graph execution produce a simpler, safer, and more operable system for this interaction?”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API Design for Software Architects | Document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