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4F81BD"/>
          <w:sz w:val="24"/>
        </w:rPr>
        <w:t>API DESIGN SERIES</w:t>
      </w:r>
    </w:p>
    <w:p>
      <w:pPr>
        <w:pStyle w:val="Title"/>
        <w:jc w:val="center"/>
      </w:pPr>
      <w:r>
        <w:t>Document 3</w:t>
        <w:br/>
        <w:t>gRPC and Internal API Design</w:t>
      </w:r>
    </w:p>
    <w:p>
      <w:pPr>
        <w:pStyle w:val="Subtitle"/>
        <w:jc w:val="center"/>
      </w:pPr>
      <w:r>
        <w:t>Practical protobuf contracts, deadlines, retries, streaming, compatibility, and production tradeoffs</w:t>
      </w:r>
    </w:p>
    <w:p>
      <w:pPr>
        <w:spacing w:before="560"/>
        <w:jc w:val="center"/>
      </w:pPr>
      <w:r>
        <w:rPr>
          <w:b/>
        </w:rPr>
        <w:t>Running domains: Food Delivery • Healthcare • Financial Services</w:t>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Architect outcome:  </w:t>
            </w:r>
            <w:r>
              <w:t>By the end, you should be able to decide when gRPC is justified, design evolvable protobuf contracts, prevent retry and deadline failures, and defend the choice against REST, GraphQL, and event-driven alternatives.</w:t>
            </w:r>
          </w:p>
        </w:tc>
      </w:tr>
    </w:tbl>
    <w:p/>
    <w:p>
      <w:pPr>
        <w:spacing w:before="1600"/>
        <w:jc w:val="center"/>
      </w:pPr>
      <w:r>
        <w:rPr>
          <w:i/>
        </w:rPr>
        <w:t>System Design Learning Series • 2026</w:t>
      </w:r>
    </w:p>
    <w:p>
      <w:r>
        <w:br w:type="page"/>
      </w:r>
    </w:p>
    <w:p>
      <w:pPr>
        <w:pStyle w:val="Title"/>
      </w:pPr>
      <w:r>
        <w:t>Learning roadmap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936"/>
            <w:shd w:fill="17365D"/>
            <w:vAlign w:val="center"/>
            <w:tcMar>
              <w:top w:w="100" w:type="dxa"/>
              <w:start w:w="120" w:type="dxa"/>
              <w:bottom w:w="100" w:type="dxa"/>
              <w:end w:w="120" w:type="dxa"/>
            </w:tcMar>
          </w:tcPr>
          <w:p>
            <w:r>
              <w:rPr>
                <w:b/>
                <w:color w:val="FFFFFF"/>
                <w:sz w:val="19"/>
              </w:rPr>
              <w:t>Section</w:t>
            </w:r>
          </w:p>
        </w:tc>
        <w:tc>
          <w:tcPr>
            <w:tcW w:type="dxa" w:w="8640"/>
            <w:shd w:fill="17365D"/>
            <w:vAlign w:val="center"/>
            <w:tcMar>
              <w:top w:w="100" w:type="dxa"/>
              <w:start w:w="120" w:type="dxa"/>
              <w:bottom w:w="100" w:type="dxa"/>
              <w:end w:w="120" w:type="dxa"/>
            </w:tcMar>
          </w:tcPr>
          <w:p>
            <w:r>
              <w:rPr>
                <w:b/>
                <w:color w:val="FFFFFF"/>
                <w:sz w:val="19"/>
              </w:rPr>
              <w:t>What you will learn</w:t>
            </w:r>
          </w:p>
        </w:tc>
      </w:tr>
      <w:tr>
        <w:tc>
          <w:tcPr>
            <w:tcW w:type="dxa" w:w="936"/>
            <w:vAlign w:val="center"/>
            <w:tcMar>
              <w:top w:w="100" w:type="dxa"/>
              <w:start w:w="120" w:type="dxa"/>
              <w:bottom w:w="100" w:type="dxa"/>
              <w:end w:w="120" w:type="dxa"/>
            </w:tcMar>
          </w:tcPr>
          <w:p>
            <w:pPr>
              <w:spacing w:after="0"/>
            </w:pPr>
            <w:r>
              <w:rPr>
                <w:sz w:val="18"/>
              </w:rPr>
              <w:t>1</w:t>
            </w:r>
          </w:p>
        </w:tc>
        <w:tc>
          <w:tcPr>
            <w:tcW w:type="dxa" w:w="8640"/>
            <w:vAlign w:val="center"/>
            <w:tcMar>
              <w:top w:w="100" w:type="dxa"/>
              <w:start w:w="120" w:type="dxa"/>
              <w:bottom w:w="100" w:type="dxa"/>
              <w:end w:w="120" w:type="dxa"/>
            </w:tcMar>
          </w:tcPr>
          <w:p>
            <w:pPr>
              <w:spacing w:after="0"/>
            </w:pPr>
            <w:r>
              <w:rPr>
                <w:sz w:val="18"/>
              </w:rPr>
              <w:t>Where gRPC fits and where it does not</w:t>
            </w:r>
          </w:p>
        </w:tc>
      </w:tr>
      <w:tr>
        <w:tc>
          <w:tcPr>
            <w:tcW w:type="dxa" w:w="936"/>
            <w:vAlign w:val="center"/>
            <w:tcMar>
              <w:top w:w="100" w:type="dxa"/>
              <w:start w:w="120" w:type="dxa"/>
              <w:bottom w:w="100" w:type="dxa"/>
              <w:end w:w="120" w:type="dxa"/>
            </w:tcMar>
          </w:tcPr>
          <w:p>
            <w:pPr>
              <w:spacing w:after="0"/>
            </w:pPr>
            <w:r>
              <w:rPr>
                <w:sz w:val="18"/>
              </w:rPr>
              <w:t>2</w:t>
            </w:r>
          </w:p>
        </w:tc>
        <w:tc>
          <w:tcPr>
            <w:tcW w:type="dxa" w:w="8640"/>
            <w:vAlign w:val="center"/>
            <w:tcMar>
              <w:top w:w="100" w:type="dxa"/>
              <w:start w:w="120" w:type="dxa"/>
              <w:bottom w:w="100" w:type="dxa"/>
              <w:end w:w="120" w:type="dxa"/>
            </w:tcMar>
          </w:tcPr>
          <w:p>
            <w:pPr>
              <w:spacing w:after="0"/>
            </w:pPr>
            <w:r>
              <w:rPr>
                <w:sz w:val="18"/>
              </w:rPr>
              <w:t>Protocol Buffers and contract design</w:t>
            </w:r>
          </w:p>
        </w:tc>
      </w:tr>
      <w:tr>
        <w:tc>
          <w:tcPr>
            <w:tcW w:type="dxa" w:w="936"/>
            <w:vAlign w:val="center"/>
            <w:tcMar>
              <w:top w:w="100" w:type="dxa"/>
              <w:start w:w="120" w:type="dxa"/>
              <w:bottom w:w="100" w:type="dxa"/>
              <w:end w:w="120" w:type="dxa"/>
            </w:tcMar>
          </w:tcPr>
          <w:p>
            <w:pPr>
              <w:spacing w:after="0"/>
            </w:pPr>
            <w:r>
              <w:rPr>
                <w:sz w:val="18"/>
              </w:rPr>
              <w:t>3</w:t>
            </w:r>
          </w:p>
        </w:tc>
        <w:tc>
          <w:tcPr>
            <w:tcW w:type="dxa" w:w="8640"/>
            <w:vAlign w:val="center"/>
            <w:tcMar>
              <w:top w:w="100" w:type="dxa"/>
              <w:start w:w="120" w:type="dxa"/>
              <w:bottom w:w="100" w:type="dxa"/>
              <w:end w:w="120" w:type="dxa"/>
            </w:tcMar>
          </w:tcPr>
          <w:p>
            <w:pPr>
              <w:spacing w:after="0"/>
            </w:pPr>
            <w:r>
              <w:rPr>
                <w:sz w:val="18"/>
              </w:rPr>
              <w:t>Unary API design</w:t>
            </w:r>
          </w:p>
        </w:tc>
      </w:tr>
      <w:tr>
        <w:tc>
          <w:tcPr>
            <w:tcW w:type="dxa" w:w="936"/>
            <w:vAlign w:val="center"/>
            <w:tcMar>
              <w:top w:w="100" w:type="dxa"/>
              <w:start w:w="120" w:type="dxa"/>
              <w:bottom w:w="100" w:type="dxa"/>
              <w:end w:w="120" w:type="dxa"/>
            </w:tcMar>
          </w:tcPr>
          <w:p>
            <w:pPr>
              <w:spacing w:after="0"/>
            </w:pPr>
            <w:r>
              <w:rPr>
                <w:sz w:val="18"/>
              </w:rPr>
              <w:t>4</w:t>
            </w:r>
          </w:p>
        </w:tc>
        <w:tc>
          <w:tcPr>
            <w:tcW w:type="dxa" w:w="8640"/>
            <w:vAlign w:val="center"/>
            <w:tcMar>
              <w:top w:w="100" w:type="dxa"/>
              <w:start w:w="120" w:type="dxa"/>
              <w:bottom w:w="100" w:type="dxa"/>
              <w:end w:w="120" w:type="dxa"/>
            </w:tcMar>
          </w:tcPr>
          <w:p>
            <w:pPr>
              <w:spacing w:after="0"/>
            </w:pPr>
            <w:r>
              <w:rPr>
                <w:sz w:val="18"/>
              </w:rPr>
              <w:t>Deadlines, cancellation, retries, and idempotency</w:t>
            </w:r>
          </w:p>
        </w:tc>
      </w:tr>
      <w:tr>
        <w:tc>
          <w:tcPr>
            <w:tcW w:type="dxa" w:w="936"/>
            <w:vAlign w:val="center"/>
            <w:tcMar>
              <w:top w:w="100" w:type="dxa"/>
              <w:start w:w="120" w:type="dxa"/>
              <w:bottom w:w="100" w:type="dxa"/>
              <w:end w:w="120" w:type="dxa"/>
            </w:tcMar>
          </w:tcPr>
          <w:p>
            <w:pPr>
              <w:spacing w:after="0"/>
            </w:pPr>
            <w:r>
              <w:rPr>
                <w:sz w:val="18"/>
              </w:rPr>
              <w:t>5</w:t>
            </w:r>
          </w:p>
        </w:tc>
        <w:tc>
          <w:tcPr>
            <w:tcW w:type="dxa" w:w="8640"/>
            <w:vAlign w:val="center"/>
            <w:tcMar>
              <w:top w:w="100" w:type="dxa"/>
              <w:start w:w="120" w:type="dxa"/>
              <w:bottom w:w="100" w:type="dxa"/>
              <w:end w:w="120" w:type="dxa"/>
            </w:tcMar>
          </w:tcPr>
          <w:p>
            <w:pPr>
              <w:spacing w:after="0"/>
            </w:pPr>
            <w:r>
              <w:rPr>
                <w:sz w:val="18"/>
              </w:rPr>
              <w:t>Streaming and backpressure</w:t>
            </w:r>
          </w:p>
        </w:tc>
      </w:tr>
      <w:tr>
        <w:tc>
          <w:tcPr>
            <w:tcW w:type="dxa" w:w="936"/>
            <w:vAlign w:val="center"/>
            <w:tcMar>
              <w:top w:w="100" w:type="dxa"/>
              <w:start w:w="120" w:type="dxa"/>
              <w:bottom w:w="100" w:type="dxa"/>
              <w:end w:w="120" w:type="dxa"/>
            </w:tcMar>
          </w:tcPr>
          <w:p>
            <w:pPr>
              <w:spacing w:after="0"/>
            </w:pPr>
            <w:r>
              <w:rPr>
                <w:sz w:val="18"/>
              </w:rPr>
              <w:t>6</w:t>
            </w:r>
          </w:p>
        </w:tc>
        <w:tc>
          <w:tcPr>
            <w:tcW w:type="dxa" w:w="8640"/>
            <w:vAlign w:val="center"/>
            <w:tcMar>
              <w:top w:w="100" w:type="dxa"/>
              <w:start w:w="120" w:type="dxa"/>
              <w:bottom w:w="100" w:type="dxa"/>
              <w:end w:w="120" w:type="dxa"/>
            </w:tcMar>
          </w:tcPr>
          <w:p>
            <w:pPr>
              <w:spacing w:after="0"/>
            </w:pPr>
            <w:r>
              <w:rPr>
                <w:sz w:val="18"/>
              </w:rPr>
              <w:t>Compatibility and schema evolution</w:t>
            </w:r>
          </w:p>
        </w:tc>
      </w:tr>
      <w:tr>
        <w:tc>
          <w:tcPr>
            <w:tcW w:type="dxa" w:w="936"/>
            <w:vAlign w:val="center"/>
            <w:tcMar>
              <w:top w:w="100" w:type="dxa"/>
              <w:start w:w="120" w:type="dxa"/>
              <w:bottom w:w="100" w:type="dxa"/>
              <w:end w:w="120" w:type="dxa"/>
            </w:tcMar>
          </w:tcPr>
          <w:p>
            <w:pPr>
              <w:spacing w:after="0"/>
            </w:pPr>
            <w:r>
              <w:rPr>
                <w:sz w:val="18"/>
              </w:rPr>
              <w:t>7</w:t>
            </w:r>
          </w:p>
        </w:tc>
        <w:tc>
          <w:tcPr>
            <w:tcW w:type="dxa" w:w="8640"/>
            <w:vAlign w:val="center"/>
            <w:tcMar>
              <w:top w:w="100" w:type="dxa"/>
              <w:start w:w="120" w:type="dxa"/>
              <w:bottom w:w="100" w:type="dxa"/>
              <w:end w:w="120" w:type="dxa"/>
            </w:tcMar>
          </w:tcPr>
          <w:p>
            <w:pPr>
              <w:spacing w:after="0"/>
            </w:pPr>
            <w:r>
              <w:rPr>
                <w:sz w:val="18"/>
              </w:rPr>
              <w:t>Security, observability, and operations</w:t>
            </w:r>
          </w:p>
        </w:tc>
      </w:tr>
      <w:tr>
        <w:tc>
          <w:tcPr>
            <w:tcW w:type="dxa" w:w="936"/>
            <w:vAlign w:val="center"/>
            <w:tcMar>
              <w:top w:w="100" w:type="dxa"/>
              <w:start w:w="120" w:type="dxa"/>
              <w:bottom w:w="100" w:type="dxa"/>
              <w:end w:w="120" w:type="dxa"/>
            </w:tcMar>
          </w:tcPr>
          <w:p>
            <w:pPr>
              <w:spacing w:after="0"/>
            </w:pPr>
            <w:r>
              <w:rPr>
                <w:sz w:val="18"/>
              </w:rPr>
              <w:t>8</w:t>
            </w:r>
          </w:p>
        </w:tc>
        <w:tc>
          <w:tcPr>
            <w:tcW w:type="dxa" w:w="8640"/>
            <w:vAlign w:val="center"/>
            <w:tcMar>
              <w:top w:w="100" w:type="dxa"/>
              <w:start w:w="120" w:type="dxa"/>
              <w:bottom w:w="100" w:type="dxa"/>
              <w:end w:w="120" w:type="dxa"/>
            </w:tcMar>
          </w:tcPr>
          <w:p>
            <w:pPr>
              <w:spacing w:after="0"/>
            </w:pPr>
            <w:r>
              <w:rPr>
                <w:sz w:val="18"/>
              </w:rPr>
              <w:t>Domain case studies</w:t>
            </w:r>
          </w:p>
        </w:tc>
      </w:tr>
      <w:tr>
        <w:tc>
          <w:tcPr>
            <w:tcW w:type="dxa" w:w="936"/>
            <w:vAlign w:val="center"/>
            <w:tcMar>
              <w:top w:w="100" w:type="dxa"/>
              <w:start w:w="120" w:type="dxa"/>
              <w:bottom w:w="100" w:type="dxa"/>
              <w:end w:w="120" w:type="dxa"/>
            </w:tcMar>
          </w:tcPr>
          <w:p>
            <w:pPr>
              <w:spacing w:after="0"/>
            </w:pPr>
            <w:r>
              <w:rPr>
                <w:sz w:val="18"/>
              </w:rPr>
              <w:t>9</w:t>
            </w:r>
          </w:p>
        </w:tc>
        <w:tc>
          <w:tcPr>
            <w:tcW w:type="dxa" w:w="8640"/>
            <w:vAlign w:val="center"/>
            <w:tcMar>
              <w:top w:w="100" w:type="dxa"/>
              <w:start w:w="120" w:type="dxa"/>
              <w:bottom w:w="100" w:type="dxa"/>
              <w:end w:w="120" w:type="dxa"/>
            </w:tcMar>
          </w:tcPr>
          <w:p>
            <w:pPr>
              <w:spacing w:after="0"/>
            </w:pPr>
            <w:r>
              <w:rPr>
                <w:sz w:val="18"/>
              </w:rPr>
              <w:t>Scaling and cost decisions</w:t>
            </w:r>
          </w:p>
        </w:tc>
      </w:tr>
      <w:tr>
        <w:tc>
          <w:tcPr>
            <w:tcW w:type="dxa" w:w="936"/>
            <w:vAlign w:val="center"/>
            <w:tcMar>
              <w:top w:w="100" w:type="dxa"/>
              <w:start w:w="120" w:type="dxa"/>
              <w:bottom w:w="100" w:type="dxa"/>
              <w:end w:w="120" w:type="dxa"/>
            </w:tcMar>
          </w:tcPr>
          <w:p>
            <w:pPr>
              <w:spacing w:after="0"/>
            </w:pPr>
            <w:r>
              <w:rPr>
                <w:sz w:val="18"/>
              </w:rPr>
              <w:t>10</w:t>
            </w:r>
          </w:p>
        </w:tc>
        <w:tc>
          <w:tcPr>
            <w:tcW w:type="dxa" w:w="8640"/>
            <w:vAlign w:val="center"/>
            <w:tcMar>
              <w:top w:w="100" w:type="dxa"/>
              <w:start w:w="120" w:type="dxa"/>
              <w:bottom w:w="100" w:type="dxa"/>
              <w:end w:w="120" w:type="dxa"/>
            </w:tcMar>
          </w:tcPr>
          <w:p>
            <w:pPr>
              <w:spacing w:after="0"/>
            </w:pPr>
            <w:r>
              <w:rPr>
                <w:sz w:val="18"/>
              </w:rPr>
              <w:t>Architecture exercises and review checklist</w:t>
            </w:r>
          </w:p>
        </w:tc>
      </w:tr>
    </w:tbl>
    <w:p/>
    <w:p>
      <w:pPr>
        <w:pStyle w:val="Title"/>
      </w:pPr>
      <w:r>
        <w:t>1. Where gRPC fits</w:t>
      </w:r>
    </w:p>
    <w:p>
      <w:r>
        <w:t>gRPC is a high-performance remote procedure call framework built around strongly typed service contracts, Protocol Buffers, and HTTP/2. Its strongest use case is controlled service-to-service communication where both sides can adopt generated clients and the organization values low overhead, deadlines, streaming, and compile-time contracts.</w:t>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Core decision rule:  </w:t>
            </w:r>
            <w:r>
              <w:t>Choose gRPC because the interaction benefits from a typed RPC model, efficient transport, or streaming—not merely because the system has many users.</w:t>
            </w:r>
          </w:p>
        </w:tc>
      </w:tr>
    </w:tbl>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12"/>
            <w:shd w:fill="17365D"/>
            <w:vAlign w:val="center"/>
            <w:tcMar>
              <w:top w:w="100" w:type="dxa"/>
              <w:start w:w="120" w:type="dxa"/>
              <w:bottom w:w="100" w:type="dxa"/>
              <w:end w:w="120" w:type="dxa"/>
            </w:tcMar>
          </w:tcPr>
          <w:p>
            <w:r>
              <w:rPr>
                <w:b/>
                <w:color w:val="FFFFFF"/>
                <w:sz w:val="19"/>
              </w:rPr>
              <w:t>Situation</w:t>
            </w:r>
          </w:p>
        </w:tc>
        <w:tc>
          <w:tcPr>
            <w:tcW w:type="dxa" w:w="1584"/>
            <w:shd w:fill="17365D"/>
            <w:vAlign w:val="center"/>
            <w:tcMar>
              <w:top w:w="100" w:type="dxa"/>
              <w:start w:w="120" w:type="dxa"/>
              <w:bottom w:w="100" w:type="dxa"/>
              <w:end w:w="120" w:type="dxa"/>
            </w:tcMar>
          </w:tcPr>
          <w:p>
            <w:r>
              <w:rPr>
                <w:b/>
                <w:color w:val="FFFFFF"/>
                <w:sz w:val="19"/>
              </w:rPr>
              <w:t>gRPC fit</w:t>
            </w:r>
          </w:p>
        </w:tc>
        <w:tc>
          <w:tcPr>
            <w:tcW w:type="dxa" w:w="4680"/>
            <w:shd w:fill="17365D"/>
            <w:vAlign w:val="center"/>
            <w:tcMar>
              <w:top w:w="100" w:type="dxa"/>
              <w:start w:w="120" w:type="dxa"/>
              <w:bottom w:w="100" w:type="dxa"/>
              <w:end w:w="120" w:type="dxa"/>
            </w:tcMar>
          </w:tcPr>
          <w:p>
            <w:r>
              <w:rPr>
                <w:b/>
                <w:color w:val="FFFFFF"/>
                <w:sz w:val="19"/>
              </w:rPr>
              <w:t>Reason</w:t>
            </w:r>
          </w:p>
        </w:tc>
      </w:tr>
      <w:tr>
        <w:tc>
          <w:tcPr>
            <w:tcW w:type="dxa" w:w="3312"/>
            <w:vAlign w:val="center"/>
            <w:tcMar>
              <w:top w:w="100" w:type="dxa"/>
              <w:start w:w="120" w:type="dxa"/>
              <w:bottom w:w="100" w:type="dxa"/>
              <w:end w:w="120" w:type="dxa"/>
            </w:tcMar>
          </w:tcPr>
          <w:p>
            <w:pPr>
              <w:spacing w:after="0"/>
            </w:pPr>
            <w:r>
              <w:rPr>
                <w:sz w:val="18"/>
              </w:rPr>
              <w:t>High-volume internal risk scoring</w:t>
            </w:r>
          </w:p>
        </w:tc>
        <w:tc>
          <w:tcPr>
            <w:tcW w:type="dxa" w:w="1584"/>
            <w:vAlign w:val="center"/>
            <w:tcMar>
              <w:top w:w="100" w:type="dxa"/>
              <w:start w:w="120" w:type="dxa"/>
              <w:bottom w:w="100" w:type="dxa"/>
              <w:end w:w="120" w:type="dxa"/>
            </w:tcMar>
          </w:tcPr>
          <w:p>
            <w:pPr>
              <w:spacing w:after="0"/>
            </w:pPr>
            <w:r>
              <w:rPr>
                <w:sz w:val="18"/>
              </w:rPr>
              <w:t>Strong</w:t>
            </w:r>
          </w:p>
        </w:tc>
        <w:tc>
          <w:tcPr>
            <w:tcW w:type="dxa" w:w="4680"/>
            <w:vAlign w:val="center"/>
            <w:tcMar>
              <w:top w:w="100" w:type="dxa"/>
              <w:start w:w="120" w:type="dxa"/>
              <w:bottom w:w="100" w:type="dxa"/>
              <w:end w:w="120" w:type="dxa"/>
            </w:tcMar>
          </w:tcPr>
          <w:p>
            <w:pPr>
              <w:spacing w:after="0"/>
            </w:pPr>
            <w:r>
              <w:rPr>
                <w:sz w:val="18"/>
              </w:rPr>
              <w:t>Fixed request/response, controlled clients, low latency</w:t>
            </w:r>
          </w:p>
        </w:tc>
      </w:tr>
      <w:tr>
        <w:tc>
          <w:tcPr>
            <w:tcW w:type="dxa" w:w="3312"/>
            <w:vAlign w:val="center"/>
            <w:tcMar>
              <w:top w:w="100" w:type="dxa"/>
              <w:start w:w="120" w:type="dxa"/>
              <w:bottom w:w="100" w:type="dxa"/>
              <w:end w:w="120" w:type="dxa"/>
            </w:tcMar>
          </w:tcPr>
          <w:p>
            <w:pPr>
              <w:spacing w:after="0"/>
            </w:pPr>
            <w:r>
              <w:rPr>
                <w:sz w:val="18"/>
              </w:rPr>
              <w:t>Public partner API</w:t>
            </w:r>
          </w:p>
        </w:tc>
        <w:tc>
          <w:tcPr>
            <w:tcW w:type="dxa" w:w="1584"/>
            <w:vAlign w:val="center"/>
            <w:tcMar>
              <w:top w:w="100" w:type="dxa"/>
              <w:start w:w="120" w:type="dxa"/>
              <w:bottom w:w="100" w:type="dxa"/>
              <w:end w:w="120" w:type="dxa"/>
            </w:tcMar>
          </w:tcPr>
          <w:p>
            <w:pPr>
              <w:spacing w:after="0"/>
            </w:pPr>
            <w:r>
              <w:rPr>
                <w:sz w:val="18"/>
              </w:rPr>
              <w:t>Usually weak</w:t>
            </w:r>
          </w:p>
        </w:tc>
        <w:tc>
          <w:tcPr>
            <w:tcW w:type="dxa" w:w="4680"/>
            <w:vAlign w:val="center"/>
            <w:tcMar>
              <w:top w:w="100" w:type="dxa"/>
              <w:start w:w="120" w:type="dxa"/>
              <w:bottom w:w="100" w:type="dxa"/>
              <w:end w:w="120" w:type="dxa"/>
            </w:tcMar>
          </w:tcPr>
          <w:p>
            <w:pPr>
              <w:spacing w:after="0"/>
            </w:pPr>
            <w:r>
              <w:rPr>
                <w:sz w:val="18"/>
              </w:rPr>
              <w:t>Higher onboarding and tooling friction</w:t>
            </w:r>
          </w:p>
        </w:tc>
      </w:tr>
      <w:tr>
        <w:tc>
          <w:tcPr>
            <w:tcW w:type="dxa" w:w="3312"/>
            <w:vAlign w:val="center"/>
            <w:tcMar>
              <w:top w:w="100" w:type="dxa"/>
              <w:start w:w="120" w:type="dxa"/>
              <w:bottom w:w="100" w:type="dxa"/>
              <w:end w:w="120" w:type="dxa"/>
            </w:tcMar>
          </w:tcPr>
          <w:p>
            <w:pPr>
              <w:spacing w:after="0"/>
            </w:pPr>
            <w:r>
              <w:rPr>
                <w:sz w:val="18"/>
              </w:rPr>
              <w:t>Browser-first frontend</w:t>
            </w:r>
          </w:p>
        </w:tc>
        <w:tc>
          <w:tcPr>
            <w:tcW w:type="dxa" w:w="1584"/>
            <w:vAlign w:val="center"/>
            <w:tcMar>
              <w:top w:w="100" w:type="dxa"/>
              <w:start w:w="120" w:type="dxa"/>
              <w:bottom w:w="100" w:type="dxa"/>
              <w:end w:w="120" w:type="dxa"/>
            </w:tcMar>
          </w:tcPr>
          <w:p>
            <w:pPr>
              <w:spacing w:after="0"/>
            </w:pPr>
            <w:r>
              <w:rPr>
                <w:sz w:val="18"/>
              </w:rPr>
              <w:t>Usually weak</w:t>
            </w:r>
          </w:p>
        </w:tc>
        <w:tc>
          <w:tcPr>
            <w:tcW w:type="dxa" w:w="4680"/>
            <w:vAlign w:val="center"/>
            <w:tcMar>
              <w:top w:w="100" w:type="dxa"/>
              <w:start w:w="120" w:type="dxa"/>
              <w:bottom w:w="100" w:type="dxa"/>
              <w:end w:w="120" w:type="dxa"/>
            </w:tcMar>
          </w:tcPr>
          <w:p>
            <w:pPr>
              <w:spacing w:after="0"/>
            </w:pPr>
            <w:r>
              <w:rPr>
                <w:sz w:val="18"/>
              </w:rPr>
              <w:t>Requires gRPC-Web or a gateway</w:t>
            </w:r>
          </w:p>
        </w:tc>
      </w:tr>
      <w:tr>
        <w:tc>
          <w:tcPr>
            <w:tcW w:type="dxa" w:w="3312"/>
            <w:vAlign w:val="center"/>
            <w:tcMar>
              <w:top w:w="100" w:type="dxa"/>
              <w:start w:w="120" w:type="dxa"/>
              <w:bottom w:w="100" w:type="dxa"/>
              <w:end w:w="120" w:type="dxa"/>
            </w:tcMar>
          </w:tcPr>
          <w:p>
            <w:pPr>
              <w:spacing w:after="0"/>
            </w:pPr>
            <w:r>
              <w:rPr>
                <w:sz w:val="18"/>
              </w:rPr>
              <w:t>Internal streaming telemetry</w:t>
            </w:r>
          </w:p>
        </w:tc>
        <w:tc>
          <w:tcPr>
            <w:tcW w:type="dxa" w:w="1584"/>
            <w:vAlign w:val="center"/>
            <w:tcMar>
              <w:top w:w="100" w:type="dxa"/>
              <w:start w:w="120" w:type="dxa"/>
              <w:bottom w:w="100" w:type="dxa"/>
              <w:end w:w="120" w:type="dxa"/>
            </w:tcMar>
          </w:tcPr>
          <w:p>
            <w:pPr>
              <w:spacing w:after="0"/>
            </w:pPr>
            <w:r>
              <w:rPr>
                <w:sz w:val="18"/>
              </w:rPr>
              <w:t>Strong</w:t>
            </w:r>
          </w:p>
        </w:tc>
        <w:tc>
          <w:tcPr>
            <w:tcW w:type="dxa" w:w="4680"/>
            <w:vAlign w:val="center"/>
            <w:tcMar>
              <w:top w:w="100" w:type="dxa"/>
              <w:start w:w="120" w:type="dxa"/>
              <w:bottom w:w="100" w:type="dxa"/>
              <w:end w:w="120" w:type="dxa"/>
            </w:tcMar>
          </w:tcPr>
          <w:p>
            <w:pPr>
              <w:spacing w:after="0"/>
            </w:pPr>
            <w:r>
              <w:rPr>
                <w:sz w:val="18"/>
              </w:rPr>
              <w:t>Native server/client/bidirectional streaming</w:t>
            </w:r>
          </w:p>
        </w:tc>
      </w:tr>
      <w:tr>
        <w:tc>
          <w:tcPr>
            <w:tcW w:type="dxa" w:w="3312"/>
            <w:vAlign w:val="center"/>
            <w:tcMar>
              <w:top w:w="100" w:type="dxa"/>
              <w:start w:w="120" w:type="dxa"/>
              <w:bottom w:w="100" w:type="dxa"/>
              <w:end w:w="120" w:type="dxa"/>
            </w:tcMar>
          </w:tcPr>
          <w:p>
            <w:pPr>
              <w:spacing w:after="0"/>
            </w:pPr>
            <w:r>
              <w:rPr>
                <w:sz w:val="18"/>
              </w:rPr>
              <w:t>Simple low-volume CRUD</w:t>
            </w:r>
          </w:p>
        </w:tc>
        <w:tc>
          <w:tcPr>
            <w:tcW w:type="dxa" w:w="1584"/>
            <w:vAlign w:val="center"/>
            <w:tcMar>
              <w:top w:w="100" w:type="dxa"/>
              <w:start w:w="120" w:type="dxa"/>
              <w:bottom w:w="100" w:type="dxa"/>
              <w:end w:w="120" w:type="dxa"/>
            </w:tcMar>
          </w:tcPr>
          <w:p>
            <w:pPr>
              <w:spacing w:after="0"/>
            </w:pPr>
            <w:r>
              <w:rPr>
                <w:sz w:val="18"/>
              </w:rPr>
              <w:t>Weak</w:t>
            </w:r>
          </w:p>
        </w:tc>
        <w:tc>
          <w:tcPr>
            <w:tcW w:type="dxa" w:w="4680"/>
            <w:vAlign w:val="center"/>
            <w:tcMar>
              <w:top w:w="100" w:type="dxa"/>
              <w:start w:w="120" w:type="dxa"/>
              <w:bottom w:w="100" w:type="dxa"/>
              <w:end w:w="120" w:type="dxa"/>
            </w:tcMar>
          </w:tcPr>
          <w:p>
            <w:pPr>
              <w:spacing w:after="0"/>
            </w:pPr>
            <w:r>
              <w:rPr>
                <w:sz w:val="18"/>
              </w:rPr>
              <w:t>Operational complexity exceeds the benefit</w:t>
            </w:r>
          </w:p>
        </w:tc>
      </w:tr>
      <w:tr>
        <w:tc>
          <w:tcPr>
            <w:tcW w:type="dxa" w:w="3312"/>
            <w:vAlign w:val="center"/>
            <w:tcMar>
              <w:top w:w="100" w:type="dxa"/>
              <w:start w:w="120" w:type="dxa"/>
              <w:bottom w:w="100" w:type="dxa"/>
              <w:end w:w="120" w:type="dxa"/>
            </w:tcMar>
          </w:tcPr>
          <w:p>
            <w:pPr>
              <w:spacing w:after="0"/>
            </w:pPr>
            <w:r>
              <w:rPr>
                <w:sz w:val="18"/>
              </w:rPr>
              <w:t>Cacheable product catalog</w:t>
            </w:r>
          </w:p>
        </w:tc>
        <w:tc>
          <w:tcPr>
            <w:tcW w:type="dxa" w:w="1584"/>
            <w:vAlign w:val="center"/>
            <w:tcMar>
              <w:top w:w="100" w:type="dxa"/>
              <w:start w:w="120" w:type="dxa"/>
              <w:bottom w:w="100" w:type="dxa"/>
              <w:end w:w="120" w:type="dxa"/>
            </w:tcMar>
          </w:tcPr>
          <w:p>
            <w:pPr>
              <w:spacing w:after="0"/>
            </w:pPr>
            <w:r>
              <w:rPr>
                <w:sz w:val="18"/>
              </w:rPr>
              <w:t>Weak externally</w:t>
            </w:r>
          </w:p>
        </w:tc>
        <w:tc>
          <w:tcPr>
            <w:tcW w:type="dxa" w:w="4680"/>
            <w:vAlign w:val="center"/>
            <w:tcMar>
              <w:top w:w="100" w:type="dxa"/>
              <w:start w:w="120" w:type="dxa"/>
              <w:bottom w:w="100" w:type="dxa"/>
              <w:end w:w="120" w:type="dxa"/>
            </w:tcMar>
          </w:tcPr>
          <w:p>
            <w:pPr>
              <w:spacing w:after="0"/>
            </w:pPr>
            <w:r>
              <w:rPr>
                <w:sz w:val="18"/>
              </w:rPr>
              <w:t>Traditional HTTP/CDN semantics are simpler with REST</w:t>
            </w:r>
          </w:p>
        </w:tc>
      </w:tr>
    </w:tbl>
    <w:p/>
    <w:p>
      <w:pPr>
        <w:pStyle w:val="Heading1"/>
      </w:pPr>
      <w:r>
        <w:t>1.1 gRPC is not a scalability milestone</w:t>
      </w:r>
    </w:p>
    <w:p>
      <w:r>
        <w:t>A REST service at 20,000 requests per second may be healthy, while a gRPC service at 500 requests per second may fail because of database contention or an unbounded stream. Protocol choice changes transport characteristics; it does not repair poor data access, service boundaries, or capacity planning.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7365D"/>
            <w:vAlign w:val="center"/>
            <w:tcMar>
              <w:top w:w="100" w:type="dxa"/>
              <w:start w:w="120" w:type="dxa"/>
              <w:bottom w:w="100" w:type="dxa"/>
              <w:end w:w="120" w:type="dxa"/>
            </w:tcMar>
          </w:tcPr>
          <w:p>
            <w:r>
              <w:rPr>
                <w:b/>
                <w:color w:val="FFFFFF"/>
                <w:sz w:val="19"/>
              </w:rPr>
              <w:t>Measured constraint</w:t>
            </w:r>
          </w:p>
        </w:tc>
        <w:tc>
          <w:tcPr>
            <w:tcW w:type="dxa" w:w="3312"/>
            <w:shd w:fill="17365D"/>
            <w:vAlign w:val="center"/>
            <w:tcMar>
              <w:top w:w="100" w:type="dxa"/>
              <w:start w:w="120" w:type="dxa"/>
              <w:bottom w:w="100" w:type="dxa"/>
              <w:end w:w="120" w:type="dxa"/>
            </w:tcMar>
          </w:tcPr>
          <w:p>
            <w:r>
              <w:rPr>
                <w:b/>
                <w:color w:val="FFFFFF"/>
                <w:sz w:val="19"/>
              </w:rPr>
              <w:t>Potential gRPC benefit</w:t>
            </w:r>
          </w:p>
        </w:tc>
        <w:tc>
          <w:tcPr>
            <w:tcW w:type="dxa" w:w="3384"/>
            <w:shd w:fill="17365D"/>
            <w:vAlign w:val="center"/>
            <w:tcMar>
              <w:top w:w="100" w:type="dxa"/>
              <w:start w:w="120" w:type="dxa"/>
              <w:bottom w:w="100" w:type="dxa"/>
              <w:end w:w="120" w:type="dxa"/>
            </w:tcMar>
          </w:tcPr>
          <w:p>
            <w:r>
              <w:rPr>
                <w:b/>
                <w:color w:val="FFFFFF"/>
                <w:sz w:val="19"/>
              </w:rPr>
              <w:t>What gRPC will not fix</w:t>
            </w:r>
          </w:p>
        </w:tc>
      </w:tr>
      <w:tr>
        <w:tc>
          <w:tcPr>
            <w:tcW w:type="dxa" w:w="2880"/>
            <w:vAlign w:val="center"/>
            <w:tcMar>
              <w:top w:w="100" w:type="dxa"/>
              <w:start w:w="120" w:type="dxa"/>
              <w:bottom w:w="100" w:type="dxa"/>
              <w:end w:w="120" w:type="dxa"/>
            </w:tcMar>
          </w:tcPr>
          <w:p>
            <w:pPr>
              <w:spacing w:after="0"/>
            </w:pPr>
            <w:r>
              <w:rPr>
                <w:sz w:val="18"/>
              </w:rPr>
              <w:t>Large JSON serialization CPU</w:t>
            </w:r>
          </w:p>
        </w:tc>
        <w:tc>
          <w:tcPr>
            <w:tcW w:type="dxa" w:w="3312"/>
            <w:vAlign w:val="center"/>
            <w:tcMar>
              <w:top w:w="100" w:type="dxa"/>
              <w:start w:w="120" w:type="dxa"/>
              <w:bottom w:w="100" w:type="dxa"/>
              <w:end w:w="120" w:type="dxa"/>
            </w:tcMar>
          </w:tcPr>
          <w:p>
            <w:pPr>
              <w:spacing w:after="0"/>
            </w:pPr>
            <w:r>
              <w:rPr>
                <w:sz w:val="18"/>
              </w:rPr>
              <w:t>Protobuf reduces encoding cost</w:t>
            </w:r>
          </w:p>
        </w:tc>
        <w:tc>
          <w:tcPr>
            <w:tcW w:type="dxa" w:w="3384"/>
            <w:vAlign w:val="center"/>
            <w:tcMar>
              <w:top w:w="100" w:type="dxa"/>
              <w:start w:w="120" w:type="dxa"/>
              <w:bottom w:w="100" w:type="dxa"/>
              <w:end w:w="120" w:type="dxa"/>
            </w:tcMar>
          </w:tcPr>
          <w:p>
            <w:pPr>
              <w:spacing w:after="0"/>
            </w:pPr>
            <w:r>
              <w:rPr>
                <w:sz w:val="18"/>
              </w:rPr>
              <w:t>Slow database queries</w:t>
            </w:r>
          </w:p>
        </w:tc>
      </w:tr>
      <w:tr>
        <w:tc>
          <w:tcPr>
            <w:tcW w:type="dxa" w:w="2880"/>
            <w:vAlign w:val="center"/>
            <w:tcMar>
              <w:top w:w="100" w:type="dxa"/>
              <w:start w:w="120" w:type="dxa"/>
              <w:bottom w:w="100" w:type="dxa"/>
              <w:end w:w="120" w:type="dxa"/>
            </w:tcMar>
          </w:tcPr>
          <w:p>
            <w:pPr>
              <w:spacing w:after="0"/>
            </w:pPr>
            <w:r>
              <w:rPr>
                <w:sz w:val="18"/>
              </w:rPr>
              <w:t>Many parallel internal calls</w:t>
            </w:r>
          </w:p>
        </w:tc>
        <w:tc>
          <w:tcPr>
            <w:tcW w:type="dxa" w:w="3312"/>
            <w:vAlign w:val="center"/>
            <w:tcMar>
              <w:top w:w="100" w:type="dxa"/>
              <w:start w:w="120" w:type="dxa"/>
              <w:bottom w:w="100" w:type="dxa"/>
              <w:end w:w="120" w:type="dxa"/>
            </w:tcMar>
          </w:tcPr>
          <w:p>
            <w:pPr>
              <w:spacing w:after="0"/>
            </w:pPr>
            <w:r>
              <w:rPr>
                <w:sz w:val="18"/>
              </w:rPr>
              <w:t>HTTP/2 multiplexing</w:t>
            </w:r>
          </w:p>
        </w:tc>
        <w:tc>
          <w:tcPr>
            <w:tcW w:type="dxa" w:w="3384"/>
            <w:vAlign w:val="center"/>
            <w:tcMar>
              <w:top w:w="100" w:type="dxa"/>
              <w:start w:w="120" w:type="dxa"/>
              <w:bottom w:w="100" w:type="dxa"/>
              <w:end w:w="120" w:type="dxa"/>
            </w:tcMar>
          </w:tcPr>
          <w:p>
            <w:pPr>
              <w:spacing w:after="0"/>
            </w:pPr>
            <w:r>
              <w:rPr>
                <w:sz w:val="18"/>
              </w:rPr>
              <w:t>Deep synchronous dependency chains</w:t>
            </w:r>
          </w:p>
        </w:tc>
      </w:tr>
      <w:tr>
        <w:tc>
          <w:tcPr>
            <w:tcW w:type="dxa" w:w="2880"/>
            <w:vAlign w:val="center"/>
            <w:tcMar>
              <w:top w:w="100" w:type="dxa"/>
              <w:start w:w="120" w:type="dxa"/>
              <w:bottom w:w="100" w:type="dxa"/>
              <w:end w:w="120" w:type="dxa"/>
            </w:tcMar>
          </w:tcPr>
          <w:p>
            <w:pPr>
              <w:spacing w:after="0"/>
            </w:pPr>
            <w:r>
              <w:rPr>
                <w:sz w:val="18"/>
              </w:rPr>
              <w:t>Continuous updates</w:t>
            </w:r>
          </w:p>
        </w:tc>
        <w:tc>
          <w:tcPr>
            <w:tcW w:type="dxa" w:w="3312"/>
            <w:vAlign w:val="center"/>
            <w:tcMar>
              <w:top w:w="100" w:type="dxa"/>
              <w:start w:w="120" w:type="dxa"/>
              <w:bottom w:w="100" w:type="dxa"/>
              <w:end w:w="120" w:type="dxa"/>
            </w:tcMar>
          </w:tcPr>
          <w:p>
            <w:pPr>
              <w:spacing w:after="0"/>
            </w:pPr>
            <w:r>
              <w:rPr>
                <w:sz w:val="18"/>
              </w:rPr>
              <w:t>Streaming primitives</w:t>
            </w:r>
          </w:p>
        </w:tc>
        <w:tc>
          <w:tcPr>
            <w:tcW w:type="dxa" w:w="3384"/>
            <w:vAlign w:val="center"/>
            <w:tcMar>
              <w:top w:w="100" w:type="dxa"/>
              <w:start w:w="120" w:type="dxa"/>
              <w:bottom w:w="100" w:type="dxa"/>
              <w:end w:w="120" w:type="dxa"/>
            </w:tcMar>
          </w:tcPr>
          <w:p>
            <w:pPr>
              <w:spacing w:after="0"/>
            </w:pPr>
            <w:r>
              <w:rPr>
                <w:sz w:val="18"/>
              </w:rPr>
              <w:t>Missing backpressure strategy</w:t>
            </w:r>
          </w:p>
        </w:tc>
      </w:tr>
      <w:tr>
        <w:tc>
          <w:tcPr>
            <w:tcW w:type="dxa" w:w="2880"/>
            <w:vAlign w:val="center"/>
            <w:tcMar>
              <w:top w:w="100" w:type="dxa"/>
              <w:start w:w="120" w:type="dxa"/>
              <w:bottom w:w="100" w:type="dxa"/>
              <w:end w:w="120" w:type="dxa"/>
            </w:tcMar>
          </w:tcPr>
          <w:p>
            <w:pPr>
              <w:spacing w:after="0"/>
            </w:pPr>
            <w:r>
              <w:rPr>
                <w:sz w:val="18"/>
              </w:rPr>
              <w:t>Contract drift</w:t>
            </w:r>
          </w:p>
        </w:tc>
        <w:tc>
          <w:tcPr>
            <w:tcW w:type="dxa" w:w="3312"/>
            <w:vAlign w:val="center"/>
            <w:tcMar>
              <w:top w:w="100" w:type="dxa"/>
              <w:start w:w="120" w:type="dxa"/>
              <w:bottom w:w="100" w:type="dxa"/>
              <w:end w:w="120" w:type="dxa"/>
            </w:tcMar>
          </w:tcPr>
          <w:p>
            <w:pPr>
              <w:spacing w:after="0"/>
            </w:pPr>
            <w:r>
              <w:rPr>
                <w:sz w:val="18"/>
              </w:rPr>
              <w:t>Generated stubs and schema</w:t>
            </w:r>
          </w:p>
        </w:tc>
        <w:tc>
          <w:tcPr>
            <w:tcW w:type="dxa" w:w="3384"/>
            <w:vAlign w:val="center"/>
            <w:tcMar>
              <w:top w:w="100" w:type="dxa"/>
              <w:start w:w="120" w:type="dxa"/>
              <w:bottom w:w="100" w:type="dxa"/>
              <w:end w:w="120" w:type="dxa"/>
            </w:tcMar>
          </w:tcPr>
          <w:p>
            <w:pPr>
              <w:spacing w:after="0"/>
            </w:pPr>
            <w:r>
              <w:rPr>
                <w:sz w:val="18"/>
              </w:rPr>
              <w:t>Weak ownership and release governance</w:t>
            </w:r>
          </w:p>
        </w:tc>
      </w:tr>
    </w:tbl>
    <w:p/>
    <w:p>
      <w:pPr>
        <w:pStyle w:val="Title"/>
      </w:pPr>
      <w:r>
        <w:t>2. Protocol Buffers and contract design</w:t>
      </w:r>
    </w:p>
    <w:p>
      <w:r>
        <w:t>A protobuf definition is a long-lived compatibility contract. Treat field numbers, message boundaries, enum values, and service methods as public API decisions within the organization.</w:t>
      </w:r>
    </w:p>
    <w:p>
      <w:pPr>
        <w:pStyle w:val="CodeBlock"/>
      </w:pPr>
      <w:r>
        <w:rPr>
          <w:rFonts w:ascii="Consolas" w:hAnsi="Consolas"/>
          <w:sz w:val="17"/>
        </w:rPr>
        <w:t>syntax = "proto3";</w:t>
        <w:br/>
      </w:r>
      <w:r>
        <w:rPr>
          <w:rFonts w:ascii="Consolas" w:hAnsi="Consolas"/>
          <w:sz w:val="17"/>
        </w:rPr>
        <w:t>package pricing.v1;</w:t>
        <w:br/>
      </w:r>
      <w:r>
        <w:rPr>
          <w:rFonts w:ascii="Consolas" w:hAnsi="Consolas"/>
          <w:sz w:val="17"/>
        </w:rPr>
        <w:br/>
      </w:r>
      <w:r>
        <w:rPr>
          <w:rFonts w:ascii="Consolas" w:hAnsi="Consolas"/>
          <w:sz w:val="17"/>
        </w:rPr>
        <w:t>service PricingService {</w:t>
        <w:br/>
      </w:r>
      <w:r>
        <w:rPr>
          <w:rFonts w:ascii="Consolas" w:hAnsi="Consolas"/>
          <w:sz w:val="17"/>
        </w:rPr>
        <w:t xml:space="preserve">  rpc CalculatePrice(CalculatePriceRequest) returns (CalculatePriceResponse);</w:t>
        <w:br/>
      </w:r>
      <w:r>
        <w:rPr>
          <w:rFonts w:ascii="Consolas" w:hAnsi="Consolas"/>
          <w:sz w:val="17"/>
        </w:rPr>
        <w:t>}</w:t>
        <w:br/>
      </w:r>
      <w:r>
        <w:rPr>
          <w:rFonts w:ascii="Consolas" w:hAnsi="Consolas"/>
          <w:sz w:val="17"/>
        </w:rPr>
        <w:br/>
      </w:r>
      <w:r>
        <w:rPr>
          <w:rFonts w:ascii="Consolas" w:hAnsi="Consolas"/>
          <w:sz w:val="17"/>
        </w:rPr>
        <w:t>message CalculatePriceRequest {</w:t>
        <w:br/>
      </w:r>
      <w:r>
        <w:rPr>
          <w:rFonts w:ascii="Consolas" w:hAnsi="Consolas"/>
          <w:sz w:val="17"/>
        </w:rPr>
        <w:t xml:space="preserve">  string product_id = 1;</w:t>
        <w:br/>
      </w:r>
      <w:r>
        <w:rPr>
          <w:rFonts w:ascii="Consolas" w:hAnsi="Consolas"/>
          <w:sz w:val="17"/>
        </w:rPr>
        <w:t xml:space="preserve">  string customer_id = 2;</w:t>
        <w:br/>
      </w:r>
      <w:r>
        <w:rPr>
          <w:rFonts w:ascii="Consolas" w:hAnsi="Consolas"/>
          <w:sz w:val="17"/>
        </w:rPr>
        <w:t xml:space="preserve">  int32 quantity = 3;</w:t>
        <w:br/>
      </w:r>
      <w:r>
        <w:rPr>
          <w:rFonts w:ascii="Consolas" w:hAnsi="Consolas"/>
          <w:sz w:val="17"/>
        </w:rPr>
        <w:t xml:space="preserve">  string region_code = 4;</w:t>
        <w:br/>
      </w:r>
      <w:r>
        <w:rPr>
          <w:rFonts w:ascii="Consolas" w:hAnsi="Consolas"/>
          <w:sz w:val="17"/>
        </w:rPr>
        <w:t>}</w:t>
        <w:br/>
      </w:r>
      <w:r>
        <w:rPr>
          <w:rFonts w:ascii="Consolas" w:hAnsi="Consolas"/>
          <w:sz w:val="17"/>
        </w:rPr>
        <w:br/>
      </w:r>
      <w:r>
        <w:rPr>
          <w:rFonts w:ascii="Consolas" w:hAnsi="Consolas"/>
          <w:sz w:val="17"/>
        </w:rPr>
        <w:t>message CalculatePriceResponse {</w:t>
        <w:br/>
      </w:r>
      <w:r>
        <w:rPr>
          <w:rFonts w:ascii="Consolas" w:hAnsi="Consolas"/>
          <w:sz w:val="17"/>
        </w:rPr>
        <w:t xml:space="preserve">  Money unit_price = 1;</w:t>
        <w:br/>
      </w:r>
      <w:r>
        <w:rPr>
          <w:rFonts w:ascii="Consolas" w:hAnsi="Consolas"/>
          <w:sz w:val="17"/>
        </w:rPr>
        <w:t xml:space="preserve">  Money total_price = 2;</w:t>
        <w:br/>
      </w:r>
      <w:r>
        <w:rPr>
          <w:rFonts w:ascii="Consolas" w:hAnsi="Consolas"/>
          <w:sz w:val="17"/>
        </w:rPr>
        <w:t xml:space="preserve">  repeated AppliedDiscount discounts = 3;</w:t>
        <w:br/>
      </w:r>
      <w:r>
        <w:rPr>
          <w:rFonts w:ascii="Consolas" w:hAnsi="Consolas"/>
          <w:sz w:val="17"/>
        </w:rPr>
        <w:t xml:space="preserve">  string pricing_version = 4;</w:t>
        <w:br/>
      </w:r>
      <w:r>
        <w:rPr>
          <w:rFonts w:ascii="Consolas" w:hAnsi="Consolas"/>
          <w:sz w:val="17"/>
        </w:rPr>
        <w:t>}</w:t>
        <w:br/>
      </w:r>
    </w:p>
    <w:p>
      <w:pPr>
        <w:pStyle w:val="Heading1"/>
      </w:pPr>
      <w:r>
        <w:t>2.1 Model business intent, not database rows</w:t>
      </w:r>
    </w:p>
    <w:p>
      <w:r>
        <w:t>The request should represent what the caller wants the service to do. Avoid mirroring database columns, foreign-key names, or persistence-specific timestamps.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17365D"/>
            <w:vAlign w:val="center"/>
            <w:tcMar>
              <w:top w:w="100" w:type="dxa"/>
              <w:start w:w="120" w:type="dxa"/>
              <w:bottom w:w="100" w:type="dxa"/>
              <w:end w:w="120" w:type="dxa"/>
            </w:tcMar>
          </w:tcPr>
          <w:p>
            <w:r>
              <w:rPr>
                <w:b/>
                <w:color w:val="FFFFFF"/>
                <w:sz w:val="19"/>
              </w:rPr>
              <w:t>Weak contract</w:t>
            </w:r>
          </w:p>
        </w:tc>
        <w:tc>
          <w:tcPr>
            <w:tcW w:type="dxa" w:w="3384"/>
            <w:shd w:fill="17365D"/>
            <w:vAlign w:val="center"/>
            <w:tcMar>
              <w:top w:w="100" w:type="dxa"/>
              <w:start w:w="120" w:type="dxa"/>
              <w:bottom w:w="100" w:type="dxa"/>
              <w:end w:w="120" w:type="dxa"/>
            </w:tcMar>
          </w:tcPr>
          <w:p>
            <w:r>
              <w:rPr>
                <w:b/>
                <w:color w:val="FFFFFF"/>
                <w:sz w:val="19"/>
              </w:rPr>
              <w:t>Better contract</w:t>
            </w:r>
          </w:p>
        </w:tc>
        <w:tc>
          <w:tcPr>
            <w:tcW w:type="dxa" w:w="3168"/>
            <w:shd w:fill="17365D"/>
            <w:vAlign w:val="center"/>
            <w:tcMar>
              <w:top w:w="100" w:type="dxa"/>
              <w:start w:w="120" w:type="dxa"/>
              <w:bottom w:w="100" w:type="dxa"/>
              <w:end w:w="120" w:type="dxa"/>
            </w:tcMar>
          </w:tcPr>
          <w:p>
            <w:r>
              <w:rPr>
                <w:b/>
                <w:color w:val="FFFFFF"/>
                <w:sz w:val="19"/>
              </w:rPr>
              <w:t>Why</w:t>
            </w:r>
          </w:p>
        </w:tc>
      </w:tr>
      <w:tr>
        <w:tc>
          <w:tcPr>
            <w:tcW w:type="dxa" w:w="3024"/>
            <w:vAlign w:val="center"/>
            <w:tcMar>
              <w:top w:w="100" w:type="dxa"/>
              <w:start w:w="120" w:type="dxa"/>
              <w:bottom w:w="100" w:type="dxa"/>
              <w:end w:w="120" w:type="dxa"/>
            </w:tcMar>
          </w:tcPr>
          <w:p>
            <w:pPr>
              <w:spacing w:after="0"/>
            </w:pPr>
            <w:r>
              <w:rPr>
                <w:sz w:val="18"/>
              </w:rPr>
              <w:t>UpdateOrderRow(order_status_cd)</w:t>
            </w:r>
          </w:p>
        </w:tc>
        <w:tc>
          <w:tcPr>
            <w:tcW w:type="dxa" w:w="3384"/>
            <w:vAlign w:val="center"/>
            <w:tcMar>
              <w:top w:w="100" w:type="dxa"/>
              <w:start w:w="120" w:type="dxa"/>
              <w:bottom w:w="100" w:type="dxa"/>
              <w:end w:w="120" w:type="dxa"/>
            </w:tcMar>
          </w:tcPr>
          <w:p>
            <w:pPr>
              <w:spacing w:after="0"/>
            </w:pPr>
            <w:r>
              <w:rPr>
                <w:sz w:val="18"/>
              </w:rPr>
              <w:t>CancelOrder(order_id, reason)</w:t>
            </w:r>
          </w:p>
        </w:tc>
        <w:tc>
          <w:tcPr>
            <w:tcW w:type="dxa" w:w="3168"/>
            <w:vAlign w:val="center"/>
            <w:tcMar>
              <w:top w:w="100" w:type="dxa"/>
              <w:start w:w="120" w:type="dxa"/>
              <w:bottom w:w="100" w:type="dxa"/>
              <w:end w:w="120" w:type="dxa"/>
            </w:tcMar>
          </w:tcPr>
          <w:p>
            <w:pPr>
              <w:spacing w:after="0"/>
            </w:pPr>
            <w:r>
              <w:rPr>
                <w:sz w:val="18"/>
              </w:rPr>
              <w:t>Models an allowed business command</w:t>
            </w:r>
          </w:p>
        </w:tc>
      </w:tr>
      <w:tr>
        <w:tc>
          <w:tcPr>
            <w:tcW w:type="dxa" w:w="3024"/>
            <w:vAlign w:val="center"/>
            <w:tcMar>
              <w:top w:w="100" w:type="dxa"/>
              <w:start w:w="120" w:type="dxa"/>
              <w:bottom w:w="100" w:type="dxa"/>
              <w:end w:w="120" w:type="dxa"/>
            </w:tcMar>
          </w:tcPr>
          <w:p>
            <w:pPr>
              <w:spacing w:after="0"/>
            </w:pPr>
            <w:r>
              <w:rPr>
                <w:sz w:val="18"/>
              </w:rPr>
              <w:t>GetCustomerTable(customer_fk)</w:t>
            </w:r>
          </w:p>
        </w:tc>
        <w:tc>
          <w:tcPr>
            <w:tcW w:type="dxa" w:w="3384"/>
            <w:vAlign w:val="center"/>
            <w:tcMar>
              <w:top w:w="100" w:type="dxa"/>
              <w:start w:w="120" w:type="dxa"/>
              <w:bottom w:w="100" w:type="dxa"/>
              <w:end w:w="120" w:type="dxa"/>
            </w:tcMar>
          </w:tcPr>
          <w:p>
            <w:pPr>
              <w:spacing w:after="0"/>
            </w:pPr>
            <w:r>
              <w:rPr>
                <w:sz w:val="18"/>
              </w:rPr>
              <w:t>GetCustomerProfile(customer_id)</w:t>
            </w:r>
          </w:p>
        </w:tc>
        <w:tc>
          <w:tcPr>
            <w:tcW w:type="dxa" w:w="3168"/>
            <w:vAlign w:val="center"/>
            <w:tcMar>
              <w:top w:w="100" w:type="dxa"/>
              <w:start w:w="120" w:type="dxa"/>
              <w:bottom w:w="100" w:type="dxa"/>
              <w:end w:w="120" w:type="dxa"/>
            </w:tcMar>
          </w:tcPr>
          <w:p>
            <w:pPr>
              <w:spacing w:after="0"/>
            </w:pPr>
            <w:r>
              <w:rPr>
                <w:sz w:val="18"/>
              </w:rPr>
              <w:t>Hides persistence implementation</w:t>
            </w:r>
          </w:p>
        </w:tc>
      </w:tr>
      <w:tr>
        <w:tc>
          <w:tcPr>
            <w:tcW w:type="dxa" w:w="3024"/>
            <w:vAlign w:val="center"/>
            <w:tcMar>
              <w:top w:w="100" w:type="dxa"/>
              <w:start w:w="120" w:type="dxa"/>
              <w:bottom w:w="100" w:type="dxa"/>
              <w:end w:w="120" w:type="dxa"/>
            </w:tcMar>
          </w:tcPr>
          <w:p>
            <w:pPr>
              <w:spacing w:after="0"/>
            </w:pPr>
            <w:r>
              <w:rPr>
                <w:sz w:val="18"/>
              </w:rPr>
              <w:t>SetAccountBalance(value)</w:t>
            </w:r>
          </w:p>
        </w:tc>
        <w:tc>
          <w:tcPr>
            <w:tcW w:type="dxa" w:w="3384"/>
            <w:vAlign w:val="center"/>
            <w:tcMar>
              <w:top w:w="100" w:type="dxa"/>
              <w:start w:w="120" w:type="dxa"/>
              <w:bottom w:w="100" w:type="dxa"/>
              <w:end w:w="120" w:type="dxa"/>
            </w:tcMar>
          </w:tcPr>
          <w:p>
            <w:pPr>
              <w:spacing w:after="0"/>
            </w:pPr>
            <w:r>
              <w:rPr>
                <w:sz w:val="18"/>
              </w:rPr>
              <w:t>PostTransfer(source, destination, amount)</w:t>
            </w:r>
          </w:p>
        </w:tc>
        <w:tc>
          <w:tcPr>
            <w:tcW w:type="dxa" w:w="3168"/>
            <w:vAlign w:val="center"/>
            <w:tcMar>
              <w:top w:w="100" w:type="dxa"/>
              <w:start w:w="120" w:type="dxa"/>
              <w:bottom w:w="100" w:type="dxa"/>
              <w:end w:w="120" w:type="dxa"/>
            </w:tcMar>
          </w:tcPr>
          <w:p>
            <w:pPr>
              <w:spacing w:after="0"/>
            </w:pPr>
            <w:r>
              <w:rPr>
                <w:sz w:val="18"/>
              </w:rPr>
              <w:t>Preserves financial invariants</w:t>
            </w:r>
          </w:p>
        </w:tc>
      </w:tr>
    </w:tbl>
    <w:p/>
    <w:p>
      <w:pPr>
        <w:pStyle w:val="Heading1"/>
      </w:pPr>
      <w:r>
        <w:t>2.2 Presence, defaults, and nullability</w:t>
      </w:r>
    </w:p>
    <w:p>
      <w:r>
        <w:t>Proto3 scalar fields have default values, so absence and an explicit zero can be ambiguous. Use optional fields, wrapper messages, or oneof when presence matters.</w:t>
      </w:r>
    </w:p>
    <w:p>
      <w:pPr>
        <w:pStyle w:val="CodeBlock"/>
      </w:pPr>
      <w:r>
        <w:rPr>
          <w:rFonts w:ascii="Consolas" w:hAnsi="Consolas"/>
          <w:sz w:val="17"/>
        </w:rPr>
        <w:t>message UpdateDriverProfileRequest {</w:t>
        <w:br/>
      </w:r>
      <w:r>
        <w:rPr>
          <w:rFonts w:ascii="Consolas" w:hAnsi="Consolas"/>
          <w:sz w:val="17"/>
        </w:rPr>
        <w:t xml:space="preserve">  string driver_id = 1;</w:t>
        <w:br/>
      </w:r>
      <w:r>
        <w:rPr>
          <w:rFonts w:ascii="Consolas" w:hAnsi="Consolas"/>
          <w:sz w:val="17"/>
        </w:rPr>
        <w:t xml:space="preserve">  optional string phone_number = 2; // absent = do not change</w:t>
        <w:br/>
      </w:r>
      <w:r>
        <w:rPr>
          <w:rFonts w:ascii="Consolas" w:hAnsi="Consolas"/>
          <w:sz w:val="17"/>
        </w:rPr>
        <w:t xml:space="preserve">  optional bool available = 3;      // false may be an intentional update</w:t>
        <w:br/>
      </w:r>
      <w:r>
        <w:rPr>
          <w:rFonts w:ascii="Consolas" w:hAnsi="Consolas"/>
          <w:sz w:val="17"/>
        </w:rPr>
        <w:t>}</w:t>
        <w:br/>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Design warning:  </w:t>
            </w:r>
            <w:r>
              <w:t>Never infer “field omitted” from a scalar default unless the contract explicitly defines that behavior.</w:t>
            </w:r>
          </w:p>
        </w:tc>
      </w:tr>
    </w:tbl>
    <w:p/>
    <w:p>
      <w:pPr>
        <w:pStyle w:val="Heading1"/>
      </w:pPr>
      <w:r>
        <w:t>2.3 Enums</w:t>
      </w:r>
    </w:p>
    <w:p>
      <w:pPr>
        <w:pStyle w:val="CodeBlock"/>
      </w:pPr>
      <w:r>
        <w:rPr>
          <w:rFonts w:ascii="Consolas" w:hAnsi="Consolas"/>
          <w:sz w:val="17"/>
        </w:rPr>
        <w:t>enum TransferStatus {</w:t>
        <w:br/>
      </w:r>
      <w:r>
        <w:rPr>
          <w:rFonts w:ascii="Consolas" w:hAnsi="Consolas"/>
          <w:sz w:val="17"/>
        </w:rPr>
        <w:t xml:space="preserve">  TRANSFER_STATUS_UNSPECIFIED = 0;</w:t>
        <w:br/>
      </w:r>
      <w:r>
        <w:rPr>
          <w:rFonts w:ascii="Consolas" w:hAnsi="Consolas"/>
          <w:sz w:val="17"/>
        </w:rPr>
        <w:t xml:space="preserve">  TRANSFER_STATUS_PENDING = 1;</w:t>
        <w:br/>
      </w:r>
      <w:r>
        <w:rPr>
          <w:rFonts w:ascii="Consolas" w:hAnsi="Consolas"/>
          <w:sz w:val="17"/>
        </w:rPr>
        <w:t xml:space="preserve">  TRANSFER_STATUS_POSTED = 2;</w:t>
        <w:br/>
      </w:r>
      <w:r>
        <w:rPr>
          <w:rFonts w:ascii="Consolas" w:hAnsi="Consolas"/>
          <w:sz w:val="17"/>
        </w:rPr>
        <w:t xml:space="preserve">  TRANSFER_STATUS_REJECTED = 3;</w:t>
        <w:br/>
      </w:r>
      <w:r>
        <w:rPr>
          <w:rFonts w:ascii="Consolas" w:hAnsi="Consolas"/>
          <w:sz w:val="17"/>
        </w:rPr>
        <w:t xml:space="preserve">  TRANSFER_STATUS_REVERSED = 4;</w:t>
        <w:br/>
      </w:r>
      <w:r>
        <w:rPr>
          <w:rFonts w:ascii="Consolas" w:hAnsi="Consolas"/>
          <w:sz w:val="17"/>
        </w:rPr>
        <w:t>}</w:t>
        <w:br/>
      </w:r>
    </w:p>
    <w:p>
      <w:pPr>
        <w:pStyle w:val="ListBullet"/>
      </w:pPr>
      <w:r>
        <w:t>Reserve zero for an unspecified or unknown value.</w:t>
      </w:r>
    </w:p>
    <w:p>
      <w:pPr>
        <w:pStyle w:val="ListBullet"/>
      </w:pPr>
      <w:r>
        <w:t>Do not reorder or reuse numeric values.</w:t>
      </w:r>
    </w:p>
    <w:p>
      <w:pPr>
        <w:pStyle w:val="ListBullet"/>
      </w:pPr>
      <w:r>
        <w:t>Clients must tolerate values added later.</w:t>
      </w:r>
    </w:p>
    <w:p>
      <w:pPr>
        <w:pStyle w:val="ListBullet"/>
      </w:pPr>
      <w:r>
        <w:t>Use business statuses in response messages; use gRPC status codes for transport/system failures.</w:t>
      </w:r>
    </w:p>
    <w:p>
      <w:pPr>
        <w:pStyle w:val="Title"/>
      </w:pPr>
      <w:r>
        <w:t>3. Unary RPC design</w:t>
      </w:r>
    </w:p>
    <w:p>
      <w:r>
        <w:t>Unary RPC is one request and one response. It is the closest gRPC equivalent to ordinary request-response APIs and should be the default unless streaming adds clear value.</w:t>
      </w:r>
    </w:p>
    <w:p>
      <w:pPr>
        <w:pStyle w:val="Heading1"/>
      </w:pPr>
      <w:r>
        <w:t>3.1 Coarse business operations</w:t>
      </w:r>
    </w:p>
    <w:p>
      <w:pPr>
        <w:pStyle w:val="CodeBlock"/>
      </w:pPr>
      <w:r>
        <w:rPr>
          <w:rFonts w:ascii="Consolas" w:hAnsi="Consolas"/>
          <w:sz w:val="17"/>
        </w:rPr>
        <w:t>service CartService {</w:t>
        <w:br/>
      </w:r>
      <w:r>
        <w:rPr>
          <w:rFonts w:ascii="Consolas" w:hAnsi="Consolas"/>
          <w:sz w:val="17"/>
        </w:rPr>
        <w:t xml:space="preserve">  rpc AddItem(AddItemRequest) returns (Cart);</w:t>
        <w:br/>
      </w:r>
      <w:r>
        <w:rPr>
          <w:rFonts w:ascii="Consolas" w:hAnsi="Consolas"/>
          <w:sz w:val="17"/>
        </w:rPr>
        <w:t xml:space="preserve">  rpc RemoveItem(RemoveItemRequest) returns (Cart);</w:t>
        <w:br/>
      </w:r>
      <w:r>
        <w:rPr>
          <w:rFonts w:ascii="Consolas" w:hAnsi="Consolas"/>
          <w:sz w:val="17"/>
        </w:rPr>
        <w:t xml:space="preserve">  rpc PriceCart(PriceCartRequest) returns (PricedCart);</w:t>
        <w:br/>
      </w:r>
      <w:r>
        <w:rPr>
          <w:rFonts w:ascii="Consolas" w:hAnsi="Consolas"/>
          <w:sz w:val="17"/>
        </w:rPr>
        <w:t>}</w:t>
        <w:br/>
      </w:r>
    </w:p>
    <w:p>
      <w:r>
        <w:t>Avoid tiny remote getters such as GetFirstName, GetLastName, GetAddress, and GetPhoneNumber. Even with efficient transport, every RPC has network, scheduling, authorization, tracing, and failure overhead.</w:t>
      </w:r>
    </w:p>
    <w:p>
      <w:pPr>
        <w:pStyle w:val="Heading1"/>
      </w:pPr>
      <w:r>
        <w:t>3.2 Business outcomes versus RPC failures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168"/>
            <w:shd w:fill="17365D"/>
            <w:vAlign w:val="center"/>
            <w:tcMar>
              <w:top w:w="100" w:type="dxa"/>
              <w:start w:w="120" w:type="dxa"/>
              <w:bottom w:w="100" w:type="dxa"/>
              <w:end w:w="120" w:type="dxa"/>
            </w:tcMar>
          </w:tcPr>
          <w:p>
            <w:r>
              <w:rPr>
                <w:b/>
                <w:color w:val="FFFFFF"/>
                <w:sz w:val="19"/>
              </w:rPr>
              <w:t>Condition</w:t>
            </w:r>
          </w:p>
        </w:tc>
        <w:tc>
          <w:tcPr>
            <w:tcW w:type="dxa" w:w="2592"/>
            <w:shd w:fill="17365D"/>
            <w:vAlign w:val="center"/>
            <w:tcMar>
              <w:top w:w="100" w:type="dxa"/>
              <w:start w:w="120" w:type="dxa"/>
              <w:bottom w:w="100" w:type="dxa"/>
              <w:end w:w="120" w:type="dxa"/>
            </w:tcMar>
          </w:tcPr>
          <w:p>
            <w:r>
              <w:rPr>
                <w:b/>
                <w:color w:val="FFFFFF"/>
                <w:sz w:val="19"/>
              </w:rPr>
              <w:t>Representation</w:t>
            </w:r>
          </w:p>
        </w:tc>
        <w:tc>
          <w:tcPr>
            <w:tcW w:type="dxa" w:w="3816"/>
            <w:shd w:fill="17365D"/>
            <w:vAlign w:val="center"/>
            <w:tcMar>
              <w:top w:w="100" w:type="dxa"/>
              <w:start w:w="120" w:type="dxa"/>
              <w:bottom w:w="100" w:type="dxa"/>
              <w:end w:w="120" w:type="dxa"/>
            </w:tcMar>
          </w:tcPr>
          <w:p>
            <w:r>
              <w:rPr>
                <w:b/>
                <w:color w:val="FFFFFF"/>
                <w:sz w:val="19"/>
              </w:rPr>
              <w:t>Example</w:t>
            </w:r>
          </w:p>
        </w:tc>
      </w:tr>
      <w:tr>
        <w:tc>
          <w:tcPr>
            <w:tcW w:type="dxa" w:w="3168"/>
            <w:vAlign w:val="center"/>
            <w:tcMar>
              <w:top w:w="100" w:type="dxa"/>
              <w:start w:w="120" w:type="dxa"/>
              <w:bottom w:w="100" w:type="dxa"/>
              <w:end w:w="120" w:type="dxa"/>
            </w:tcMar>
          </w:tcPr>
          <w:p>
            <w:pPr>
              <w:spacing w:after="0"/>
            </w:pPr>
            <w:r>
              <w:rPr>
                <w:sz w:val="18"/>
              </w:rPr>
              <w:t>Malformed input</w:t>
            </w:r>
          </w:p>
        </w:tc>
        <w:tc>
          <w:tcPr>
            <w:tcW w:type="dxa" w:w="2592"/>
            <w:vAlign w:val="center"/>
            <w:tcMar>
              <w:top w:w="100" w:type="dxa"/>
              <w:start w:w="120" w:type="dxa"/>
              <w:bottom w:w="100" w:type="dxa"/>
              <w:end w:w="120" w:type="dxa"/>
            </w:tcMar>
          </w:tcPr>
          <w:p>
            <w:pPr>
              <w:spacing w:after="0"/>
            </w:pPr>
            <w:r>
              <w:rPr>
                <w:sz w:val="18"/>
              </w:rPr>
              <w:t>gRPC status</w:t>
            </w:r>
          </w:p>
        </w:tc>
        <w:tc>
          <w:tcPr>
            <w:tcW w:type="dxa" w:w="3816"/>
            <w:vAlign w:val="center"/>
            <w:tcMar>
              <w:top w:w="100" w:type="dxa"/>
              <w:start w:w="120" w:type="dxa"/>
              <w:bottom w:w="100" w:type="dxa"/>
              <w:end w:w="120" w:type="dxa"/>
            </w:tcMar>
          </w:tcPr>
          <w:p>
            <w:pPr>
              <w:spacing w:after="0"/>
            </w:pPr>
            <w:r>
              <w:rPr>
                <w:sz w:val="18"/>
              </w:rPr>
              <w:t>INVALID_ARGUMENT</w:t>
            </w:r>
          </w:p>
        </w:tc>
      </w:tr>
      <w:tr>
        <w:tc>
          <w:tcPr>
            <w:tcW w:type="dxa" w:w="3168"/>
            <w:vAlign w:val="center"/>
            <w:tcMar>
              <w:top w:w="100" w:type="dxa"/>
              <w:start w:w="120" w:type="dxa"/>
              <w:bottom w:w="100" w:type="dxa"/>
              <w:end w:w="120" w:type="dxa"/>
            </w:tcMar>
          </w:tcPr>
          <w:p>
            <w:pPr>
              <w:spacing w:after="0"/>
            </w:pPr>
            <w:r>
              <w:rPr>
                <w:sz w:val="18"/>
              </w:rPr>
              <w:t>Missing identity</w:t>
            </w:r>
          </w:p>
        </w:tc>
        <w:tc>
          <w:tcPr>
            <w:tcW w:type="dxa" w:w="2592"/>
            <w:vAlign w:val="center"/>
            <w:tcMar>
              <w:top w:w="100" w:type="dxa"/>
              <w:start w:w="120" w:type="dxa"/>
              <w:bottom w:w="100" w:type="dxa"/>
              <w:end w:w="120" w:type="dxa"/>
            </w:tcMar>
          </w:tcPr>
          <w:p>
            <w:pPr>
              <w:spacing w:after="0"/>
            </w:pPr>
            <w:r>
              <w:rPr>
                <w:sz w:val="18"/>
              </w:rPr>
              <w:t>gRPC status</w:t>
            </w:r>
          </w:p>
        </w:tc>
        <w:tc>
          <w:tcPr>
            <w:tcW w:type="dxa" w:w="3816"/>
            <w:vAlign w:val="center"/>
            <w:tcMar>
              <w:top w:w="100" w:type="dxa"/>
              <w:start w:w="120" w:type="dxa"/>
              <w:bottom w:w="100" w:type="dxa"/>
              <w:end w:w="120" w:type="dxa"/>
            </w:tcMar>
          </w:tcPr>
          <w:p>
            <w:pPr>
              <w:spacing w:after="0"/>
            </w:pPr>
            <w:r>
              <w:rPr>
                <w:sz w:val="18"/>
              </w:rPr>
              <w:t>UNAUTHENTICATED</w:t>
            </w:r>
          </w:p>
        </w:tc>
      </w:tr>
      <w:tr>
        <w:tc>
          <w:tcPr>
            <w:tcW w:type="dxa" w:w="3168"/>
            <w:vAlign w:val="center"/>
            <w:tcMar>
              <w:top w:w="100" w:type="dxa"/>
              <w:start w:w="120" w:type="dxa"/>
              <w:bottom w:w="100" w:type="dxa"/>
              <w:end w:w="120" w:type="dxa"/>
            </w:tcMar>
          </w:tcPr>
          <w:p>
            <w:pPr>
              <w:spacing w:after="0"/>
            </w:pPr>
            <w:r>
              <w:rPr>
                <w:sz w:val="18"/>
              </w:rPr>
              <w:t>No permission</w:t>
            </w:r>
          </w:p>
        </w:tc>
        <w:tc>
          <w:tcPr>
            <w:tcW w:type="dxa" w:w="2592"/>
            <w:vAlign w:val="center"/>
            <w:tcMar>
              <w:top w:w="100" w:type="dxa"/>
              <w:start w:w="120" w:type="dxa"/>
              <w:bottom w:w="100" w:type="dxa"/>
              <w:end w:w="120" w:type="dxa"/>
            </w:tcMar>
          </w:tcPr>
          <w:p>
            <w:pPr>
              <w:spacing w:after="0"/>
            </w:pPr>
            <w:r>
              <w:rPr>
                <w:sz w:val="18"/>
              </w:rPr>
              <w:t>gRPC status</w:t>
            </w:r>
          </w:p>
        </w:tc>
        <w:tc>
          <w:tcPr>
            <w:tcW w:type="dxa" w:w="3816"/>
            <w:vAlign w:val="center"/>
            <w:tcMar>
              <w:top w:w="100" w:type="dxa"/>
              <w:start w:w="120" w:type="dxa"/>
              <w:bottom w:w="100" w:type="dxa"/>
              <w:end w:w="120" w:type="dxa"/>
            </w:tcMar>
          </w:tcPr>
          <w:p>
            <w:pPr>
              <w:spacing w:after="0"/>
            </w:pPr>
            <w:r>
              <w:rPr>
                <w:sz w:val="18"/>
              </w:rPr>
              <w:t>PERMISSION_DENIED</w:t>
            </w:r>
          </w:p>
        </w:tc>
      </w:tr>
      <w:tr>
        <w:tc>
          <w:tcPr>
            <w:tcW w:type="dxa" w:w="3168"/>
            <w:vAlign w:val="center"/>
            <w:tcMar>
              <w:top w:w="100" w:type="dxa"/>
              <w:start w:w="120" w:type="dxa"/>
              <w:bottom w:w="100" w:type="dxa"/>
              <w:end w:w="120" w:type="dxa"/>
            </w:tcMar>
          </w:tcPr>
          <w:p>
            <w:pPr>
              <w:spacing w:after="0"/>
            </w:pPr>
            <w:r>
              <w:rPr>
                <w:sz w:val="18"/>
              </w:rPr>
              <w:t>Temporary dependency outage</w:t>
            </w:r>
          </w:p>
        </w:tc>
        <w:tc>
          <w:tcPr>
            <w:tcW w:type="dxa" w:w="2592"/>
            <w:vAlign w:val="center"/>
            <w:tcMar>
              <w:top w:w="100" w:type="dxa"/>
              <w:start w:w="120" w:type="dxa"/>
              <w:bottom w:w="100" w:type="dxa"/>
              <w:end w:w="120" w:type="dxa"/>
            </w:tcMar>
          </w:tcPr>
          <w:p>
            <w:pPr>
              <w:spacing w:after="0"/>
            </w:pPr>
            <w:r>
              <w:rPr>
                <w:sz w:val="18"/>
              </w:rPr>
              <w:t>gRPC status</w:t>
            </w:r>
          </w:p>
        </w:tc>
        <w:tc>
          <w:tcPr>
            <w:tcW w:type="dxa" w:w="3816"/>
            <w:vAlign w:val="center"/>
            <w:tcMar>
              <w:top w:w="100" w:type="dxa"/>
              <w:start w:w="120" w:type="dxa"/>
              <w:bottom w:w="100" w:type="dxa"/>
              <w:end w:w="120" w:type="dxa"/>
            </w:tcMar>
          </w:tcPr>
          <w:p>
            <w:pPr>
              <w:spacing w:after="0"/>
            </w:pPr>
            <w:r>
              <w:rPr>
                <w:sz w:val="18"/>
              </w:rPr>
              <w:t>UNAVAILABLE</w:t>
            </w:r>
          </w:p>
        </w:tc>
      </w:tr>
      <w:tr>
        <w:tc>
          <w:tcPr>
            <w:tcW w:type="dxa" w:w="3168"/>
            <w:vAlign w:val="center"/>
            <w:tcMar>
              <w:top w:w="100" w:type="dxa"/>
              <w:start w:w="120" w:type="dxa"/>
              <w:bottom w:w="100" w:type="dxa"/>
              <w:end w:w="120" w:type="dxa"/>
            </w:tcMar>
          </w:tcPr>
          <w:p>
            <w:pPr>
              <w:spacing w:after="0"/>
            </w:pPr>
            <w:r>
              <w:rPr>
                <w:sz w:val="18"/>
              </w:rPr>
              <w:t>Expected business rejection</w:t>
            </w:r>
          </w:p>
        </w:tc>
        <w:tc>
          <w:tcPr>
            <w:tcW w:type="dxa" w:w="2592"/>
            <w:vAlign w:val="center"/>
            <w:tcMar>
              <w:top w:w="100" w:type="dxa"/>
              <w:start w:w="120" w:type="dxa"/>
              <w:bottom w:w="100" w:type="dxa"/>
              <w:end w:w="120" w:type="dxa"/>
            </w:tcMar>
          </w:tcPr>
          <w:p>
            <w:pPr>
              <w:spacing w:after="0"/>
            </w:pPr>
            <w:r>
              <w:rPr>
                <w:sz w:val="18"/>
              </w:rPr>
              <w:t>Typed response</w:t>
            </w:r>
          </w:p>
        </w:tc>
        <w:tc>
          <w:tcPr>
            <w:tcW w:type="dxa" w:w="3816"/>
            <w:vAlign w:val="center"/>
            <w:tcMar>
              <w:top w:w="100" w:type="dxa"/>
              <w:start w:w="120" w:type="dxa"/>
              <w:bottom w:w="100" w:type="dxa"/>
              <w:end w:w="120" w:type="dxa"/>
            </w:tcMar>
          </w:tcPr>
          <w:p>
            <w:pPr>
              <w:spacing w:after="0"/>
            </w:pPr>
            <w:r>
              <w:rPr>
                <w:sz w:val="18"/>
              </w:rPr>
              <w:t>INSUFFICIENT_FUNDS</w:t>
            </w:r>
          </w:p>
        </w:tc>
      </w:tr>
      <w:tr>
        <w:tc>
          <w:tcPr>
            <w:tcW w:type="dxa" w:w="3168"/>
            <w:vAlign w:val="center"/>
            <w:tcMar>
              <w:top w:w="100" w:type="dxa"/>
              <w:start w:w="120" w:type="dxa"/>
              <w:bottom w:w="100" w:type="dxa"/>
              <w:end w:w="120" w:type="dxa"/>
            </w:tcMar>
          </w:tcPr>
          <w:p>
            <w:pPr>
              <w:spacing w:after="0"/>
            </w:pPr>
            <w:r>
              <w:rPr>
                <w:sz w:val="18"/>
              </w:rPr>
              <w:t>Optimistic concurrency conflict</w:t>
            </w:r>
          </w:p>
        </w:tc>
        <w:tc>
          <w:tcPr>
            <w:tcW w:type="dxa" w:w="2592"/>
            <w:vAlign w:val="center"/>
            <w:tcMar>
              <w:top w:w="100" w:type="dxa"/>
              <w:start w:w="120" w:type="dxa"/>
              <w:bottom w:w="100" w:type="dxa"/>
              <w:end w:w="120" w:type="dxa"/>
            </w:tcMar>
          </w:tcPr>
          <w:p>
            <w:pPr>
              <w:spacing w:after="0"/>
            </w:pPr>
            <w:r>
              <w:rPr>
                <w:sz w:val="18"/>
              </w:rPr>
              <w:t>Status or typed outcome</w:t>
            </w:r>
          </w:p>
        </w:tc>
        <w:tc>
          <w:tcPr>
            <w:tcW w:type="dxa" w:w="3816"/>
            <w:vAlign w:val="center"/>
            <w:tcMar>
              <w:top w:w="100" w:type="dxa"/>
              <w:start w:w="120" w:type="dxa"/>
              <w:bottom w:w="100" w:type="dxa"/>
              <w:end w:w="120" w:type="dxa"/>
            </w:tcMar>
          </w:tcPr>
          <w:p>
            <w:pPr>
              <w:spacing w:after="0"/>
            </w:pPr>
            <w:r>
              <w:rPr>
                <w:sz w:val="18"/>
              </w:rPr>
              <w:t>ABORTED with current version metadata</w:t>
            </w:r>
          </w:p>
        </w:tc>
      </w:tr>
    </w:tbl>
    <w:p/>
    <w:p>
      <w:pPr>
        <w:pStyle w:val="CodeBlock"/>
      </w:pPr>
      <w:r>
        <w:rPr>
          <w:rFonts w:ascii="Consolas" w:hAnsi="Consolas"/>
          <w:sz w:val="17"/>
        </w:rPr>
        <w:t>message TransferResponse {</w:t>
        <w:br/>
      </w:r>
      <w:r>
        <w:rPr>
          <w:rFonts w:ascii="Consolas" w:hAnsi="Consolas"/>
          <w:sz w:val="17"/>
        </w:rPr>
        <w:t xml:space="preserve">  string transfer_id = 1;</w:t>
        <w:br/>
      </w:r>
      <w:r>
        <w:rPr>
          <w:rFonts w:ascii="Consolas" w:hAnsi="Consolas"/>
          <w:sz w:val="17"/>
        </w:rPr>
        <w:t xml:space="preserve">  TransferStatus status = 2;</w:t>
        <w:br/>
      </w:r>
      <w:r>
        <w:rPr>
          <w:rFonts w:ascii="Consolas" w:hAnsi="Consolas"/>
          <w:sz w:val="17"/>
        </w:rPr>
        <w:t xml:space="preserve">  TransferRejectionReason rejection_reason = 3;</w:t>
        <w:br/>
      </w:r>
      <w:r>
        <w:rPr>
          <w:rFonts w:ascii="Consolas" w:hAnsi="Consolas"/>
          <w:sz w:val="17"/>
        </w:rPr>
        <w:t>}</w:t>
        <w:br/>
      </w:r>
      <w:r>
        <w:rPr>
          <w:rFonts w:ascii="Consolas" w:hAnsi="Consolas"/>
          <w:sz w:val="17"/>
        </w:rPr>
        <w:br/>
      </w:r>
      <w:r>
        <w:rPr>
          <w:rFonts w:ascii="Consolas" w:hAnsi="Consolas"/>
          <w:sz w:val="17"/>
        </w:rPr>
        <w:t>// INSUFFICIENT_FUNDS is a business outcome.</w:t>
        <w:br/>
      </w:r>
      <w:r>
        <w:rPr>
          <w:rFonts w:ascii="Consolas" w:hAnsi="Consolas"/>
          <w:sz w:val="17"/>
        </w:rPr>
        <w:t>// UNAVAILABLE indicates the service could not complete the RPC reliably.</w:t>
        <w:br/>
      </w:r>
    </w:p>
    <w:p>
      <w:pPr>
        <w:pStyle w:val="Title"/>
      </w:pPr>
      <w:r>
        <w:t>4. Deadlines, cancellation, retries, and idempotency</w:t>
      </w:r>
    </w:p>
    <w:p>
      <w:r>
        <w:t>These are the most important production design topics in gRPC. A fast serialization format cannot compensate for calls that wait indefinitely or retry unsafe operations.</w:t>
      </w:r>
    </w:p>
    <w:p>
      <w:pPr>
        <w:pStyle w:val="Heading1"/>
      </w:pPr>
      <w:r>
        <w:t>4.1 Deadline budgets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7365D"/>
            <w:vAlign w:val="center"/>
            <w:tcMar>
              <w:top w:w="100" w:type="dxa"/>
              <w:start w:w="120" w:type="dxa"/>
              <w:bottom w:w="100" w:type="dxa"/>
              <w:end w:w="120" w:type="dxa"/>
            </w:tcMar>
          </w:tcPr>
          <w:p>
            <w:r>
              <w:rPr>
                <w:b/>
                <w:color w:val="FFFFFF"/>
                <w:sz w:val="19"/>
              </w:rPr>
              <w:t>Layer</w:t>
            </w:r>
          </w:p>
        </w:tc>
        <w:tc>
          <w:tcPr>
            <w:tcW w:type="dxa" w:w="2016"/>
            <w:shd w:fill="17365D"/>
            <w:vAlign w:val="center"/>
            <w:tcMar>
              <w:top w:w="100" w:type="dxa"/>
              <w:start w:w="120" w:type="dxa"/>
              <w:bottom w:w="100" w:type="dxa"/>
              <w:end w:w="120" w:type="dxa"/>
            </w:tcMar>
          </w:tcPr>
          <w:p>
            <w:r>
              <w:rPr>
                <w:b/>
                <w:color w:val="FFFFFF"/>
                <w:sz w:val="19"/>
              </w:rPr>
              <w:t>Example budget</w:t>
            </w:r>
          </w:p>
        </w:tc>
        <w:tc>
          <w:tcPr>
            <w:tcW w:type="dxa" w:w="4608"/>
            <w:shd w:fill="17365D"/>
            <w:vAlign w:val="center"/>
            <w:tcMar>
              <w:top w:w="100" w:type="dxa"/>
              <w:start w:w="120" w:type="dxa"/>
              <w:bottom w:w="100" w:type="dxa"/>
              <w:end w:w="120" w:type="dxa"/>
            </w:tcMar>
          </w:tcPr>
          <w:p>
            <w:r>
              <w:rPr>
                <w:b/>
                <w:color w:val="FFFFFF"/>
                <w:sz w:val="19"/>
              </w:rPr>
              <w:t>Rule</w:t>
            </w:r>
          </w:p>
        </w:tc>
      </w:tr>
      <w:tr>
        <w:tc>
          <w:tcPr>
            <w:tcW w:type="dxa" w:w="2880"/>
            <w:vAlign w:val="center"/>
            <w:tcMar>
              <w:top w:w="100" w:type="dxa"/>
              <w:start w:w="120" w:type="dxa"/>
              <w:bottom w:w="100" w:type="dxa"/>
              <w:end w:w="120" w:type="dxa"/>
            </w:tcMar>
          </w:tcPr>
          <w:p>
            <w:pPr>
              <w:spacing w:after="0"/>
            </w:pPr>
            <w:r>
              <w:rPr>
                <w:sz w:val="18"/>
              </w:rPr>
              <w:t>External request</w:t>
            </w:r>
          </w:p>
        </w:tc>
        <w:tc>
          <w:tcPr>
            <w:tcW w:type="dxa" w:w="2016"/>
            <w:vAlign w:val="center"/>
            <w:tcMar>
              <w:top w:w="100" w:type="dxa"/>
              <w:start w:w="120" w:type="dxa"/>
              <w:bottom w:w="100" w:type="dxa"/>
              <w:end w:w="120" w:type="dxa"/>
            </w:tcMar>
          </w:tcPr>
          <w:p>
            <w:pPr>
              <w:spacing w:after="0"/>
            </w:pPr>
            <w:r>
              <w:rPr>
                <w:sz w:val="18"/>
              </w:rPr>
              <w:t>1,000 ms</w:t>
            </w:r>
          </w:p>
        </w:tc>
        <w:tc>
          <w:tcPr>
            <w:tcW w:type="dxa" w:w="4608"/>
            <w:vAlign w:val="center"/>
            <w:tcMar>
              <w:top w:w="100" w:type="dxa"/>
              <w:start w:w="120" w:type="dxa"/>
              <w:bottom w:w="100" w:type="dxa"/>
              <w:end w:w="120" w:type="dxa"/>
            </w:tcMar>
          </w:tcPr>
          <w:p>
            <w:pPr>
              <w:spacing w:after="0"/>
            </w:pPr>
            <w:r>
              <w:rPr>
                <w:sz w:val="18"/>
              </w:rPr>
              <w:t>Overall user-visible deadline</w:t>
            </w:r>
          </w:p>
        </w:tc>
      </w:tr>
      <w:tr>
        <w:tc>
          <w:tcPr>
            <w:tcW w:type="dxa" w:w="2880"/>
            <w:vAlign w:val="center"/>
            <w:tcMar>
              <w:top w:w="100" w:type="dxa"/>
              <w:start w:w="120" w:type="dxa"/>
              <w:bottom w:w="100" w:type="dxa"/>
              <w:end w:w="120" w:type="dxa"/>
            </w:tcMar>
          </w:tcPr>
          <w:p>
            <w:pPr>
              <w:spacing w:after="0"/>
            </w:pPr>
            <w:r>
              <w:rPr>
                <w:sz w:val="18"/>
              </w:rPr>
              <w:t>Order service processing</w:t>
            </w:r>
          </w:p>
        </w:tc>
        <w:tc>
          <w:tcPr>
            <w:tcW w:type="dxa" w:w="2016"/>
            <w:vAlign w:val="center"/>
            <w:tcMar>
              <w:top w:w="100" w:type="dxa"/>
              <w:start w:w="120" w:type="dxa"/>
              <w:bottom w:w="100" w:type="dxa"/>
              <w:end w:w="120" w:type="dxa"/>
            </w:tcMar>
          </w:tcPr>
          <w:p>
            <w:pPr>
              <w:spacing w:after="0"/>
            </w:pPr>
            <w:r>
              <w:rPr>
                <w:sz w:val="18"/>
              </w:rPr>
              <w:t>800 ms</w:t>
            </w:r>
          </w:p>
        </w:tc>
        <w:tc>
          <w:tcPr>
            <w:tcW w:type="dxa" w:w="4608"/>
            <w:vAlign w:val="center"/>
            <w:tcMar>
              <w:top w:w="100" w:type="dxa"/>
              <w:start w:w="120" w:type="dxa"/>
              <w:bottom w:w="100" w:type="dxa"/>
              <w:end w:w="120" w:type="dxa"/>
            </w:tcMar>
          </w:tcPr>
          <w:p>
            <w:pPr>
              <w:spacing w:after="0"/>
            </w:pPr>
            <w:r>
              <w:rPr>
                <w:sz w:val="18"/>
              </w:rPr>
              <w:t>Reserve gateway/network overhead</w:t>
            </w:r>
          </w:p>
        </w:tc>
      </w:tr>
      <w:tr>
        <w:tc>
          <w:tcPr>
            <w:tcW w:type="dxa" w:w="2880"/>
            <w:vAlign w:val="center"/>
            <w:tcMar>
              <w:top w:w="100" w:type="dxa"/>
              <w:start w:w="120" w:type="dxa"/>
              <w:bottom w:w="100" w:type="dxa"/>
              <w:end w:w="120" w:type="dxa"/>
            </w:tcMar>
          </w:tcPr>
          <w:p>
            <w:pPr>
              <w:spacing w:after="0"/>
            </w:pPr>
            <w:r>
              <w:rPr>
                <w:sz w:val="18"/>
              </w:rPr>
              <w:t>Payment authorization</w:t>
            </w:r>
          </w:p>
        </w:tc>
        <w:tc>
          <w:tcPr>
            <w:tcW w:type="dxa" w:w="2016"/>
            <w:vAlign w:val="center"/>
            <w:tcMar>
              <w:top w:w="100" w:type="dxa"/>
              <w:start w:w="120" w:type="dxa"/>
              <w:bottom w:w="100" w:type="dxa"/>
              <w:end w:w="120" w:type="dxa"/>
            </w:tcMar>
          </w:tcPr>
          <w:p>
            <w:pPr>
              <w:spacing w:after="0"/>
            </w:pPr>
            <w:r>
              <w:rPr>
                <w:sz w:val="18"/>
              </w:rPr>
              <w:t>300 ms</w:t>
            </w:r>
          </w:p>
        </w:tc>
        <w:tc>
          <w:tcPr>
            <w:tcW w:type="dxa" w:w="4608"/>
            <w:vAlign w:val="center"/>
            <w:tcMar>
              <w:top w:w="100" w:type="dxa"/>
              <w:start w:w="120" w:type="dxa"/>
              <w:bottom w:w="100" w:type="dxa"/>
              <w:end w:w="120" w:type="dxa"/>
            </w:tcMar>
          </w:tcPr>
          <w:p>
            <w:pPr>
              <w:spacing w:after="0"/>
            </w:pPr>
            <w:r>
              <w:rPr>
                <w:sz w:val="18"/>
              </w:rPr>
              <w:t>Must complete within caller deadline</w:t>
            </w:r>
          </w:p>
        </w:tc>
      </w:tr>
      <w:tr>
        <w:tc>
          <w:tcPr>
            <w:tcW w:type="dxa" w:w="2880"/>
            <w:vAlign w:val="center"/>
            <w:tcMar>
              <w:top w:w="100" w:type="dxa"/>
              <w:start w:w="120" w:type="dxa"/>
              <w:bottom w:w="100" w:type="dxa"/>
              <w:end w:w="120" w:type="dxa"/>
            </w:tcMar>
          </w:tcPr>
          <w:p>
            <w:pPr>
              <w:spacing w:after="0"/>
            </w:pPr>
            <w:r>
              <w:rPr>
                <w:sz w:val="18"/>
              </w:rPr>
              <w:t>Inventory reservation</w:t>
            </w:r>
          </w:p>
        </w:tc>
        <w:tc>
          <w:tcPr>
            <w:tcW w:type="dxa" w:w="2016"/>
            <w:vAlign w:val="center"/>
            <w:tcMar>
              <w:top w:w="100" w:type="dxa"/>
              <w:start w:w="120" w:type="dxa"/>
              <w:bottom w:w="100" w:type="dxa"/>
              <w:end w:w="120" w:type="dxa"/>
            </w:tcMar>
          </w:tcPr>
          <w:p>
            <w:pPr>
              <w:spacing w:after="0"/>
            </w:pPr>
            <w:r>
              <w:rPr>
                <w:sz w:val="18"/>
              </w:rPr>
              <w:t>200 ms</w:t>
            </w:r>
          </w:p>
        </w:tc>
        <w:tc>
          <w:tcPr>
            <w:tcW w:type="dxa" w:w="4608"/>
            <w:vAlign w:val="center"/>
            <w:tcMar>
              <w:top w:w="100" w:type="dxa"/>
              <w:start w:w="120" w:type="dxa"/>
              <w:bottom w:w="100" w:type="dxa"/>
              <w:end w:w="120" w:type="dxa"/>
            </w:tcMar>
          </w:tcPr>
          <w:p>
            <w:pPr>
              <w:spacing w:after="0"/>
            </w:pPr>
            <w:r>
              <w:rPr>
                <w:sz w:val="18"/>
              </w:rPr>
              <w:t>Parallelize when independent</w:t>
            </w:r>
          </w:p>
        </w:tc>
      </w:tr>
      <w:tr>
        <w:tc>
          <w:tcPr>
            <w:tcW w:type="dxa" w:w="2880"/>
            <w:vAlign w:val="center"/>
            <w:tcMar>
              <w:top w:w="100" w:type="dxa"/>
              <w:start w:w="120" w:type="dxa"/>
              <w:bottom w:w="100" w:type="dxa"/>
              <w:end w:w="120" w:type="dxa"/>
            </w:tcMar>
          </w:tcPr>
          <w:p>
            <w:pPr>
              <w:spacing w:after="0"/>
            </w:pPr>
            <w:r>
              <w:rPr>
                <w:sz w:val="18"/>
              </w:rPr>
              <w:t>Safety reserve</w:t>
            </w:r>
          </w:p>
        </w:tc>
        <w:tc>
          <w:tcPr>
            <w:tcW w:type="dxa" w:w="2016"/>
            <w:vAlign w:val="center"/>
            <w:tcMar>
              <w:top w:w="100" w:type="dxa"/>
              <w:start w:w="120" w:type="dxa"/>
              <w:bottom w:w="100" w:type="dxa"/>
              <w:end w:w="120" w:type="dxa"/>
            </w:tcMar>
          </w:tcPr>
          <w:p>
            <w:pPr>
              <w:spacing w:after="0"/>
            </w:pPr>
            <w:r>
              <w:rPr>
                <w:sz w:val="18"/>
              </w:rPr>
              <w:t>300 ms</w:t>
            </w:r>
          </w:p>
        </w:tc>
        <w:tc>
          <w:tcPr>
            <w:tcW w:type="dxa" w:w="4608"/>
            <w:vAlign w:val="center"/>
            <w:tcMar>
              <w:top w:w="100" w:type="dxa"/>
              <w:start w:w="120" w:type="dxa"/>
              <w:bottom w:w="100" w:type="dxa"/>
              <w:end w:w="120" w:type="dxa"/>
            </w:tcMar>
          </w:tcPr>
          <w:p>
            <w:pPr>
              <w:spacing w:after="0"/>
            </w:pPr>
            <w:r>
              <w:rPr>
                <w:sz w:val="18"/>
              </w:rPr>
              <w:t>Allows serialization, queuing, and response</w:t>
            </w:r>
          </w:p>
        </w:tc>
      </w:tr>
    </w:tbl>
    <w:p/>
    <w:p>
      <w:pPr>
        <w:pStyle w:val="ListBullet"/>
      </w:pPr>
      <w:r>
        <w:t>Every RPC should have a deadline.</w:t>
      </w:r>
    </w:p>
    <w:p>
      <w:pPr>
        <w:pStyle w:val="ListBullet"/>
      </w:pPr>
      <w:r>
        <w:t>The callee must stop unnecessary work when cancellation propagates.</w:t>
      </w:r>
    </w:p>
    <w:p>
      <w:pPr>
        <w:pStyle w:val="ListBullet"/>
      </w:pPr>
      <w:r>
        <w:t>A child deadline must not exceed the remaining parent deadline.</w:t>
      </w:r>
    </w:p>
    <w:p>
      <w:pPr>
        <w:pStyle w:val="ListBullet"/>
      </w:pPr>
      <w:r>
        <w:t>Do not assign every downstream call the full external timeout.</w:t>
      </w:r>
    </w:p>
    <w:p>
      <w:pPr>
        <w:pStyle w:val="Heading1"/>
      </w:pPr>
      <w:r>
        <w:t>4.2 Retry ownership</w:t>
      </w:r>
    </w:p>
    <w:p>
      <w:r>
        <w:t>Retries multiply when the client library, service mesh, and application all retry. Define one primary retry owner and a total attempt budget.</w:t>
      </w:r>
    </w:p>
    <w:p>
      <w:pPr>
        <w:pStyle w:val="CodeBlock"/>
      </w:pPr>
      <w:r>
        <w:rPr>
          <w:rFonts w:ascii="Consolas" w:hAnsi="Consolas"/>
          <w:sz w:val="17"/>
        </w:rPr>
        <w:t>Client: 3 attempts</w:t>
        <w:br/>
      </w:r>
      <w:r>
        <w:rPr>
          <w:rFonts w:ascii="Consolas" w:hAnsi="Consolas"/>
          <w:sz w:val="17"/>
        </w:rPr>
        <w:t>Service mesh: 3 attempts</w:t>
        <w:br/>
      </w:r>
      <w:r>
        <w:rPr>
          <w:rFonts w:ascii="Consolas" w:hAnsi="Consolas"/>
          <w:sz w:val="17"/>
        </w:rPr>
        <w:t>Application dependency client: 3 attempts</w:t>
        <w:br/>
      </w:r>
      <w:r>
        <w:rPr>
          <w:rFonts w:ascii="Consolas" w:hAnsi="Consolas"/>
          <w:sz w:val="17"/>
        </w:rPr>
        <w:br/>
      </w:r>
      <w:r>
        <w:rPr>
          <w:rFonts w:ascii="Consolas" w:hAnsi="Consolas"/>
          <w:sz w:val="17"/>
        </w:rPr>
        <w:t>Worst-case attempts = 3 × 3 × 3 = 27</w:t>
        <w:br/>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17365D"/>
            <w:vAlign w:val="center"/>
            <w:tcMar>
              <w:top w:w="100" w:type="dxa"/>
              <w:start w:w="120" w:type="dxa"/>
              <w:bottom w:w="100" w:type="dxa"/>
              <w:end w:w="120" w:type="dxa"/>
            </w:tcMar>
          </w:tcPr>
          <w:p>
            <w:r>
              <w:rPr>
                <w:b/>
                <w:color w:val="FFFFFF"/>
                <w:sz w:val="19"/>
              </w:rPr>
              <w:t>Retry?</w:t>
            </w:r>
          </w:p>
        </w:tc>
        <w:tc>
          <w:tcPr>
            <w:tcW w:type="dxa" w:w="6336"/>
            <w:shd w:fill="17365D"/>
            <w:vAlign w:val="center"/>
            <w:tcMar>
              <w:top w:w="100" w:type="dxa"/>
              <w:start w:w="120" w:type="dxa"/>
              <w:bottom w:w="100" w:type="dxa"/>
              <w:end w:w="120" w:type="dxa"/>
            </w:tcMar>
          </w:tcPr>
          <w:p>
            <w:r>
              <w:rPr>
                <w:b/>
                <w:color w:val="FFFFFF"/>
                <w:sz w:val="19"/>
              </w:rPr>
              <w:t>Examples</w:t>
            </w:r>
          </w:p>
        </w:tc>
      </w:tr>
      <w:tr>
        <w:tc>
          <w:tcPr>
            <w:tcW w:type="dxa" w:w="3168"/>
            <w:vAlign w:val="center"/>
            <w:tcMar>
              <w:top w:w="100" w:type="dxa"/>
              <w:start w:w="120" w:type="dxa"/>
              <w:bottom w:w="100" w:type="dxa"/>
              <w:end w:w="120" w:type="dxa"/>
            </w:tcMar>
          </w:tcPr>
          <w:p>
            <w:pPr>
              <w:spacing w:after="0"/>
            </w:pPr>
            <w:r>
              <w:rPr>
                <w:sz w:val="18"/>
              </w:rPr>
              <w:t>Usually safe with bounds</w:t>
            </w:r>
          </w:p>
        </w:tc>
        <w:tc>
          <w:tcPr>
            <w:tcW w:type="dxa" w:w="6336"/>
            <w:vAlign w:val="center"/>
            <w:tcMar>
              <w:top w:w="100" w:type="dxa"/>
              <w:start w:w="120" w:type="dxa"/>
              <w:bottom w:w="100" w:type="dxa"/>
              <w:end w:w="120" w:type="dxa"/>
            </w:tcMar>
          </w:tcPr>
          <w:p>
            <w:pPr>
              <w:spacing w:after="0"/>
            </w:pPr>
            <w:r>
              <w:rPr>
                <w:sz w:val="18"/>
              </w:rPr>
              <w:t>UNAVAILABLE, transient connection reset, idempotent reads</w:t>
            </w:r>
          </w:p>
        </w:tc>
      </w:tr>
      <w:tr>
        <w:tc>
          <w:tcPr>
            <w:tcW w:type="dxa" w:w="3168"/>
            <w:vAlign w:val="center"/>
            <w:tcMar>
              <w:top w:w="100" w:type="dxa"/>
              <w:start w:w="120" w:type="dxa"/>
              <w:bottom w:w="100" w:type="dxa"/>
              <w:end w:w="120" w:type="dxa"/>
            </w:tcMar>
          </w:tcPr>
          <w:p>
            <w:pPr>
              <w:spacing w:after="0"/>
            </w:pPr>
            <w:r>
              <w:rPr>
                <w:sz w:val="18"/>
              </w:rPr>
              <w:t>Only with idempotency</w:t>
            </w:r>
          </w:p>
        </w:tc>
        <w:tc>
          <w:tcPr>
            <w:tcW w:type="dxa" w:w="6336"/>
            <w:vAlign w:val="center"/>
            <w:tcMar>
              <w:top w:w="100" w:type="dxa"/>
              <w:start w:w="120" w:type="dxa"/>
              <w:bottom w:w="100" w:type="dxa"/>
              <w:end w:w="120" w:type="dxa"/>
            </w:tcMar>
          </w:tcPr>
          <w:p>
            <w:pPr>
              <w:spacing w:after="0"/>
            </w:pPr>
            <w:r>
              <w:rPr>
                <w:sz w:val="18"/>
              </w:rPr>
              <w:t>Create payment, reserve inventory, submit order</w:t>
            </w:r>
          </w:p>
        </w:tc>
      </w:tr>
      <w:tr>
        <w:tc>
          <w:tcPr>
            <w:tcW w:type="dxa" w:w="3168"/>
            <w:vAlign w:val="center"/>
            <w:tcMar>
              <w:top w:w="100" w:type="dxa"/>
              <w:start w:w="120" w:type="dxa"/>
              <w:bottom w:w="100" w:type="dxa"/>
              <w:end w:w="120" w:type="dxa"/>
            </w:tcMar>
          </w:tcPr>
          <w:p>
            <w:pPr>
              <w:spacing w:after="0"/>
            </w:pPr>
            <w:r>
              <w:rPr>
                <w:sz w:val="18"/>
              </w:rPr>
              <w:t>Do not retry</w:t>
            </w:r>
          </w:p>
        </w:tc>
        <w:tc>
          <w:tcPr>
            <w:tcW w:type="dxa" w:w="6336"/>
            <w:vAlign w:val="center"/>
            <w:tcMar>
              <w:top w:w="100" w:type="dxa"/>
              <w:start w:w="120" w:type="dxa"/>
              <w:bottom w:w="100" w:type="dxa"/>
              <w:end w:w="120" w:type="dxa"/>
            </w:tcMar>
          </w:tcPr>
          <w:p>
            <w:pPr>
              <w:spacing w:after="0"/>
            </w:pPr>
            <w:r>
              <w:rPr>
                <w:sz w:val="18"/>
              </w:rPr>
              <w:t>INVALID_ARGUMENT, PERMISSION_DENIED, expected business rejection</w:t>
            </w:r>
          </w:p>
        </w:tc>
      </w:tr>
    </w:tbl>
    <w:p/>
    <w:p>
      <w:pPr>
        <w:pStyle w:val="Heading1"/>
      </w:pPr>
      <w:r>
        <w:t>4.3 Idempotent command design</w:t>
      </w:r>
    </w:p>
    <w:p>
      <w:pPr>
        <w:pStyle w:val="CodeBlock"/>
      </w:pPr>
      <w:r>
        <w:rPr>
          <w:rFonts w:ascii="Consolas" w:hAnsi="Consolas"/>
          <w:sz w:val="17"/>
        </w:rPr>
        <w:t>message CreatePaymentRequest {</w:t>
        <w:br/>
      </w:r>
      <w:r>
        <w:rPr>
          <w:rFonts w:ascii="Consolas" w:hAnsi="Consolas"/>
          <w:sz w:val="17"/>
        </w:rPr>
        <w:t xml:space="preserve">  string idempotency_key = 1;</w:t>
        <w:br/>
      </w:r>
      <w:r>
        <w:rPr>
          <w:rFonts w:ascii="Consolas" w:hAnsi="Consolas"/>
          <w:sz w:val="17"/>
        </w:rPr>
        <w:t xml:space="preserve">  string account_id = 2;</w:t>
        <w:br/>
      </w:r>
      <w:r>
        <w:rPr>
          <w:rFonts w:ascii="Consolas" w:hAnsi="Consolas"/>
          <w:sz w:val="17"/>
        </w:rPr>
        <w:t xml:space="preserve">  Money amount = 3;</w:t>
        <w:br/>
      </w:r>
      <w:r>
        <w:rPr>
          <w:rFonts w:ascii="Consolas" w:hAnsi="Consolas"/>
          <w:sz w:val="17"/>
        </w:rPr>
        <w:t xml:space="preserve">  string merchant_reference = 4;</w:t>
        <w:br/>
      </w:r>
      <w:r>
        <w:rPr>
          <w:rFonts w:ascii="Consolas" w:hAnsi="Consolas"/>
          <w:sz w:val="17"/>
        </w:rPr>
        <w:t>}</w:t>
        <w:br/>
      </w:r>
    </w:p>
    <w:p>
      <w:pPr>
        <w:pStyle w:val="ListBullet"/>
      </w:pPr>
      <w:r>
        <w:t>Scope the key by caller or tenant.</w:t>
      </w:r>
    </w:p>
    <w:p>
      <w:pPr>
        <w:pStyle w:val="ListBullet"/>
      </w:pPr>
      <w:r>
        <w:t>Store a request fingerprint and original outcome.</w:t>
      </w:r>
    </w:p>
    <w:p>
      <w:pPr>
        <w:pStyle w:val="ListBullet"/>
      </w:pPr>
      <w:r>
        <w:t>Reject reuse with a different payload.</w:t>
      </w:r>
    </w:p>
    <w:p>
      <w:pPr>
        <w:pStyle w:val="ListBullet"/>
      </w:pPr>
      <w:r>
        <w:t>Handle concurrent duplicate submissions atomically.</w:t>
      </w:r>
    </w:p>
    <w:p>
      <w:pPr>
        <w:pStyle w:val="ListBullet"/>
      </w:pPr>
      <w:r>
        <w:t>Retain keys for a period based on retry and business risk.</w:t>
      </w:r>
    </w:p>
    <w:p>
      <w:pPr>
        <w:pStyle w:val="Title"/>
      </w:pPr>
      <w:r>
        <w:t>5. Streaming and backpressure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17365D"/>
            <w:vAlign w:val="center"/>
            <w:tcMar>
              <w:top w:w="100" w:type="dxa"/>
              <w:start w:w="120" w:type="dxa"/>
              <w:bottom w:w="100" w:type="dxa"/>
              <w:end w:w="120" w:type="dxa"/>
            </w:tcMar>
          </w:tcPr>
          <w:p>
            <w:r>
              <w:rPr>
                <w:b/>
                <w:color w:val="FFFFFF"/>
                <w:sz w:val="19"/>
              </w:rPr>
              <w:t>RPC type</w:t>
            </w:r>
          </w:p>
        </w:tc>
        <w:tc>
          <w:tcPr>
            <w:tcW w:type="dxa" w:w="2376"/>
            <w:shd w:fill="17365D"/>
            <w:vAlign w:val="center"/>
            <w:tcMar>
              <w:top w:w="100" w:type="dxa"/>
              <w:start w:w="120" w:type="dxa"/>
              <w:bottom w:w="100" w:type="dxa"/>
              <w:end w:w="120" w:type="dxa"/>
            </w:tcMar>
          </w:tcPr>
          <w:p>
            <w:r>
              <w:rPr>
                <w:b/>
                <w:color w:val="FFFFFF"/>
                <w:sz w:val="19"/>
              </w:rPr>
              <w:t>Flow</w:t>
            </w:r>
          </w:p>
        </w:tc>
        <w:tc>
          <w:tcPr>
            <w:tcW w:type="dxa" w:w="4752"/>
            <w:shd w:fill="17365D"/>
            <w:vAlign w:val="center"/>
            <w:tcMar>
              <w:top w:w="100" w:type="dxa"/>
              <w:start w:w="120" w:type="dxa"/>
              <w:bottom w:w="100" w:type="dxa"/>
              <w:end w:w="120" w:type="dxa"/>
            </w:tcMar>
          </w:tcPr>
          <w:p>
            <w:r>
              <w:rPr>
                <w:b/>
                <w:color w:val="FFFFFF"/>
                <w:sz w:val="19"/>
              </w:rPr>
              <w:t>Practical use</w:t>
            </w:r>
          </w:p>
        </w:tc>
      </w:tr>
      <w:tr>
        <w:tc>
          <w:tcPr>
            <w:tcW w:type="dxa" w:w="2304"/>
            <w:vAlign w:val="center"/>
            <w:tcMar>
              <w:top w:w="100" w:type="dxa"/>
              <w:start w:w="120" w:type="dxa"/>
              <w:bottom w:w="100" w:type="dxa"/>
              <w:end w:w="120" w:type="dxa"/>
            </w:tcMar>
          </w:tcPr>
          <w:p>
            <w:pPr>
              <w:spacing w:after="0"/>
            </w:pPr>
            <w:r>
              <w:rPr>
                <w:sz w:val="18"/>
              </w:rPr>
              <w:t>Unary</w:t>
            </w:r>
          </w:p>
        </w:tc>
        <w:tc>
          <w:tcPr>
            <w:tcW w:type="dxa" w:w="2376"/>
            <w:vAlign w:val="center"/>
            <w:tcMar>
              <w:top w:w="100" w:type="dxa"/>
              <w:start w:w="120" w:type="dxa"/>
              <w:bottom w:w="100" w:type="dxa"/>
              <w:end w:w="120" w:type="dxa"/>
            </w:tcMar>
          </w:tcPr>
          <w:p>
            <w:pPr>
              <w:spacing w:after="0"/>
            </w:pPr>
            <w:r>
              <w:rPr>
                <w:sz w:val="18"/>
              </w:rPr>
              <w:t>1 request → 1 response</w:t>
            </w:r>
          </w:p>
        </w:tc>
        <w:tc>
          <w:tcPr>
            <w:tcW w:type="dxa" w:w="4752"/>
            <w:vAlign w:val="center"/>
            <w:tcMar>
              <w:top w:w="100" w:type="dxa"/>
              <w:start w:w="120" w:type="dxa"/>
              <w:bottom w:w="100" w:type="dxa"/>
              <w:end w:w="120" w:type="dxa"/>
            </w:tcMar>
          </w:tcPr>
          <w:p>
            <w:pPr>
              <w:spacing w:after="0"/>
            </w:pPr>
            <w:r>
              <w:rPr>
                <w:sz w:val="18"/>
              </w:rPr>
              <w:t>Risk score, order lookup</w:t>
            </w:r>
          </w:p>
        </w:tc>
      </w:tr>
      <w:tr>
        <w:tc>
          <w:tcPr>
            <w:tcW w:type="dxa" w:w="2304"/>
            <w:vAlign w:val="center"/>
            <w:tcMar>
              <w:top w:w="100" w:type="dxa"/>
              <w:start w:w="120" w:type="dxa"/>
              <w:bottom w:w="100" w:type="dxa"/>
              <w:end w:w="120" w:type="dxa"/>
            </w:tcMar>
          </w:tcPr>
          <w:p>
            <w:pPr>
              <w:spacing w:after="0"/>
            </w:pPr>
            <w:r>
              <w:rPr>
                <w:sz w:val="18"/>
              </w:rPr>
              <w:t>Server streaming</w:t>
            </w:r>
          </w:p>
        </w:tc>
        <w:tc>
          <w:tcPr>
            <w:tcW w:type="dxa" w:w="2376"/>
            <w:vAlign w:val="center"/>
            <w:tcMar>
              <w:top w:w="100" w:type="dxa"/>
              <w:start w:w="120" w:type="dxa"/>
              <w:bottom w:w="100" w:type="dxa"/>
              <w:end w:w="120" w:type="dxa"/>
            </w:tcMar>
          </w:tcPr>
          <w:p>
            <w:pPr>
              <w:spacing w:after="0"/>
            </w:pPr>
            <w:r>
              <w:rPr>
                <w:sz w:val="18"/>
              </w:rPr>
              <w:t>1 request → many responses</w:t>
            </w:r>
          </w:p>
        </w:tc>
        <w:tc>
          <w:tcPr>
            <w:tcW w:type="dxa" w:w="4752"/>
            <w:vAlign w:val="center"/>
            <w:tcMar>
              <w:top w:w="100" w:type="dxa"/>
              <w:start w:w="120" w:type="dxa"/>
              <w:bottom w:w="100" w:type="dxa"/>
              <w:end w:w="120" w:type="dxa"/>
            </w:tcMar>
          </w:tcPr>
          <w:p>
            <w:pPr>
              <w:spacing w:after="0"/>
            </w:pPr>
            <w:r>
              <w:rPr>
                <w:sz w:val="18"/>
              </w:rPr>
              <w:t>Watch order state, export records</w:t>
            </w:r>
          </w:p>
        </w:tc>
      </w:tr>
      <w:tr>
        <w:tc>
          <w:tcPr>
            <w:tcW w:type="dxa" w:w="2304"/>
            <w:vAlign w:val="center"/>
            <w:tcMar>
              <w:top w:w="100" w:type="dxa"/>
              <w:start w:w="120" w:type="dxa"/>
              <w:bottom w:w="100" w:type="dxa"/>
              <w:end w:w="120" w:type="dxa"/>
            </w:tcMar>
          </w:tcPr>
          <w:p>
            <w:pPr>
              <w:spacing w:after="0"/>
            </w:pPr>
            <w:r>
              <w:rPr>
                <w:sz w:val="18"/>
              </w:rPr>
              <w:t>Client streaming</w:t>
            </w:r>
          </w:p>
        </w:tc>
        <w:tc>
          <w:tcPr>
            <w:tcW w:type="dxa" w:w="2376"/>
            <w:vAlign w:val="center"/>
            <w:tcMar>
              <w:top w:w="100" w:type="dxa"/>
              <w:start w:w="120" w:type="dxa"/>
              <w:bottom w:w="100" w:type="dxa"/>
              <w:end w:w="120" w:type="dxa"/>
            </w:tcMar>
          </w:tcPr>
          <w:p>
            <w:pPr>
              <w:spacing w:after="0"/>
            </w:pPr>
            <w:r>
              <w:rPr>
                <w:sz w:val="18"/>
              </w:rPr>
              <w:t>Many requests → 1 response</w:t>
            </w:r>
          </w:p>
        </w:tc>
        <w:tc>
          <w:tcPr>
            <w:tcW w:type="dxa" w:w="4752"/>
            <w:vAlign w:val="center"/>
            <w:tcMar>
              <w:top w:w="100" w:type="dxa"/>
              <w:start w:w="120" w:type="dxa"/>
              <w:bottom w:w="100" w:type="dxa"/>
              <w:end w:w="120" w:type="dxa"/>
            </w:tcMar>
          </w:tcPr>
          <w:p>
            <w:pPr>
              <w:spacing w:after="0"/>
            </w:pPr>
            <w:r>
              <w:rPr>
                <w:sz w:val="18"/>
              </w:rPr>
              <w:t>Upload telemetry batch, aggregate samples</w:t>
            </w:r>
          </w:p>
        </w:tc>
      </w:tr>
      <w:tr>
        <w:tc>
          <w:tcPr>
            <w:tcW w:type="dxa" w:w="2304"/>
            <w:vAlign w:val="center"/>
            <w:tcMar>
              <w:top w:w="100" w:type="dxa"/>
              <w:start w:w="120" w:type="dxa"/>
              <w:bottom w:w="100" w:type="dxa"/>
              <w:end w:w="120" w:type="dxa"/>
            </w:tcMar>
          </w:tcPr>
          <w:p>
            <w:pPr>
              <w:spacing w:after="0"/>
            </w:pPr>
            <w:r>
              <w:rPr>
                <w:sz w:val="18"/>
              </w:rPr>
              <w:t>Bidirectional streaming</w:t>
            </w:r>
          </w:p>
        </w:tc>
        <w:tc>
          <w:tcPr>
            <w:tcW w:type="dxa" w:w="2376"/>
            <w:vAlign w:val="center"/>
            <w:tcMar>
              <w:top w:w="100" w:type="dxa"/>
              <w:start w:w="120" w:type="dxa"/>
              <w:bottom w:w="100" w:type="dxa"/>
              <w:end w:w="120" w:type="dxa"/>
            </w:tcMar>
          </w:tcPr>
          <w:p>
            <w:pPr>
              <w:spacing w:after="0"/>
            </w:pPr>
            <w:r>
              <w:rPr>
                <w:sz w:val="18"/>
              </w:rPr>
              <w:t>Many ↔ many</w:t>
            </w:r>
          </w:p>
        </w:tc>
        <w:tc>
          <w:tcPr>
            <w:tcW w:type="dxa" w:w="4752"/>
            <w:vAlign w:val="center"/>
            <w:tcMar>
              <w:top w:w="100" w:type="dxa"/>
              <w:start w:w="120" w:type="dxa"/>
              <w:bottom w:w="100" w:type="dxa"/>
              <w:end w:w="120" w:type="dxa"/>
            </w:tcMar>
          </w:tcPr>
          <w:p>
            <w:pPr>
              <w:spacing w:after="0"/>
            </w:pPr>
            <w:r>
              <w:rPr>
                <w:sz w:val="18"/>
              </w:rPr>
              <w:t>Driver dispatch, device control, collaboration</w:t>
            </w:r>
          </w:p>
        </w:tc>
      </w:tr>
    </w:tbl>
    <w:p/>
    <w:p>
      <w:pPr>
        <w:pStyle w:val="Heading1"/>
      </w:pPr>
      <w:r>
        <w:t>5.1 Driver dispatch stream</w:t>
      </w:r>
    </w:p>
    <w:p>
      <w:pPr>
        <w:pStyle w:val="CodeBlock"/>
      </w:pPr>
      <w:r>
        <w:rPr>
          <w:rFonts w:ascii="Consolas" w:hAnsi="Consolas"/>
          <w:sz w:val="17"/>
        </w:rPr>
        <w:t>service DriverDispatchService {</w:t>
        <w:br/>
      </w:r>
      <w:r>
        <w:rPr>
          <w:rFonts w:ascii="Consolas" w:hAnsi="Consolas"/>
          <w:sz w:val="17"/>
        </w:rPr>
        <w:t xml:space="preserve">  rpc Connect(stream DriverMessage) returns (stream DispatchMessage);</w:t>
        <w:br/>
      </w:r>
      <w:r>
        <w:rPr>
          <w:rFonts w:ascii="Consolas" w:hAnsi="Consolas"/>
          <w:sz w:val="17"/>
        </w:rPr>
        <w:t>}</w:t>
        <w:br/>
      </w:r>
      <w:r>
        <w:rPr>
          <w:rFonts w:ascii="Consolas" w:hAnsi="Consolas"/>
          <w:sz w:val="17"/>
        </w:rPr>
        <w:br/>
      </w:r>
      <w:r>
        <w:rPr>
          <w:rFonts w:ascii="Consolas" w:hAnsi="Consolas"/>
          <w:sz w:val="17"/>
        </w:rPr>
        <w:t>message DriverMessage {</w:t>
        <w:br/>
      </w:r>
      <w:r>
        <w:rPr>
          <w:rFonts w:ascii="Consolas" w:hAnsi="Consolas"/>
          <w:sz w:val="17"/>
        </w:rPr>
        <w:t xml:space="preserve">  oneof payload {</w:t>
        <w:br/>
      </w:r>
      <w:r>
        <w:rPr>
          <w:rFonts w:ascii="Consolas" w:hAnsi="Consolas"/>
          <w:sz w:val="17"/>
        </w:rPr>
        <w:t xml:space="preserve">    DriverLocation location = 1;</w:t>
        <w:br/>
      </w:r>
      <w:r>
        <w:rPr>
          <w:rFonts w:ascii="Consolas" w:hAnsi="Consolas"/>
          <w:sz w:val="17"/>
        </w:rPr>
        <w:t xml:space="preserve">    OfferDecision offer_decision = 2;</w:t>
        <w:br/>
      </w:r>
      <w:r>
        <w:rPr>
          <w:rFonts w:ascii="Consolas" w:hAnsi="Consolas"/>
          <w:sz w:val="17"/>
        </w:rPr>
        <w:t xml:space="preserve">    DeliveryStatusUpdate status_update = 3;</w:t>
        <w:br/>
      </w:r>
      <w:r>
        <w:rPr>
          <w:rFonts w:ascii="Consolas" w:hAnsi="Consolas"/>
          <w:sz w:val="17"/>
        </w:rPr>
        <w:t xml:space="preserve">    Heartbeat heartbeat = 4;</w:t>
        <w:br/>
      </w:r>
      <w:r>
        <w:rPr>
          <w:rFonts w:ascii="Consolas" w:hAnsi="Consolas"/>
          <w:sz w:val="17"/>
        </w:rPr>
        <w:t xml:space="preserve">  }</w:t>
        <w:br/>
      </w:r>
      <w:r>
        <w:rPr>
          <w:rFonts w:ascii="Consolas" w:hAnsi="Consolas"/>
          <w:sz w:val="17"/>
        </w:rPr>
        <w:t>}</w:t>
        <w:br/>
      </w:r>
    </w:p>
    <w:p>
      <w:r>
        <w:t>A long-lived stream needs an application protocol: authentication renewal, heartbeats, sequence numbers, reconnect behavior, message acknowledgements, duplicate handling, and server drain behavior during deployments.</w:t>
      </w:r>
    </w:p>
    <w:p>
      <w:pPr>
        <w:pStyle w:val="Heading1"/>
      </w:pPr>
      <w:r>
        <w:t>5.2 Backpressure decisions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528"/>
            <w:shd w:fill="17365D"/>
            <w:vAlign w:val="center"/>
            <w:tcMar>
              <w:top w:w="100" w:type="dxa"/>
              <w:start w:w="120" w:type="dxa"/>
              <w:bottom w:w="100" w:type="dxa"/>
              <w:end w:w="120" w:type="dxa"/>
            </w:tcMar>
          </w:tcPr>
          <w:p>
            <w:r>
              <w:rPr>
                <w:b/>
                <w:color w:val="FFFFFF"/>
                <w:sz w:val="19"/>
              </w:rPr>
              <w:t>Question</w:t>
            </w:r>
          </w:p>
        </w:tc>
        <w:tc>
          <w:tcPr>
            <w:tcW w:type="dxa" w:w="5976"/>
            <w:shd w:fill="17365D"/>
            <w:vAlign w:val="center"/>
            <w:tcMar>
              <w:top w:w="100" w:type="dxa"/>
              <w:start w:w="120" w:type="dxa"/>
              <w:bottom w:w="100" w:type="dxa"/>
              <w:end w:w="120" w:type="dxa"/>
            </w:tcMar>
          </w:tcPr>
          <w:p>
            <w:r>
              <w:rPr>
                <w:b/>
                <w:color w:val="FFFFFF"/>
                <w:sz w:val="19"/>
              </w:rPr>
              <w:t>Example decision</w:t>
            </w:r>
          </w:p>
        </w:tc>
      </w:tr>
      <w:tr>
        <w:tc>
          <w:tcPr>
            <w:tcW w:type="dxa" w:w="3528"/>
            <w:vAlign w:val="center"/>
            <w:tcMar>
              <w:top w:w="100" w:type="dxa"/>
              <w:start w:w="120" w:type="dxa"/>
              <w:bottom w:w="100" w:type="dxa"/>
              <w:end w:w="120" w:type="dxa"/>
            </w:tcMar>
          </w:tcPr>
          <w:p>
            <w:pPr>
              <w:spacing w:after="0"/>
            </w:pPr>
            <w:r>
              <w:rPr>
                <w:sz w:val="18"/>
              </w:rPr>
              <w:t>What if producer is faster?</w:t>
            </w:r>
          </w:p>
        </w:tc>
        <w:tc>
          <w:tcPr>
            <w:tcW w:type="dxa" w:w="5976"/>
            <w:vAlign w:val="center"/>
            <w:tcMar>
              <w:top w:w="100" w:type="dxa"/>
              <w:start w:w="120" w:type="dxa"/>
              <w:bottom w:w="100" w:type="dxa"/>
              <w:end w:w="120" w:type="dxa"/>
            </w:tcMar>
          </w:tcPr>
          <w:p>
            <w:pPr>
              <w:spacing w:after="0"/>
            </w:pPr>
            <w:r>
              <w:rPr>
                <w:sz w:val="18"/>
              </w:rPr>
              <w:t>Bound buffers and slow or reject producer</w:t>
            </w:r>
          </w:p>
        </w:tc>
      </w:tr>
      <w:tr>
        <w:tc>
          <w:tcPr>
            <w:tcW w:type="dxa" w:w="3528"/>
            <w:vAlign w:val="center"/>
            <w:tcMar>
              <w:top w:w="100" w:type="dxa"/>
              <w:start w:w="120" w:type="dxa"/>
              <w:bottom w:w="100" w:type="dxa"/>
              <w:end w:w="120" w:type="dxa"/>
            </w:tcMar>
          </w:tcPr>
          <w:p>
            <w:pPr>
              <w:spacing w:after="0"/>
            </w:pPr>
            <w:r>
              <w:rPr>
                <w:sz w:val="18"/>
              </w:rPr>
              <w:t>May data be dropped?</w:t>
            </w:r>
          </w:p>
        </w:tc>
        <w:tc>
          <w:tcPr>
            <w:tcW w:type="dxa" w:w="5976"/>
            <w:vAlign w:val="center"/>
            <w:tcMar>
              <w:top w:w="100" w:type="dxa"/>
              <w:start w:w="120" w:type="dxa"/>
              <w:bottom w:w="100" w:type="dxa"/>
              <w:end w:w="120" w:type="dxa"/>
            </w:tcMar>
          </w:tcPr>
          <w:p>
            <w:pPr>
              <w:spacing w:after="0"/>
            </w:pPr>
            <w:r>
              <w:rPr>
                <w:sz w:val="18"/>
              </w:rPr>
              <w:t>Drop stale GPS points but never financial commands</w:t>
            </w:r>
          </w:p>
        </w:tc>
      </w:tr>
      <w:tr>
        <w:tc>
          <w:tcPr>
            <w:tcW w:type="dxa" w:w="3528"/>
            <w:vAlign w:val="center"/>
            <w:tcMar>
              <w:top w:w="100" w:type="dxa"/>
              <w:start w:w="120" w:type="dxa"/>
              <w:bottom w:w="100" w:type="dxa"/>
              <w:end w:w="120" w:type="dxa"/>
            </w:tcMar>
          </w:tcPr>
          <w:p>
            <w:pPr>
              <w:spacing w:after="0"/>
            </w:pPr>
            <w:r>
              <w:rPr>
                <w:sz w:val="18"/>
              </w:rPr>
              <w:t>Can messages be coalesced?</w:t>
            </w:r>
          </w:p>
        </w:tc>
        <w:tc>
          <w:tcPr>
            <w:tcW w:type="dxa" w:w="5976"/>
            <w:vAlign w:val="center"/>
            <w:tcMar>
              <w:top w:w="100" w:type="dxa"/>
              <w:start w:w="120" w:type="dxa"/>
              <w:bottom w:w="100" w:type="dxa"/>
              <w:end w:w="120" w:type="dxa"/>
            </w:tcMar>
          </w:tcPr>
          <w:p>
            <w:pPr>
              <w:spacing w:after="0"/>
            </w:pPr>
            <w:r>
              <w:rPr>
                <w:sz w:val="18"/>
              </w:rPr>
              <w:t>Keep only the latest location per driver</w:t>
            </w:r>
          </w:p>
        </w:tc>
      </w:tr>
      <w:tr>
        <w:tc>
          <w:tcPr>
            <w:tcW w:type="dxa" w:w="3528"/>
            <w:vAlign w:val="center"/>
            <w:tcMar>
              <w:top w:w="100" w:type="dxa"/>
              <w:start w:w="120" w:type="dxa"/>
              <w:bottom w:w="100" w:type="dxa"/>
              <w:end w:w="120" w:type="dxa"/>
            </w:tcMar>
          </w:tcPr>
          <w:p>
            <w:pPr>
              <w:spacing w:after="0"/>
            </w:pPr>
            <w:r>
              <w:rPr>
                <w:sz w:val="18"/>
              </w:rPr>
              <w:t>What is the lag limit?</w:t>
            </w:r>
          </w:p>
        </w:tc>
        <w:tc>
          <w:tcPr>
            <w:tcW w:type="dxa" w:w="5976"/>
            <w:vAlign w:val="center"/>
            <w:tcMar>
              <w:top w:w="100" w:type="dxa"/>
              <w:start w:w="120" w:type="dxa"/>
              <w:bottom w:w="100" w:type="dxa"/>
              <w:end w:w="120" w:type="dxa"/>
            </w:tcMar>
          </w:tcPr>
          <w:p>
            <w:pPr>
              <w:spacing w:after="0"/>
            </w:pPr>
            <w:r>
              <w:rPr>
                <w:sz w:val="18"/>
              </w:rPr>
              <w:t>Disconnect or degrade when telemetry is minutes old</w:t>
            </w:r>
          </w:p>
        </w:tc>
      </w:tr>
      <w:tr>
        <w:tc>
          <w:tcPr>
            <w:tcW w:type="dxa" w:w="3528"/>
            <w:vAlign w:val="center"/>
            <w:tcMar>
              <w:top w:w="100" w:type="dxa"/>
              <w:start w:w="120" w:type="dxa"/>
              <w:bottom w:w="100" w:type="dxa"/>
              <w:end w:w="120" w:type="dxa"/>
            </w:tcMar>
          </w:tcPr>
          <w:p>
            <w:pPr>
              <w:spacing w:after="0"/>
            </w:pPr>
            <w:r>
              <w:rPr>
                <w:sz w:val="18"/>
              </w:rPr>
              <w:t>How does reconnect resume?</w:t>
            </w:r>
          </w:p>
        </w:tc>
        <w:tc>
          <w:tcPr>
            <w:tcW w:type="dxa" w:w="5976"/>
            <w:vAlign w:val="center"/>
            <w:tcMar>
              <w:top w:w="100" w:type="dxa"/>
              <w:start w:w="120" w:type="dxa"/>
              <w:bottom w:w="100" w:type="dxa"/>
              <w:end w:w="120" w:type="dxa"/>
            </w:tcMar>
          </w:tcPr>
          <w:p>
            <w:pPr>
              <w:spacing w:after="0"/>
            </w:pPr>
            <w:r>
              <w:rPr>
                <w:sz w:val="18"/>
              </w:rPr>
              <w:t>Use sequence/offset token where replay is supported</w:t>
            </w:r>
          </w:p>
        </w:tc>
      </w:tr>
    </w:tbl>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Streaming rule:  </w:t>
            </w:r>
            <w:r>
              <w:t>A stream is not an infinite queue. Explicitly define capacity, ordering, loss tolerance, and recovery semantics.</w:t>
            </w:r>
          </w:p>
        </w:tc>
      </w:tr>
    </w:tbl>
    <w:p/>
    <w:p>
      <w:pPr>
        <w:pStyle w:val="Heading1"/>
      </w:pPr>
      <w:r>
        <w:t>5.3 When not to stream</w:t>
      </w:r>
    </w:p>
    <w:p>
      <w:pPr>
        <w:pStyle w:val="ListBullet"/>
      </w:pPr>
      <w:r>
        <w:t>The operation naturally completes with one bounded response.</w:t>
      </w:r>
    </w:p>
    <w:p>
      <w:pPr>
        <w:pStyle w:val="ListBullet"/>
      </w:pPr>
      <w:r>
        <w:t>Polling every few minutes is acceptable and simpler.</w:t>
      </w:r>
    </w:p>
    <w:p>
      <w:pPr>
        <w:pStyle w:val="ListBullet"/>
      </w:pPr>
      <w:r>
        <w:t>Infrastructure frequently terminates long-lived HTTP/2 connections.</w:t>
      </w:r>
    </w:p>
    <w:p>
      <w:pPr>
        <w:pStyle w:val="ListBullet"/>
      </w:pPr>
      <w:r>
        <w:t>The consumer needs durable replay and independent offsets—use an event broker instead.</w:t>
      </w:r>
    </w:p>
    <w:p>
      <w:pPr>
        <w:pStyle w:val="Title"/>
      </w:pPr>
      <w:r>
        <w:t>6. Compatibility and schema evolution</w:t>
      </w:r>
    </w:p>
    <w:p>
      <w:r>
        <w:t>Protobuf is designed for evolution, but only when teams follow compatibility rules. Old and new clients commonly coexist during rolling deployments.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17365D"/>
            <w:vAlign w:val="center"/>
            <w:tcMar>
              <w:top w:w="100" w:type="dxa"/>
              <w:start w:w="120" w:type="dxa"/>
              <w:bottom w:w="100" w:type="dxa"/>
              <w:end w:w="120" w:type="dxa"/>
            </w:tcMar>
          </w:tcPr>
          <w:p>
            <w:r>
              <w:rPr>
                <w:b/>
                <w:color w:val="FFFFFF"/>
                <w:sz w:val="19"/>
              </w:rPr>
              <w:t>Change</w:t>
            </w:r>
          </w:p>
        </w:tc>
        <w:tc>
          <w:tcPr>
            <w:tcW w:type="dxa" w:w="1944"/>
            <w:shd w:fill="17365D"/>
            <w:vAlign w:val="center"/>
            <w:tcMar>
              <w:top w:w="100" w:type="dxa"/>
              <w:start w:w="120" w:type="dxa"/>
              <w:bottom w:w="100" w:type="dxa"/>
              <w:end w:w="120" w:type="dxa"/>
            </w:tcMar>
          </w:tcPr>
          <w:p>
            <w:r>
              <w:rPr>
                <w:b/>
                <w:color w:val="FFFFFF"/>
                <w:sz w:val="19"/>
              </w:rPr>
              <w:t>Compatibility</w:t>
            </w:r>
          </w:p>
        </w:tc>
        <w:tc>
          <w:tcPr>
            <w:tcW w:type="dxa" w:w="4680"/>
            <w:shd w:fill="17365D"/>
            <w:vAlign w:val="center"/>
            <w:tcMar>
              <w:top w:w="100" w:type="dxa"/>
              <w:start w:w="120" w:type="dxa"/>
              <w:bottom w:w="100" w:type="dxa"/>
              <w:end w:w="120" w:type="dxa"/>
            </w:tcMar>
          </w:tcPr>
          <w:p>
            <w:r>
              <w:rPr>
                <w:b/>
                <w:color w:val="FFFFFF"/>
                <w:sz w:val="19"/>
              </w:rPr>
              <w:t>Guidance</w:t>
            </w:r>
          </w:p>
        </w:tc>
      </w:tr>
      <w:tr>
        <w:tc>
          <w:tcPr>
            <w:tcW w:type="dxa" w:w="2880"/>
            <w:vAlign w:val="center"/>
            <w:tcMar>
              <w:top w:w="100" w:type="dxa"/>
              <w:start w:w="120" w:type="dxa"/>
              <w:bottom w:w="100" w:type="dxa"/>
              <w:end w:w="120" w:type="dxa"/>
            </w:tcMar>
          </w:tcPr>
          <w:p>
            <w:pPr>
              <w:spacing w:after="0"/>
            </w:pPr>
            <w:r>
              <w:rPr>
                <w:sz w:val="18"/>
              </w:rPr>
              <w:t>Add a new field</w:t>
            </w:r>
          </w:p>
        </w:tc>
        <w:tc>
          <w:tcPr>
            <w:tcW w:type="dxa" w:w="1944"/>
            <w:vAlign w:val="center"/>
            <w:tcMar>
              <w:top w:w="100" w:type="dxa"/>
              <w:start w:w="120" w:type="dxa"/>
              <w:bottom w:w="100" w:type="dxa"/>
              <w:end w:w="120" w:type="dxa"/>
            </w:tcMar>
          </w:tcPr>
          <w:p>
            <w:pPr>
              <w:spacing w:after="0"/>
            </w:pPr>
            <w:r>
              <w:rPr>
                <w:sz w:val="18"/>
              </w:rPr>
              <w:t>Usually safe</w:t>
            </w:r>
          </w:p>
        </w:tc>
        <w:tc>
          <w:tcPr>
            <w:tcW w:type="dxa" w:w="4680"/>
            <w:vAlign w:val="center"/>
            <w:tcMar>
              <w:top w:w="100" w:type="dxa"/>
              <w:start w:w="120" w:type="dxa"/>
              <w:bottom w:w="100" w:type="dxa"/>
              <w:end w:w="120" w:type="dxa"/>
            </w:tcMar>
          </w:tcPr>
          <w:p>
            <w:pPr>
              <w:spacing w:after="0"/>
            </w:pPr>
            <w:r>
              <w:rPr>
                <w:sz w:val="18"/>
              </w:rPr>
              <w:t>Old clients ignore unknown fields</w:t>
            </w:r>
          </w:p>
        </w:tc>
      </w:tr>
      <w:tr>
        <w:tc>
          <w:tcPr>
            <w:tcW w:type="dxa" w:w="2880"/>
            <w:vAlign w:val="center"/>
            <w:tcMar>
              <w:top w:w="100" w:type="dxa"/>
              <w:start w:w="120" w:type="dxa"/>
              <w:bottom w:w="100" w:type="dxa"/>
              <w:end w:w="120" w:type="dxa"/>
            </w:tcMar>
          </w:tcPr>
          <w:p>
            <w:pPr>
              <w:spacing w:after="0"/>
            </w:pPr>
            <w:r>
              <w:rPr>
                <w:sz w:val="18"/>
              </w:rPr>
              <w:t>Remove a field</w:t>
            </w:r>
          </w:p>
        </w:tc>
        <w:tc>
          <w:tcPr>
            <w:tcW w:type="dxa" w:w="1944"/>
            <w:vAlign w:val="center"/>
            <w:tcMar>
              <w:top w:w="100" w:type="dxa"/>
              <w:start w:w="120" w:type="dxa"/>
              <w:bottom w:w="100" w:type="dxa"/>
              <w:end w:w="120" w:type="dxa"/>
            </w:tcMar>
          </w:tcPr>
          <w:p>
            <w:pPr>
              <w:spacing w:after="0"/>
            </w:pPr>
            <w:r>
              <w:rPr>
                <w:sz w:val="18"/>
              </w:rPr>
              <w:t>Risky</w:t>
            </w:r>
          </w:p>
        </w:tc>
        <w:tc>
          <w:tcPr>
            <w:tcW w:type="dxa" w:w="4680"/>
            <w:vAlign w:val="center"/>
            <w:tcMar>
              <w:top w:w="100" w:type="dxa"/>
              <w:start w:w="120" w:type="dxa"/>
              <w:bottom w:w="100" w:type="dxa"/>
              <w:end w:w="120" w:type="dxa"/>
            </w:tcMar>
          </w:tcPr>
          <w:p>
            <w:pPr>
              <w:spacing w:after="0"/>
            </w:pPr>
            <w:r>
              <w:rPr>
                <w:sz w:val="18"/>
              </w:rPr>
              <w:t>Reserve its number and name</w:t>
            </w:r>
          </w:p>
        </w:tc>
      </w:tr>
      <w:tr>
        <w:tc>
          <w:tcPr>
            <w:tcW w:type="dxa" w:w="2880"/>
            <w:vAlign w:val="center"/>
            <w:tcMar>
              <w:top w:w="100" w:type="dxa"/>
              <w:start w:w="120" w:type="dxa"/>
              <w:bottom w:w="100" w:type="dxa"/>
              <w:end w:w="120" w:type="dxa"/>
            </w:tcMar>
          </w:tcPr>
          <w:p>
            <w:pPr>
              <w:spacing w:after="0"/>
            </w:pPr>
            <w:r>
              <w:rPr>
                <w:sz w:val="18"/>
              </w:rPr>
              <w:t>Reuse a field number</w:t>
            </w:r>
          </w:p>
        </w:tc>
        <w:tc>
          <w:tcPr>
            <w:tcW w:type="dxa" w:w="1944"/>
            <w:vAlign w:val="center"/>
            <w:tcMar>
              <w:top w:w="100" w:type="dxa"/>
              <w:start w:w="120" w:type="dxa"/>
              <w:bottom w:w="100" w:type="dxa"/>
              <w:end w:w="120" w:type="dxa"/>
            </w:tcMar>
          </w:tcPr>
          <w:p>
            <w:pPr>
              <w:spacing w:after="0"/>
            </w:pPr>
            <w:r>
              <w:rPr>
                <w:sz w:val="18"/>
              </w:rPr>
              <w:t>Unsafe</w:t>
            </w:r>
          </w:p>
        </w:tc>
        <w:tc>
          <w:tcPr>
            <w:tcW w:type="dxa" w:w="4680"/>
            <w:vAlign w:val="center"/>
            <w:tcMar>
              <w:top w:w="100" w:type="dxa"/>
              <w:start w:w="120" w:type="dxa"/>
              <w:bottom w:w="100" w:type="dxa"/>
              <w:end w:w="120" w:type="dxa"/>
            </w:tcMar>
          </w:tcPr>
          <w:p>
            <w:pPr>
              <w:spacing w:after="0"/>
            </w:pPr>
            <w:r>
              <w:rPr>
                <w:sz w:val="18"/>
              </w:rPr>
              <w:t>Never do this</w:t>
            </w:r>
          </w:p>
        </w:tc>
      </w:tr>
      <w:tr>
        <w:tc>
          <w:tcPr>
            <w:tcW w:type="dxa" w:w="2880"/>
            <w:vAlign w:val="center"/>
            <w:tcMar>
              <w:top w:w="100" w:type="dxa"/>
              <w:start w:w="120" w:type="dxa"/>
              <w:bottom w:w="100" w:type="dxa"/>
              <w:end w:w="120" w:type="dxa"/>
            </w:tcMar>
          </w:tcPr>
          <w:p>
            <w:pPr>
              <w:spacing w:after="0"/>
            </w:pPr>
            <w:r>
              <w:rPr>
                <w:sz w:val="18"/>
              </w:rPr>
              <w:t>Change field type</w:t>
            </w:r>
          </w:p>
        </w:tc>
        <w:tc>
          <w:tcPr>
            <w:tcW w:type="dxa" w:w="1944"/>
            <w:vAlign w:val="center"/>
            <w:tcMar>
              <w:top w:w="100" w:type="dxa"/>
              <w:start w:w="120" w:type="dxa"/>
              <w:bottom w:w="100" w:type="dxa"/>
              <w:end w:w="120" w:type="dxa"/>
            </w:tcMar>
          </w:tcPr>
          <w:p>
            <w:pPr>
              <w:spacing w:after="0"/>
            </w:pPr>
            <w:r>
              <w:rPr>
                <w:sz w:val="18"/>
              </w:rPr>
              <w:t>Often unsafe</w:t>
            </w:r>
          </w:p>
        </w:tc>
        <w:tc>
          <w:tcPr>
            <w:tcW w:type="dxa" w:w="4680"/>
            <w:vAlign w:val="center"/>
            <w:tcMar>
              <w:top w:w="100" w:type="dxa"/>
              <w:start w:w="120" w:type="dxa"/>
              <w:bottom w:w="100" w:type="dxa"/>
              <w:end w:w="120" w:type="dxa"/>
            </w:tcMar>
          </w:tcPr>
          <w:p>
            <w:pPr>
              <w:spacing w:after="0"/>
            </w:pPr>
            <w:r>
              <w:rPr>
                <w:sz w:val="18"/>
              </w:rPr>
              <w:t>Add a new field instead</w:t>
            </w:r>
          </w:p>
        </w:tc>
      </w:tr>
      <w:tr>
        <w:tc>
          <w:tcPr>
            <w:tcW w:type="dxa" w:w="2880"/>
            <w:vAlign w:val="center"/>
            <w:tcMar>
              <w:top w:w="100" w:type="dxa"/>
              <w:start w:w="120" w:type="dxa"/>
              <w:bottom w:w="100" w:type="dxa"/>
              <w:end w:w="120" w:type="dxa"/>
            </w:tcMar>
          </w:tcPr>
          <w:p>
            <w:pPr>
              <w:spacing w:after="0"/>
            </w:pPr>
            <w:r>
              <w:rPr>
                <w:sz w:val="18"/>
              </w:rPr>
              <w:t>Add enum value</w:t>
            </w:r>
          </w:p>
        </w:tc>
        <w:tc>
          <w:tcPr>
            <w:tcW w:type="dxa" w:w="1944"/>
            <w:vAlign w:val="center"/>
            <w:tcMar>
              <w:top w:w="100" w:type="dxa"/>
              <w:start w:w="120" w:type="dxa"/>
              <w:bottom w:w="100" w:type="dxa"/>
              <w:end w:w="120" w:type="dxa"/>
            </w:tcMar>
          </w:tcPr>
          <w:p>
            <w:pPr>
              <w:spacing w:after="0"/>
            </w:pPr>
            <w:r>
              <w:rPr>
                <w:sz w:val="18"/>
              </w:rPr>
              <w:t>Usually safe</w:t>
            </w:r>
          </w:p>
        </w:tc>
        <w:tc>
          <w:tcPr>
            <w:tcW w:type="dxa" w:w="4680"/>
            <w:vAlign w:val="center"/>
            <w:tcMar>
              <w:top w:w="100" w:type="dxa"/>
              <w:start w:w="120" w:type="dxa"/>
              <w:bottom w:w="100" w:type="dxa"/>
              <w:end w:w="120" w:type="dxa"/>
            </w:tcMar>
          </w:tcPr>
          <w:p>
            <w:pPr>
              <w:spacing w:after="0"/>
            </w:pPr>
            <w:r>
              <w:rPr>
                <w:sz w:val="18"/>
              </w:rPr>
              <w:t>Clients must handle unknown values</w:t>
            </w:r>
          </w:p>
        </w:tc>
      </w:tr>
      <w:tr>
        <w:tc>
          <w:tcPr>
            <w:tcW w:type="dxa" w:w="2880"/>
            <w:vAlign w:val="center"/>
            <w:tcMar>
              <w:top w:w="100" w:type="dxa"/>
              <w:start w:w="120" w:type="dxa"/>
              <w:bottom w:w="100" w:type="dxa"/>
              <w:end w:w="120" w:type="dxa"/>
            </w:tcMar>
          </w:tcPr>
          <w:p>
            <w:pPr>
              <w:spacing w:after="0"/>
            </w:pPr>
            <w:r>
              <w:rPr>
                <w:sz w:val="18"/>
              </w:rPr>
              <w:t>Rename field</w:t>
            </w:r>
          </w:p>
        </w:tc>
        <w:tc>
          <w:tcPr>
            <w:tcW w:type="dxa" w:w="1944"/>
            <w:vAlign w:val="center"/>
            <w:tcMar>
              <w:top w:w="100" w:type="dxa"/>
              <w:start w:w="120" w:type="dxa"/>
              <w:bottom w:w="100" w:type="dxa"/>
              <w:end w:w="120" w:type="dxa"/>
            </w:tcMar>
          </w:tcPr>
          <w:p>
            <w:pPr>
              <w:spacing w:after="0"/>
            </w:pPr>
            <w:r>
              <w:rPr>
                <w:sz w:val="18"/>
              </w:rPr>
              <w:t>Wire-safe but source-breaking</w:t>
            </w:r>
          </w:p>
        </w:tc>
        <w:tc>
          <w:tcPr>
            <w:tcW w:type="dxa" w:w="4680"/>
            <w:vAlign w:val="center"/>
            <w:tcMar>
              <w:top w:w="100" w:type="dxa"/>
              <w:start w:w="120" w:type="dxa"/>
              <w:bottom w:w="100" w:type="dxa"/>
              <w:end w:w="120" w:type="dxa"/>
            </w:tcMar>
          </w:tcPr>
          <w:p>
            <w:pPr>
              <w:spacing w:after="0"/>
            </w:pPr>
            <w:r>
              <w:rPr>
                <w:sz w:val="18"/>
              </w:rPr>
              <w:t>Coordinate generated-client impact</w:t>
            </w:r>
          </w:p>
        </w:tc>
      </w:tr>
      <w:tr>
        <w:tc>
          <w:tcPr>
            <w:tcW w:type="dxa" w:w="2880"/>
            <w:vAlign w:val="center"/>
            <w:tcMar>
              <w:top w:w="100" w:type="dxa"/>
              <w:start w:w="120" w:type="dxa"/>
              <w:bottom w:w="100" w:type="dxa"/>
              <w:end w:w="120" w:type="dxa"/>
            </w:tcMar>
          </w:tcPr>
          <w:p>
            <w:pPr>
              <w:spacing w:after="0"/>
            </w:pPr>
            <w:r>
              <w:rPr>
                <w:sz w:val="18"/>
              </w:rPr>
              <w:t>Change meaning</w:t>
            </w:r>
          </w:p>
        </w:tc>
        <w:tc>
          <w:tcPr>
            <w:tcW w:type="dxa" w:w="1944"/>
            <w:vAlign w:val="center"/>
            <w:tcMar>
              <w:top w:w="100" w:type="dxa"/>
              <w:start w:w="120" w:type="dxa"/>
              <w:bottom w:w="100" w:type="dxa"/>
              <w:end w:w="120" w:type="dxa"/>
            </w:tcMar>
          </w:tcPr>
          <w:p>
            <w:pPr>
              <w:spacing w:after="0"/>
            </w:pPr>
            <w:r>
              <w:rPr>
                <w:sz w:val="18"/>
              </w:rPr>
              <w:t>Unsafe semantically</w:t>
            </w:r>
          </w:p>
        </w:tc>
        <w:tc>
          <w:tcPr>
            <w:tcW w:type="dxa" w:w="4680"/>
            <w:vAlign w:val="center"/>
            <w:tcMar>
              <w:top w:w="100" w:type="dxa"/>
              <w:start w:w="120" w:type="dxa"/>
              <w:bottom w:w="100" w:type="dxa"/>
              <w:end w:w="120" w:type="dxa"/>
            </w:tcMar>
          </w:tcPr>
          <w:p>
            <w:pPr>
              <w:spacing w:after="0"/>
            </w:pPr>
            <w:r>
              <w:rPr>
                <w:sz w:val="18"/>
              </w:rPr>
              <w:t>Introduce a new field or version</w:t>
            </w:r>
          </w:p>
        </w:tc>
      </w:tr>
    </w:tbl>
    <w:p/>
    <w:p>
      <w:pPr>
        <w:pStyle w:val="CodeBlock"/>
      </w:pPr>
      <w:r>
        <w:rPr>
          <w:rFonts w:ascii="Consolas" w:hAnsi="Consolas"/>
          <w:sz w:val="17"/>
        </w:rPr>
        <w:t>message Customer {</w:t>
        <w:br/>
      </w:r>
      <w:r>
        <w:rPr>
          <w:rFonts w:ascii="Consolas" w:hAnsi="Consolas"/>
          <w:sz w:val="17"/>
        </w:rPr>
        <w:t xml:space="preserve">  reserved 3;</w:t>
        <w:br/>
      </w:r>
      <w:r>
        <w:rPr>
          <w:rFonts w:ascii="Consolas" w:hAnsi="Consolas"/>
          <w:sz w:val="17"/>
        </w:rPr>
        <w:t xml:space="preserve">  reserved "phone";</w:t>
        <w:br/>
      </w:r>
      <w:r>
        <w:rPr>
          <w:rFonts w:ascii="Consolas" w:hAnsi="Consolas"/>
          <w:sz w:val="17"/>
        </w:rPr>
        <w:br/>
      </w:r>
      <w:r>
        <w:rPr>
          <w:rFonts w:ascii="Consolas" w:hAnsi="Consolas"/>
          <w:sz w:val="17"/>
        </w:rPr>
        <w:t xml:space="preserve">  string id = 1;</w:t>
        <w:br/>
      </w:r>
      <w:r>
        <w:rPr>
          <w:rFonts w:ascii="Consolas" w:hAnsi="Consolas"/>
          <w:sz w:val="17"/>
        </w:rPr>
        <w:t xml:space="preserve">  string name = 2;</w:t>
        <w:br/>
      </w:r>
      <w:r>
        <w:rPr>
          <w:rFonts w:ascii="Consolas" w:hAnsi="Consolas"/>
          <w:sz w:val="17"/>
        </w:rPr>
        <w:t xml:space="preserve">  string preferred_phone = 4;</w:t>
        <w:br/>
      </w:r>
      <w:r>
        <w:rPr>
          <w:rFonts w:ascii="Consolas" w:hAnsi="Consolas"/>
          <w:sz w:val="17"/>
        </w:rPr>
        <w:t>}</w:t>
        <w:br/>
      </w:r>
    </w:p>
    <w:p>
      <w:pPr>
        <w:pStyle w:val="Heading1"/>
      </w:pPr>
      <w:r>
        <w:t>6.1 Package and service versioning</w:t>
      </w:r>
    </w:p>
    <w:p>
      <w:pPr>
        <w:pStyle w:val="CodeBlock"/>
      </w:pPr>
      <w:r>
        <w:rPr>
          <w:rFonts w:ascii="Consolas" w:hAnsi="Consolas"/>
          <w:sz w:val="17"/>
        </w:rPr>
        <w:t>package orders.v1;</w:t>
        <w:br/>
      </w:r>
      <w:r>
        <w:rPr>
          <w:rFonts w:ascii="Consolas" w:hAnsi="Consolas"/>
          <w:sz w:val="17"/>
        </w:rPr>
        <w:t>service OrderService { ... }</w:t>
        <w:br/>
      </w:r>
      <w:r>
        <w:rPr>
          <w:rFonts w:ascii="Consolas" w:hAnsi="Consolas"/>
          <w:sz w:val="17"/>
        </w:rPr>
        <w:br/>
      </w:r>
      <w:r>
        <w:rPr>
          <w:rFonts w:ascii="Consolas" w:hAnsi="Consolas"/>
          <w:sz w:val="17"/>
        </w:rPr>
        <w:t>package orders.v2;</w:t>
        <w:br/>
      </w:r>
      <w:r>
        <w:rPr>
          <w:rFonts w:ascii="Consolas" w:hAnsi="Consolas"/>
          <w:sz w:val="17"/>
        </w:rPr>
        <w:t>service OrderService { ... }</w:t>
        <w:br/>
      </w:r>
    </w:p>
    <w:p>
      <w:r>
        <w:t>Do not create a new major version for every additive change. Use a new version when semantics or compatibility cannot be preserved. Run both versions during migration and define a retirement policy.</w:t>
      </w:r>
    </w:p>
    <w:p>
      <w:pPr>
        <w:pStyle w:val="Heading1"/>
      </w:pPr>
      <w:r>
        <w:t>6.2 Contract governance</w:t>
      </w:r>
    </w:p>
    <w:p>
      <w:pPr>
        <w:pStyle w:val="ListBullet"/>
      </w:pPr>
      <w:r>
        <w:t>Store protobuf definitions in an owned repository or registry.</w:t>
      </w:r>
    </w:p>
    <w:p>
      <w:pPr>
        <w:pStyle w:val="ListBullet"/>
      </w:pPr>
      <w:r>
        <w:t>Run linting and breaking-change checks in CI.</w:t>
      </w:r>
    </w:p>
    <w:p>
      <w:pPr>
        <w:pStyle w:val="ListBullet"/>
      </w:pPr>
      <w:r>
        <w:t>Generate clients through a reproducible build pipeline.</w:t>
      </w:r>
    </w:p>
    <w:p>
      <w:pPr>
        <w:pStyle w:val="ListBullet"/>
      </w:pPr>
      <w:r>
        <w:t>Publish ownership, support level, and deprecation dates.</w:t>
      </w:r>
    </w:p>
    <w:p>
      <w:pPr>
        <w:pStyle w:val="ListBullet"/>
      </w:pPr>
      <w:r>
        <w:t>Test old clients against new servers and new clients against old servers where relevant.</w:t>
      </w:r>
    </w:p>
    <w:p>
      <w:pPr>
        <w:pStyle w:val="Title"/>
      </w:pPr>
      <w:r>
        <w:t>7. Security, observability, and operations</w:t>
      </w:r>
    </w:p>
    <w:p>
      <w:pPr>
        <w:pStyle w:val="Heading1"/>
      </w:pPr>
      <w:r>
        <w:t>7.1 Authentication and authorization</w:t>
      </w:r>
    </w:p>
    <w:p>
      <w:pPr>
        <w:pStyle w:val="ListBullet"/>
      </w:pPr>
      <w:r>
        <w:t>Use workload identity or mutual TLS for service identity.</w:t>
      </w:r>
    </w:p>
    <w:p>
      <w:pPr>
        <w:pStyle w:val="ListBullet"/>
      </w:pPr>
      <w:r>
        <w:t>Propagate end-user context only when required and trustworthy.</w:t>
      </w:r>
    </w:p>
    <w:p>
      <w:pPr>
        <w:pStyle w:val="ListBullet"/>
      </w:pPr>
      <w:r>
        <w:t>Authorize the requested resource, tenant, and operation—not merely the calling service.</w:t>
      </w:r>
    </w:p>
    <w:p>
      <w:pPr>
        <w:pStyle w:val="ListBullet"/>
      </w:pPr>
      <w:r>
        <w:t>Do not trust tenant IDs or organization IDs supplied by callers without validation.</w:t>
      </w:r>
    </w:p>
    <w:p>
      <w:pPr>
        <w:pStyle w:val="ListBullet"/>
      </w:pPr>
      <w:r>
        <w:t>Avoid forwarding broad user tokens through long dependency chains.</w:t>
      </w:r>
    </w:p>
    <w:p>
      <w:pPr>
        <w:pStyle w:val="Heading1"/>
      </w:pPr>
      <w:r>
        <w:t>7.2 Metadata</w:t>
      </w:r>
    </w:p>
    <w:p>
      <w:pPr>
        <w:pStyle w:val="CodeBlock"/>
      </w:pPr>
      <w:r>
        <w:rPr>
          <w:rFonts w:ascii="Consolas" w:hAnsi="Consolas"/>
          <w:sz w:val="17"/>
        </w:rPr>
        <w:t>authorization: Bearer &lt;token&gt;</w:t>
        <w:br/>
      </w:r>
      <w:r>
        <w:rPr>
          <w:rFonts w:ascii="Consolas" w:hAnsi="Consolas"/>
          <w:sz w:val="17"/>
        </w:rPr>
        <w:t>x-request-id: 7b5f...</w:t>
        <w:br/>
      </w:r>
      <w:r>
        <w:rPr>
          <w:rFonts w:ascii="Consolas" w:hAnsi="Consolas"/>
          <w:sz w:val="17"/>
        </w:rPr>
        <w:t>x-tenant-id: tenant-42</w:t>
        <w:br/>
      </w:r>
      <w:r>
        <w:rPr>
          <w:rFonts w:ascii="Consolas" w:hAnsi="Consolas"/>
          <w:sz w:val="17"/>
        </w:rPr>
        <w:t>traceparent: 00-...</w:t>
        <w:br/>
      </w:r>
    </w:p>
    <w:p>
      <w:r>
        <w:t>Metadata is useful for identity, tracing, locale, and request control. Do not turn metadata into an undocumented second request body. Business input belongs in typed messages.</w:t>
      </w:r>
    </w:p>
    <w:p>
      <w:pPr>
        <w:pStyle w:val="Heading1"/>
      </w:pPr>
      <w:r>
        <w:t>7.3 Observability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17365D"/>
            <w:vAlign w:val="center"/>
            <w:tcMar>
              <w:top w:w="100" w:type="dxa"/>
              <w:start w:w="120" w:type="dxa"/>
              <w:bottom w:w="100" w:type="dxa"/>
              <w:end w:w="120" w:type="dxa"/>
            </w:tcMar>
          </w:tcPr>
          <w:p>
            <w:r>
              <w:rPr>
                <w:b/>
                <w:color w:val="FFFFFF"/>
                <w:sz w:val="19"/>
              </w:rPr>
              <w:t>Signal</w:t>
            </w:r>
          </w:p>
        </w:tc>
        <w:tc>
          <w:tcPr>
            <w:tcW w:type="dxa" w:w="7200"/>
            <w:shd w:fill="17365D"/>
            <w:vAlign w:val="center"/>
            <w:tcMar>
              <w:top w:w="100" w:type="dxa"/>
              <w:start w:w="120" w:type="dxa"/>
              <w:bottom w:w="100" w:type="dxa"/>
              <w:end w:w="120" w:type="dxa"/>
            </w:tcMar>
          </w:tcPr>
          <w:p>
            <w:r>
              <w:rPr>
                <w:b/>
                <w:color w:val="FFFFFF"/>
                <w:sz w:val="19"/>
              </w:rPr>
              <w:t>Track</w:t>
            </w:r>
          </w:p>
        </w:tc>
      </w:tr>
      <w:tr>
        <w:tc>
          <w:tcPr>
            <w:tcW w:type="dxa" w:w="2304"/>
            <w:vAlign w:val="center"/>
            <w:tcMar>
              <w:top w:w="100" w:type="dxa"/>
              <w:start w:w="120" w:type="dxa"/>
              <w:bottom w:w="100" w:type="dxa"/>
              <w:end w:w="120" w:type="dxa"/>
            </w:tcMar>
          </w:tcPr>
          <w:p>
            <w:pPr>
              <w:spacing w:after="0"/>
            </w:pPr>
            <w:r>
              <w:rPr>
                <w:sz w:val="18"/>
              </w:rPr>
              <w:t>Rate</w:t>
            </w:r>
          </w:p>
        </w:tc>
        <w:tc>
          <w:tcPr>
            <w:tcW w:type="dxa" w:w="7200"/>
            <w:vAlign w:val="center"/>
            <w:tcMar>
              <w:top w:w="100" w:type="dxa"/>
              <w:start w:w="120" w:type="dxa"/>
              <w:bottom w:w="100" w:type="dxa"/>
              <w:end w:w="120" w:type="dxa"/>
            </w:tcMar>
          </w:tcPr>
          <w:p>
            <w:pPr>
              <w:spacing w:after="0"/>
            </w:pPr>
            <w:r>
              <w:rPr>
                <w:sz w:val="18"/>
              </w:rPr>
              <w:t>Calls by service and method</w:t>
            </w:r>
          </w:p>
        </w:tc>
      </w:tr>
      <w:tr>
        <w:tc>
          <w:tcPr>
            <w:tcW w:type="dxa" w:w="2304"/>
            <w:vAlign w:val="center"/>
            <w:tcMar>
              <w:top w:w="100" w:type="dxa"/>
              <w:start w:w="120" w:type="dxa"/>
              <w:bottom w:w="100" w:type="dxa"/>
              <w:end w:w="120" w:type="dxa"/>
            </w:tcMar>
          </w:tcPr>
          <w:p>
            <w:pPr>
              <w:spacing w:after="0"/>
            </w:pPr>
            <w:r>
              <w:rPr>
                <w:sz w:val="18"/>
              </w:rPr>
              <w:t>Errors</w:t>
            </w:r>
          </w:p>
        </w:tc>
        <w:tc>
          <w:tcPr>
            <w:tcW w:type="dxa" w:w="7200"/>
            <w:vAlign w:val="center"/>
            <w:tcMar>
              <w:top w:w="100" w:type="dxa"/>
              <w:start w:w="120" w:type="dxa"/>
              <w:bottom w:w="100" w:type="dxa"/>
              <w:end w:w="120" w:type="dxa"/>
            </w:tcMar>
          </w:tcPr>
          <w:p>
            <w:pPr>
              <w:spacing w:after="0"/>
            </w:pPr>
            <w:r>
              <w:rPr>
                <w:sz w:val="18"/>
              </w:rPr>
              <w:t>gRPC status, business rejection, dependency cause</w:t>
            </w:r>
          </w:p>
        </w:tc>
      </w:tr>
      <w:tr>
        <w:tc>
          <w:tcPr>
            <w:tcW w:type="dxa" w:w="2304"/>
            <w:vAlign w:val="center"/>
            <w:tcMar>
              <w:top w:w="100" w:type="dxa"/>
              <w:start w:w="120" w:type="dxa"/>
              <w:bottom w:w="100" w:type="dxa"/>
              <w:end w:w="120" w:type="dxa"/>
            </w:tcMar>
          </w:tcPr>
          <w:p>
            <w:pPr>
              <w:spacing w:after="0"/>
            </w:pPr>
            <w:r>
              <w:rPr>
                <w:sz w:val="18"/>
              </w:rPr>
              <w:t>Duration</w:t>
            </w:r>
          </w:p>
        </w:tc>
        <w:tc>
          <w:tcPr>
            <w:tcW w:type="dxa" w:w="7200"/>
            <w:vAlign w:val="center"/>
            <w:tcMar>
              <w:top w:w="100" w:type="dxa"/>
              <w:start w:w="120" w:type="dxa"/>
              <w:bottom w:w="100" w:type="dxa"/>
              <w:end w:w="120" w:type="dxa"/>
            </w:tcMar>
          </w:tcPr>
          <w:p>
            <w:pPr>
              <w:spacing w:after="0"/>
            </w:pPr>
            <w:r>
              <w:rPr>
                <w:sz w:val="18"/>
              </w:rPr>
              <w:t>P50, P95, P99 and deadline exceeded</w:t>
            </w:r>
          </w:p>
        </w:tc>
      </w:tr>
      <w:tr>
        <w:tc>
          <w:tcPr>
            <w:tcW w:type="dxa" w:w="2304"/>
            <w:vAlign w:val="center"/>
            <w:tcMar>
              <w:top w:w="100" w:type="dxa"/>
              <w:start w:w="120" w:type="dxa"/>
              <w:bottom w:w="100" w:type="dxa"/>
              <w:end w:w="120" w:type="dxa"/>
            </w:tcMar>
          </w:tcPr>
          <w:p>
            <w:pPr>
              <w:spacing w:after="0"/>
            </w:pPr>
            <w:r>
              <w:rPr>
                <w:sz w:val="18"/>
              </w:rPr>
              <w:t>Retries</w:t>
            </w:r>
          </w:p>
        </w:tc>
        <w:tc>
          <w:tcPr>
            <w:tcW w:type="dxa" w:w="7200"/>
            <w:vAlign w:val="center"/>
            <w:tcMar>
              <w:top w:w="100" w:type="dxa"/>
              <w:start w:w="120" w:type="dxa"/>
              <w:bottom w:w="100" w:type="dxa"/>
              <w:end w:w="120" w:type="dxa"/>
            </w:tcMar>
          </w:tcPr>
          <w:p>
            <w:pPr>
              <w:spacing w:after="0"/>
            </w:pPr>
            <w:r>
              <w:rPr>
                <w:sz w:val="18"/>
              </w:rPr>
              <w:t>Attempt count and retry owner</w:t>
            </w:r>
          </w:p>
        </w:tc>
      </w:tr>
      <w:tr>
        <w:tc>
          <w:tcPr>
            <w:tcW w:type="dxa" w:w="2304"/>
            <w:vAlign w:val="center"/>
            <w:tcMar>
              <w:top w:w="100" w:type="dxa"/>
              <w:start w:w="120" w:type="dxa"/>
              <w:bottom w:w="100" w:type="dxa"/>
              <w:end w:w="120" w:type="dxa"/>
            </w:tcMar>
          </w:tcPr>
          <w:p>
            <w:pPr>
              <w:spacing w:after="0"/>
            </w:pPr>
            <w:r>
              <w:rPr>
                <w:sz w:val="18"/>
              </w:rPr>
              <w:t>Streams</w:t>
            </w:r>
          </w:p>
        </w:tc>
        <w:tc>
          <w:tcPr>
            <w:tcW w:type="dxa" w:w="7200"/>
            <w:vAlign w:val="center"/>
            <w:tcMar>
              <w:top w:w="100" w:type="dxa"/>
              <w:start w:w="120" w:type="dxa"/>
              <w:bottom w:w="100" w:type="dxa"/>
              <w:end w:w="120" w:type="dxa"/>
            </w:tcMar>
          </w:tcPr>
          <w:p>
            <w:pPr>
              <w:spacing w:after="0"/>
            </w:pPr>
            <w:r>
              <w:rPr>
                <w:sz w:val="18"/>
              </w:rPr>
              <w:t>Open streams, message rate, lag, disconnects</w:t>
            </w:r>
          </w:p>
        </w:tc>
      </w:tr>
      <w:tr>
        <w:tc>
          <w:tcPr>
            <w:tcW w:type="dxa" w:w="2304"/>
            <w:vAlign w:val="center"/>
            <w:tcMar>
              <w:top w:w="100" w:type="dxa"/>
              <w:start w:w="120" w:type="dxa"/>
              <w:bottom w:w="100" w:type="dxa"/>
              <w:end w:w="120" w:type="dxa"/>
            </w:tcMar>
          </w:tcPr>
          <w:p>
            <w:pPr>
              <w:spacing w:after="0"/>
            </w:pPr>
            <w:r>
              <w:rPr>
                <w:sz w:val="18"/>
              </w:rPr>
              <w:t>Payload</w:t>
            </w:r>
          </w:p>
        </w:tc>
        <w:tc>
          <w:tcPr>
            <w:tcW w:type="dxa" w:w="7200"/>
            <w:vAlign w:val="center"/>
            <w:tcMar>
              <w:top w:w="100" w:type="dxa"/>
              <w:start w:w="120" w:type="dxa"/>
              <w:bottom w:w="100" w:type="dxa"/>
              <w:end w:w="120" w:type="dxa"/>
            </w:tcMar>
          </w:tcPr>
          <w:p>
            <w:pPr>
              <w:spacing w:after="0"/>
            </w:pPr>
            <w:r>
              <w:rPr>
                <w:sz w:val="18"/>
              </w:rPr>
              <w:t>Message sizes and compression ratio</w:t>
            </w:r>
          </w:p>
        </w:tc>
      </w:tr>
      <w:tr>
        <w:tc>
          <w:tcPr>
            <w:tcW w:type="dxa" w:w="2304"/>
            <w:vAlign w:val="center"/>
            <w:tcMar>
              <w:top w:w="100" w:type="dxa"/>
              <w:start w:w="120" w:type="dxa"/>
              <w:bottom w:w="100" w:type="dxa"/>
              <w:end w:w="120" w:type="dxa"/>
            </w:tcMar>
          </w:tcPr>
          <w:p>
            <w:pPr>
              <w:spacing w:after="0"/>
            </w:pPr>
            <w:r>
              <w:rPr>
                <w:sz w:val="18"/>
              </w:rPr>
              <w:t>Capacity</w:t>
            </w:r>
          </w:p>
        </w:tc>
        <w:tc>
          <w:tcPr>
            <w:tcW w:type="dxa" w:w="7200"/>
            <w:vAlign w:val="center"/>
            <w:tcMar>
              <w:top w:w="100" w:type="dxa"/>
              <w:start w:w="120" w:type="dxa"/>
              <w:bottom w:w="100" w:type="dxa"/>
              <w:end w:w="120" w:type="dxa"/>
            </w:tcMar>
          </w:tcPr>
          <w:p>
            <w:pPr>
              <w:spacing w:after="0"/>
            </w:pPr>
            <w:r>
              <w:rPr>
                <w:sz w:val="18"/>
              </w:rPr>
              <w:t>Connections, concurrent streams, CPU, memory</w:t>
            </w:r>
          </w:p>
        </w:tc>
      </w:tr>
    </w:tbl>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Privacy rule:  </w:t>
            </w:r>
            <w:r>
              <w:t>Do not log full protobuf messages by default. Healthcare, financial, identity, and credential fields require explicit redaction or allowlisted logging.</w:t>
            </w:r>
          </w:p>
        </w:tc>
      </w:tr>
    </w:tbl>
    <w:p/>
    <w:p>
      <w:pPr>
        <w:pStyle w:val="Heading1"/>
      </w:pPr>
      <w:r>
        <w:t>7.4 Health and graceful shutdown</w:t>
      </w:r>
    </w:p>
    <w:p>
      <w:pPr>
        <w:pStyle w:val="ListBullet"/>
      </w:pPr>
      <w:r>
        <w:t>Expose standard health status for load balancers and orchestration.</w:t>
      </w:r>
    </w:p>
    <w:p>
      <w:pPr>
        <w:pStyle w:val="ListBullet"/>
      </w:pPr>
      <w:r>
        <w:t>Stop accepting new requests before termination.</w:t>
      </w:r>
    </w:p>
    <w:p>
      <w:pPr>
        <w:pStyle w:val="ListBullet"/>
      </w:pPr>
      <w:r>
        <w:t>Allow bounded time for in-flight unary calls.</w:t>
      </w:r>
    </w:p>
    <w:p>
      <w:pPr>
        <w:pStyle w:val="ListBullet"/>
      </w:pPr>
      <w:r>
        <w:t>Signal or drain long-lived streams with reconnect guidance.</w:t>
      </w:r>
    </w:p>
    <w:p>
      <w:pPr>
        <w:pStyle w:val="ListBullet"/>
      </w:pPr>
      <w:r>
        <w:t>Coordinate connection age and load-balancer behavior to avoid synchronized reconnect storms.</w:t>
      </w:r>
    </w:p>
    <w:p>
      <w:pPr>
        <w:pStyle w:val="Title"/>
      </w:pPr>
      <w:r>
        <w:t>8. Practical domain case studies</w:t>
      </w:r>
    </w:p>
    <w:p>
      <w:pPr>
        <w:pStyle w:val="Heading1"/>
      </w:pPr>
      <w:r>
        <w:t>8.1 Food delivery: pricing and driver dispatch</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96"/>
            <w:shd w:fill="17365D"/>
            <w:vAlign w:val="center"/>
            <w:tcMar>
              <w:top w:w="100" w:type="dxa"/>
              <w:start w:w="120" w:type="dxa"/>
              <w:bottom w:w="100" w:type="dxa"/>
              <w:end w:w="120" w:type="dxa"/>
            </w:tcMar>
          </w:tcPr>
          <w:p>
            <w:r>
              <w:rPr>
                <w:b/>
                <w:color w:val="FFFFFF"/>
                <w:sz w:val="19"/>
              </w:rPr>
              <w:t>Workflow</w:t>
            </w:r>
          </w:p>
        </w:tc>
        <w:tc>
          <w:tcPr>
            <w:tcW w:type="dxa" w:w="3096"/>
            <w:shd w:fill="17365D"/>
            <w:vAlign w:val="center"/>
            <w:tcMar>
              <w:top w:w="100" w:type="dxa"/>
              <w:start w:w="120" w:type="dxa"/>
              <w:bottom w:w="100" w:type="dxa"/>
              <w:end w:w="120" w:type="dxa"/>
            </w:tcMar>
          </w:tcPr>
          <w:p>
            <w:r>
              <w:rPr>
                <w:b/>
                <w:color w:val="FFFFFF"/>
                <w:sz w:val="19"/>
              </w:rPr>
              <w:t>Recommended interface</w:t>
            </w:r>
          </w:p>
        </w:tc>
        <w:tc>
          <w:tcPr>
            <w:tcW w:type="dxa" w:w="3528"/>
            <w:shd w:fill="17365D"/>
            <w:vAlign w:val="center"/>
            <w:tcMar>
              <w:top w:w="100" w:type="dxa"/>
              <w:start w:w="120" w:type="dxa"/>
              <w:bottom w:w="100" w:type="dxa"/>
              <w:end w:w="120" w:type="dxa"/>
            </w:tcMar>
          </w:tcPr>
          <w:p>
            <w:r>
              <w:rPr>
                <w:b/>
                <w:color w:val="FFFFFF"/>
                <w:sz w:val="19"/>
              </w:rPr>
              <w:t>Reason</w:t>
            </w:r>
          </w:p>
        </w:tc>
      </w:tr>
      <w:tr>
        <w:tc>
          <w:tcPr>
            <w:tcW w:type="dxa" w:w="3096"/>
            <w:vAlign w:val="center"/>
            <w:tcMar>
              <w:top w:w="100" w:type="dxa"/>
              <w:start w:w="120" w:type="dxa"/>
              <w:bottom w:w="100" w:type="dxa"/>
              <w:end w:w="120" w:type="dxa"/>
            </w:tcMar>
          </w:tcPr>
          <w:p>
            <w:pPr>
              <w:spacing w:after="0"/>
            </w:pPr>
            <w:r>
              <w:rPr>
                <w:sz w:val="18"/>
              </w:rPr>
              <w:t>Mobile menu retrieval</w:t>
            </w:r>
          </w:p>
        </w:tc>
        <w:tc>
          <w:tcPr>
            <w:tcW w:type="dxa" w:w="3096"/>
            <w:vAlign w:val="center"/>
            <w:tcMar>
              <w:top w:w="100" w:type="dxa"/>
              <w:start w:w="120" w:type="dxa"/>
              <w:bottom w:w="100" w:type="dxa"/>
              <w:end w:w="120" w:type="dxa"/>
            </w:tcMar>
          </w:tcPr>
          <w:p>
            <w:pPr>
              <w:spacing w:after="0"/>
            </w:pPr>
            <w:r>
              <w:rPr>
                <w:sz w:val="18"/>
              </w:rPr>
              <w:t>REST + CDN</w:t>
            </w:r>
          </w:p>
        </w:tc>
        <w:tc>
          <w:tcPr>
            <w:tcW w:type="dxa" w:w="3528"/>
            <w:vAlign w:val="center"/>
            <w:tcMar>
              <w:top w:w="100" w:type="dxa"/>
              <w:start w:w="120" w:type="dxa"/>
              <w:bottom w:w="100" w:type="dxa"/>
              <w:end w:w="120" w:type="dxa"/>
            </w:tcMar>
          </w:tcPr>
          <w:p>
            <w:pPr>
              <w:spacing w:after="0"/>
            </w:pPr>
            <w:r>
              <w:rPr>
                <w:sz w:val="18"/>
              </w:rPr>
              <w:t>Cacheable public reads</w:t>
            </w:r>
          </w:p>
        </w:tc>
      </w:tr>
      <w:tr>
        <w:tc>
          <w:tcPr>
            <w:tcW w:type="dxa" w:w="3096"/>
            <w:vAlign w:val="center"/>
            <w:tcMar>
              <w:top w:w="100" w:type="dxa"/>
              <w:start w:w="120" w:type="dxa"/>
              <w:bottom w:w="100" w:type="dxa"/>
              <w:end w:w="120" w:type="dxa"/>
            </w:tcMar>
          </w:tcPr>
          <w:p>
            <w:pPr>
              <w:spacing w:after="0"/>
            </w:pPr>
            <w:r>
              <w:rPr>
                <w:sz w:val="18"/>
              </w:rPr>
              <w:t>Checkout → pricing</w:t>
            </w:r>
          </w:p>
        </w:tc>
        <w:tc>
          <w:tcPr>
            <w:tcW w:type="dxa" w:w="3096"/>
            <w:vAlign w:val="center"/>
            <w:tcMar>
              <w:top w:w="100" w:type="dxa"/>
              <w:start w:w="120" w:type="dxa"/>
              <w:bottom w:w="100" w:type="dxa"/>
              <w:end w:w="120" w:type="dxa"/>
            </w:tcMar>
          </w:tcPr>
          <w:p>
            <w:pPr>
              <w:spacing w:after="0"/>
            </w:pPr>
            <w:r>
              <w:rPr>
                <w:sz w:val="18"/>
              </w:rPr>
              <w:t>Unary gRPC</w:t>
            </w:r>
          </w:p>
        </w:tc>
        <w:tc>
          <w:tcPr>
            <w:tcW w:type="dxa" w:w="3528"/>
            <w:vAlign w:val="center"/>
            <w:tcMar>
              <w:top w:w="100" w:type="dxa"/>
              <w:start w:w="120" w:type="dxa"/>
              <w:bottom w:w="100" w:type="dxa"/>
              <w:end w:w="120" w:type="dxa"/>
            </w:tcMar>
          </w:tcPr>
          <w:p>
            <w:pPr>
              <w:spacing w:after="0"/>
            </w:pPr>
            <w:r>
              <w:rPr>
                <w:sz w:val="18"/>
              </w:rPr>
              <w:t>High-volume fixed internal contract</w:t>
            </w:r>
          </w:p>
        </w:tc>
      </w:tr>
      <w:tr>
        <w:tc>
          <w:tcPr>
            <w:tcW w:type="dxa" w:w="3096"/>
            <w:vAlign w:val="center"/>
            <w:tcMar>
              <w:top w:w="100" w:type="dxa"/>
              <w:start w:w="120" w:type="dxa"/>
              <w:bottom w:w="100" w:type="dxa"/>
              <w:end w:w="120" w:type="dxa"/>
            </w:tcMar>
          </w:tcPr>
          <w:p>
            <w:pPr>
              <w:spacing w:after="0"/>
            </w:pPr>
            <w:r>
              <w:rPr>
                <w:sz w:val="18"/>
              </w:rPr>
              <w:t>Driver location/dispatch</w:t>
            </w:r>
          </w:p>
        </w:tc>
        <w:tc>
          <w:tcPr>
            <w:tcW w:type="dxa" w:w="3096"/>
            <w:vAlign w:val="center"/>
            <w:tcMar>
              <w:top w:w="100" w:type="dxa"/>
              <w:start w:w="120" w:type="dxa"/>
              <w:bottom w:w="100" w:type="dxa"/>
              <w:end w:w="120" w:type="dxa"/>
            </w:tcMar>
          </w:tcPr>
          <w:p>
            <w:pPr>
              <w:spacing w:after="0"/>
            </w:pPr>
            <w:r>
              <w:rPr>
                <w:sz w:val="18"/>
              </w:rPr>
              <w:t>Bidirectional gRPC stream or MQTT</w:t>
            </w:r>
          </w:p>
        </w:tc>
        <w:tc>
          <w:tcPr>
            <w:tcW w:type="dxa" w:w="3528"/>
            <w:vAlign w:val="center"/>
            <w:tcMar>
              <w:top w:w="100" w:type="dxa"/>
              <w:start w:w="120" w:type="dxa"/>
              <w:bottom w:w="100" w:type="dxa"/>
              <w:end w:w="120" w:type="dxa"/>
            </w:tcMar>
          </w:tcPr>
          <w:p>
            <w:pPr>
              <w:spacing w:after="0"/>
            </w:pPr>
            <w:r>
              <w:rPr>
                <w:sz w:val="18"/>
              </w:rPr>
              <w:t>Continuous two-way messages</w:t>
            </w:r>
          </w:p>
        </w:tc>
      </w:tr>
      <w:tr>
        <w:tc>
          <w:tcPr>
            <w:tcW w:type="dxa" w:w="3096"/>
            <w:vAlign w:val="center"/>
            <w:tcMar>
              <w:top w:w="100" w:type="dxa"/>
              <w:start w:w="120" w:type="dxa"/>
              <w:bottom w:w="100" w:type="dxa"/>
              <w:end w:w="120" w:type="dxa"/>
            </w:tcMar>
          </w:tcPr>
          <w:p>
            <w:pPr>
              <w:spacing w:after="0"/>
            </w:pPr>
            <w:r>
              <w:rPr>
                <w:sz w:val="18"/>
              </w:rPr>
              <w:t>Order lifecycle fan-out</w:t>
            </w:r>
          </w:p>
        </w:tc>
        <w:tc>
          <w:tcPr>
            <w:tcW w:type="dxa" w:w="3096"/>
            <w:vAlign w:val="center"/>
            <w:tcMar>
              <w:top w:w="100" w:type="dxa"/>
              <w:start w:w="120" w:type="dxa"/>
              <w:bottom w:w="100" w:type="dxa"/>
              <w:end w:w="120" w:type="dxa"/>
            </w:tcMar>
          </w:tcPr>
          <w:p>
            <w:pPr>
              <w:spacing w:after="0"/>
            </w:pPr>
            <w:r>
              <w:rPr>
                <w:sz w:val="18"/>
              </w:rPr>
              <w:t>Event broker</w:t>
            </w:r>
          </w:p>
        </w:tc>
        <w:tc>
          <w:tcPr>
            <w:tcW w:type="dxa" w:w="3528"/>
            <w:vAlign w:val="center"/>
            <w:tcMar>
              <w:top w:w="100" w:type="dxa"/>
              <w:start w:w="120" w:type="dxa"/>
              <w:bottom w:w="100" w:type="dxa"/>
              <w:end w:w="120" w:type="dxa"/>
            </w:tcMar>
          </w:tcPr>
          <w:p>
            <w:pPr>
              <w:spacing w:after="0"/>
            </w:pPr>
            <w:r>
              <w:rPr>
                <w:sz w:val="18"/>
              </w:rPr>
              <w:t>Durable async workflow and replay</w:t>
            </w:r>
          </w:p>
        </w:tc>
      </w:tr>
    </w:tbl>
    <w:p/>
    <w:p>
      <w:pPr>
        <w:pStyle w:val="CodeBlock"/>
      </w:pPr>
      <w:r>
        <w:rPr>
          <w:rFonts w:ascii="Consolas" w:hAnsi="Consolas"/>
          <w:sz w:val="17"/>
        </w:rPr>
        <w:t>service PricingService {</w:t>
        <w:br/>
      </w:r>
      <w:r>
        <w:rPr>
          <w:rFonts w:ascii="Consolas" w:hAnsi="Consolas"/>
          <w:sz w:val="17"/>
        </w:rPr>
        <w:t xml:space="preserve">  rpc PriceCart(PriceCartRequest) returns (PriceCartResponse);</w:t>
        <w:br/>
      </w:r>
      <w:r>
        <w:rPr>
          <w:rFonts w:ascii="Consolas" w:hAnsi="Consolas"/>
          <w:sz w:val="17"/>
        </w:rPr>
        <w:t>}</w:t>
        <w:br/>
      </w:r>
      <w:r>
        <w:rPr>
          <w:rFonts w:ascii="Consolas" w:hAnsi="Consolas"/>
          <w:sz w:val="17"/>
        </w:rPr>
        <w:br/>
      </w:r>
      <w:r>
        <w:rPr>
          <w:rFonts w:ascii="Consolas" w:hAnsi="Consolas"/>
          <w:sz w:val="17"/>
        </w:rPr>
        <w:t>message PriceCartRequest {</w:t>
        <w:br/>
      </w:r>
      <w:r>
        <w:rPr>
          <w:rFonts w:ascii="Consolas" w:hAnsi="Consolas"/>
          <w:sz w:val="17"/>
        </w:rPr>
        <w:t xml:space="preserve">  string cart_id = 1;</w:t>
        <w:br/>
      </w:r>
      <w:r>
        <w:rPr>
          <w:rFonts w:ascii="Consolas" w:hAnsi="Consolas"/>
          <w:sz w:val="17"/>
        </w:rPr>
        <w:t xml:space="preserve">  string customer_id = 2;</w:t>
        <w:br/>
      </w:r>
      <w:r>
        <w:rPr>
          <w:rFonts w:ascii="Consolas" w:hAnsi="Consolas"/>
          <w:sz w:val="17"/>
        </w:rPr>
        <w:t xml:space="preserve">  repeated CartLine lines = 3;</w:t>
        <w:br/>
      </w:r>
      <w:r>
        <w:rPr>
          <w:rFonts w:ascii="Consolas" w:hAnsi="Consolas"/>
          <w:sz w:val="17"/>
        </w:rPr>
        <w:t xml:space="preserve">  DeliveryContext delivery = 4;</w:t>
        <w:br/>
      </w:r>
      <w:r>
        <w:rPr>
          <w:rFonts w:ascii="Consolas" w:hAnsi="Consolas"/>
          <w:sz w:val="17"/>
        </w:rPr>
        <w:t>}</w:t>
        <w:br/>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Boundary insight:  </w:t>
            </w:r>
            <w:r>
              <w:t>gRPC can optimize checkout-to-pricing communication, but the customer-facing API may remain REST or GraphQL and order processing should remain asynchronous where appropriate.</w:t>
            </w:r>
          </w:p>
        </w:tc>
      </w:tr>
    </w:tbl>
    <w:p/>
    <w:p>
      <w:pPr>
        <w:pStyle w:val="Heading1"/>
      </w:pPr>
      <w:r>
        <w:t>8.2 Healthcare: clinical calculation service</w:t>
      </w:r>
    </w:p>
    <w:p>
      <w:r>
        <w:t>A FHIR-facing interoperability layer can call an internal gRPC service for a stable, compute-heavy clinical calculation. FHIR remains the external contract; gRPC is an implementation boundary.</w:t>
      </w:r>
    </w:p>
    <w:p>
      <w:pPr>
        <w:pStyle w:val="CodeBlock"/>
      </w:pPr>
      <w:r>
        <w:rPr>
          <w:rFonts w:ascii="Consolas" w:hAnsi="Consolas"/>
          <w:sz w:val="17"/>
        </w:rPr>
        <w:t>service ClinicalRiskService {</w:t>
        <w:br/>
      </w:r>
      <w:r>
        <w:rPr>
          <w:rFonts w:ascii="Consolas" w:hAnsi="Consolas"/>
          <w:sz w:val="17"/>
        </w:rPr>
        <w:t xml:space="preserve">  rpc CalculateRisk(CalculateRiskRequest) returns (CalculateRiskResponse);</w:t>
        <w:br/>
      </w:r>
      <w:r>
        <w:rPr>
          <w:rFonts w:ascii="Consolas" w:hAnsi="Consolas"/>
          <w:sz w:val="17"/>
        </w:rPr>
        <w:t>}</w:t>
        <w:br/>
      </w:r>
      <w:r>
        <w:rPr>
          <w:rFonts w:ascii="Consolas" w:hAnsi="Consolas"/>
          <w:sz w:val="17"/>
        </w:rPr>
        <w:br/>
      </w:r>
      <w:r>
        <w:rPr>
          <w:rFonts w:ascii="Consolas" w:hAnsi="Consolas"/>
          <w:sz w:val="17"/>
        </w:rPr>
        <w:t>message CalculateRiskRequest {</w:t>
        <w:br/>
      </w:r>
      <w:r>
        <w:rPr>
          <w:rFonts w:ascii="Consolas" w:hAnsi="Consolas"/>
          <w:sz w:val="17"/>
        </w:rPr>
        <w:t xml:space="preserve">  string patient_reference = 1;</w:t>
        <w:br/>
      </w:r>
      <w:r>
        <w:rPr>
          <w:rFonts w:ascii="Consolas" w:hAnsi="Consolas"/>
          <w:sz w:val="17"/>
        </w:rPr>
        <w:t xml:space="preserve">  repeated ClinicalObservation observations = 2;</w:t>
        <w:br/>
      </w:r>
      <w:r>
        <w:rPr>
          <w:rFonts w:ascii="Consolas" w:hAnsi="Consolas"/>
          <w:sz w:val="17"/>
        </w:rPr>
        <w:t xml:space="preserve">  string model_version = 3;</w:t>
        <w:br/>
      </w:r>
      <w:r>
        <w:rPr>
          <w:rFonts w:ascii="Consolas" w:hAnsi="Consolas"/>
          <w:sz w:val="17"/>
        </w:rPr>
        <w:t>}</w:t>
        <w:br/>
      </w:r>
    </w:p>
    <w:p>
      <w:pPr>
        <w:pStyle w:val="ListBullet"/>
      </w:pPr>
      <w:r>
        <w:t>Validate coded units and terminology before calculation.</w:t>
      </w:r>
    </w:p>
    <w:p>
      <w:pPr>
        <w:pStyle w:val="ListBullet"/>
      </w:pPr>
      <w:r>
        <w:t>Carry provenance and model version in the response.</w:t>
      </w:r>
    </w:p>
    <w:p>
      <w:pPr>
        <w:pStyle w:val="ListBullet"/>
      </w:pPr>
      <w:r>
        <w:t>Do not assume the internal protobuf replaces FHIR interoperability requirements.</w:t>
      </w:r>
    </w:p>
    <w:p>
      <w:pPr>
        <w:pStyle w:val="ListBullet"/>
      </w:pPr>
      <w:r>
        <w:t>Apply patient/resource authorization before loading sensitive data.</w:t>
      </w:r>
    </w:p>
    <w:p>
      <w:pPr>
        <w:pStyle w:val="Heading1"/>
      </w:pPr>
      <w:r>
        <w:t>8.3 Finance: fraud scoring and transfer execution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024"/>
            <w:shd w:fill="17365D"/>
            <w:vAlign w:val="center"/>
            <w:tcMar>
              <w:top w:w="100" w:type="dxa"/>
              <w:start w:w="120" w:type="dxa"/>
              <w:bottom w:w="100" w:type="dxa"/>
              <w:end w:w="120" w:type="dxa"/>
            </w:tcMar>
          </w:tcPr>
          <w:p>
            <w:r>
              <w:rPr>
                <w:b/>
                <w:color w:val="FFFFFF"/>
                <w:sz w:val="19"/>
              </w:rPr>
              <w:t>Capability</w:t>
            </w:r>
          </w:p>
        </w:tc>
        <w:tc>
          <w:tcPr>
            <w:tcW w:type="dxa" w:w="2232"/>
            <w:shd w:fill="17365D"/>
            <w:vAlign w:val="center"/>
            <w:tcMar>
              <w:top w:w="100" w:type="dxa"/>
              <w:start w:w="120" w:type="dxa"/>
              <w:bottom w:w="100" w:type="dxa"/>
              <w:end w:w="120" w:type="dxa"/>
            </w:tcMar>
          </w:tcPr>
          <w:p>
            <w:r>
              <w:rPr>
                <w:b/>
                <w:color w:val="FFFFFF"/>
                <w:sz w:val="19"/>
              </w:rPr>
              <w:t>gRPC suitability</w:t>
            </w:r>
          </w:p>
        </w:tc>
        <w:tc>
          <w:tcPr>
            <w:tcW w:type="dxa" w:w="4464"/>
            <w:shd w:fill="17365D"/>
            <w:vAlign w:val="center"/>
            <w:tcMar>
              <w:top w:w="100" w:type="dxa"/>
              <w:start w:w="120" w:type="dxa"/>
              <w:bottom w:w="100" w:type="dxa"/>
              <w:end w:w="120" w:type="dxa"/>
            </w:tcMar>
          </w:tcPr>
          <w:p>
            <w:r>
              <w:rPr>
                <w:b/>
                <w:color w:val="FFFFFF"/>
                <w:sz w:val="19"/>
              </w:rPr>
              <w:t>Important constraint</w:t>
            </w:r>
          </w:p>
        </w:tc>
      </w:tr>
      <w:tr>
        <w:tc>
          <w:tcPr>
            <w:tcW w:type="dxa" w:w="3024"/>
            <w:vAlign w:val="center"/>
            <w:tcMar>
              <w:top w:w="100" w:type="dxa"/>
              <w:start w:w="120" w:type="dxa"/>
              <w:bottom w:w="100" w:type="dxa"/>
              <w:end w:w="120" w:type="dxa"/>
            </w:tcMar>
          </w:tcPr>
          <w:p>
            <w:pPr>
              <w:spacing w:after="0"/>
            </w:pPr>
            <w:r>
              <w:rPr>
                <w:sz w:val="18"/>
              </w:rPr>
              <w:t>Fraud scoring</w:t>
            </w:r>
          </w:p>
        </w:tc>
        <w:tc>
          <w:tcPr>
            <w:tcW w:type="dxa" w:w="2232"/>
            <w:vAlign w:val="center"/>
            <w:tcMar>
              <w:top w:w="100" w:type="dxa"/>
              <w:start w:w="120" w:type="dxa"/>
              <w:bottom w:w="100" w:type="dxa"/>
              <w:end w:w="120" w:type="dxa"/>
            </w:tcMar>
          </w:tcPr>
          <w:p>
            <w:pPr>
              <w:spacing w:after="0"/>
            </w:pPr>
            <w:r>
              <w:rPr>
                <w:sz w:val="18"/>
              </w:rPr>
              <w:t>Strong</w:t>
            </w:r>
          </w:p>
        </w:tc>
        <w:tc>
          <w:tcPr>
            <w:tcW w:type="dxa" w:w="4464"/>
            <w:vAlign w:val="center"/>
            <w:tcMar>
              <w:top w:w="100" w:type="dxa"/>
              <w:start w:w="120" w:type="dxa"/>
              <w:bottom w:w="100" w:type="dxa"/>
              <w:end w:w="120" w:type="dxa"/>
            </w:tcMar>
          </w:tcPr>
          <w:p>
            <w:pPr>
              <w:spacing w:after="0"/>
            </w:pPr>
            <w:r>
              <w:rPr>
                <w:sz w:val="18"/>
              </w:rPr>
              <w:t>Strict deadline and deterministic fallback</w:t>
            </w:r>
          </w:p>
        </w:tc>
      </w:tr>
      <w:tr>
        <w:tc>
          <w:tcPr>
            <w:tcW w:type="dxa" w:w="3024"/>
            <w:vAlign w:val="center"/>
            <w:tcMar>
              <w:top w:w="100" w:type="dxa"/>
              <w:start w:w="120" w:type="dxa"/>
              <w:bottom w:w="100" w:type="dxa"/>
              <w:end w:w="120" w:type="dxa"/>
            </w:tcMar>
          </w:tcPr>
          <w:p>
            <w:pPr>
              <w:spacing w:after="0"/>
            </w:pPr>
            <w:r>
              <w:rPr>
                <w:sz w:val="18"/>
              </w:rPr>
              <w:t>Ledger posting within one domain</w:t>
            </w:r>
          </w:p>
        </w:tc>
        <w:tc>
          <w:tcPr>
            <w:tcW w:type="dxa" w:w="2232"/>
            <w:vAlign w:val="center"/>
            <w:tcMar>
              <w:top w:w="100" w:type="dxa"/>
              <w:start w:w="120" w:type="dxa"/>
              <w:bottom w:w="100" w:type="dxa"/>
              <w:end w:w="120" w:type="dxa"/>
            </w:tcMar>
          </w:tcPr>
          <w:p>
            <w:pPr>
              <w:spacing w:after="0"/>
            </w:pPr>
            <w:r>
              <w:rPr>
                <w:sz w:val="18"/>
              </w:rPr>
              <w:t>Possible</w:t>
            </w:r>
          </w:p>
        </w:tc>
        <w:tc>
          <w:tcPr>
            <w:tcW w:type="dxa" w:w="4464"/>
            <w:vAlign w:val="center"/>
            <w:tcMar>
              <w:top w:w="100" w:type="dxa"/>
              <w:start w:w="120" w:type="dxa"/>
              <w:bottom w:w="100" w:type="dxa"/>
              <w:end w:w="120" w:type="dxa"/>
            </w:tcMar>
          </w:tcPr>
          <w:p>
            <w:pPr>
              <w:spacing w:after="0"/>
            </w:pPr>
            <w:r>
              <w:rPr>
                <w:sz w:val="18"/>
              </w:rPr>
              <w:t>Must preserve transactional invariants</w:t>
            </w:r>
          </w:p>
        </w:tc>
      </w:tr>
      <w:tr>
        <w:tc>
          <w:tcPr>
            <w:tcW w:type="dxa" w:w="3024"/>
            <w:vAlign w:val="center"/>
            <w:tcMar>
              <w:top w:w="100" w:type="dxa"/>
              <w:start w:w="120" w:type="dxa"/>
              <w:bottom w:w="100" w:type="dxa"/>
              <w:end w:w="120" w:type="dxa"/>
            </w:tcMar>
          </w:tcPr>
          <w:p>
            <w:pPr>
              <w:spacing w:after="0"/>
            </w:pPr>
            <w:r>
              <w:rPr>
                <w:sz w:val="18"/>
              </w:rPr>
              <w:t>Public merchant payment API</w:t>
            </w:r>
          </w:p>
        </w:tc>
        <w:tc>
          <w:tcPr>
            <w:tcW w:type="dxa" w:w="2232"/>
            <w:vAlign w:val="center"/>
            <w:tcMar>
              <w:top w:w="100" w:type="dxa"/>
              <w:start w:w="120" w:type="dxa"/>
              <w:bottom w:w="100" w:type="dxa"/>
              <w:end w:w="120" w:type="dxa"/>
            </w:tcMar>
          </w:tcPr>
          <w:p>
            <w:pPr>
              <w:spacing w:after="0"/>
            </w:pPr>
            <w:r>
              <w:rPr>
                <w:sz w:val="18"/>
              </w:rPr>
              <w:t>Usually REST externally</w:t>
            </w:r>
          </w:p>
        </w:tc>
        <w:tc>
          <w:tcPr>
            <w:tcW w:type="dxa" w:w="4464"/>
            <w:vAlign w:val="center"/>
            <w:tcMar>
              <w:top w:w="100" w:type="dxa"/>
              <w:start w:w="120" w:type="dxa"/>
              <w:bottom w:w="100" w:type="dxa"/>
              <w:end w:w="120" w:type="dxa"/>
            </w:tcMar>
          </w:tcPr>
          <w:p>
            <w:pPr>
              <w:spacing w:after="0"/>
            </w:pPr>
            <w:r>
              <w:rPr>
                <w:sz w:val="18"/>
              </w:rPr>
              <w:t>Compatibility and security ecosystem</w:t>
            </w:r>
          </w:p>
        </w:tc>
      </w:tr>
      <w:tr>
        <w:tc>
          <w:tcPr>
            <w:tcW w:type="dxa" w:w="3024"/>
            <w:vAlign w:val="center"/>
            <w:tcMar>
              <w:top w:w="100" w:type="dxa"/>
              <w:start w:w="120" w:type="dxa"/>
              <w:bottom w:w="100" w:type="dxa"/>
              <w:end w:w="120" w:type="dxa"/>
            </w:tcMar>
          </w:tcPr>
          <w:p>
            <w:pPr>
              <w:spacing w:after="0"/>
            </w:pPr>
            <w:r>
              <w:rPr>
                <w:sz w:val="18"/>
              </w:rPr>
              <w:t>Settlement notifications</w:t>
            </w:r>
          </w:p>
        </w:tc>
        <w:tc>
          <w:tcPr>
            <w:tcW w:type="dxa" w:w="2232"/>
            <w:vAlign w:val="center"/>
            <w:tcMar>
              <w:top w:w="100" w:type="dxa"/>
              <w:start w:w="120" w:type="dxa"/>
              <w:bottom w:w="100" w:type="dxa"/>
              <w:end w:w="120" w:type="dxa"/>
            </w:tcMar>
          </w:tcPr>
          <w:p>
            <w:pPr>
              <w:spacing w:after="0"/>
            </w:pPr>
            <w:r>
              <w:rPr>
                <w:sz w:val="18"/>
              </w:rPr>
              <w:t>Event/webhook</w:t>
            </w:r>
          </w:p>
        </w:tc>
        <w:tc>
          <w:tcPr>
            <w:tcW w:type="dxa" w:w="4464"/>
            <w:vAlign w:val="center"/>
            <w:tcMar>
              <w:top w:w="100" w:type="dxa"/>
              <w:start w:w="120" w:type="dxa"/>
              <w:bottom w:w="100" w:type="dxa"/>
              <w:end w:w="120" w:type="dxa"/>
            </w:tcMar>
          </w:tcPr>
          <w:p>
            <w:pPr>
              <w:spacing w:after="0"/>
            </w:pPr>
            <w:r>
              <w:rPr>
                <w:sz w:val="18"/>
              </w:rPr>
              <w:t>Durability and independent consumers</w:t>
            </w:r>
          </w:p>
        </w:tc>
      </w:tr>
    </w:tbl>
    <w:p/>
    <w:p>
      <w:pPr>
        <w:pStyle w:val="CodeBlock"/>
      </w:pPr>
      <w:r>
        <w:rPr>
          <w:rFonts w:ascii="Consolas" w:hAnsi="Consolas"/>
          <w:sz w:val="17"/>
        </w:rPr>
        <w:t>service FraudDecisionService {</w:t>
        <w:br/>
      </w:r>
      <w:r>
        <w:rPr>
          <w:rFonts w:ascii="Consolas" w:hAnsi="Consolas"/>
          <w:sz w:val="17"/>
        </w:rPr>
        <w:t xml:space="preserve">  rpc ScorePayment(ScorePaymentRequest) returns (ScorePaymentResponse);</w:t>
        <w:br/>
      </w:r>
      <w:r>
        <w:rPr>
          <w:rFonts w:ascii="Consolas" w:hAnsi="Consolas"/>
          <w:sz w:val="17"/>
        </w:rPr>
        <w:t>}</w:t>
        <w:br/>
      </w:r>
      <w:r>
        <w:rPr>
          <w:rFonts w:ascii="Consolas" w:hAnsi="Consolas"/>
          <w:sz w:val="17"/>
        </w:rPr>
        <w:br/>
      </w:r>
      <w:r>
        <w:rPr>
          <w:rFonts w:ascii="Consolas" w:hAnsi="Consolas"/>
          <w:sz w:val="17"/>
        </w:rPr>
        <w:t>message ScorePaymentResponse {</w:t>
        <w:br/>
      </w:r>
      <w:r>
        <w:rPr>
          <w:rFonts w:ascii="Consolas" w:hAnsi="Consolas"/>
          <w:sz w:val="17"/>
        </w:rPr>
        <w:t xml:space="preserve">  FraudDecision decision = 1;</w:t>
        <w:br/>
      </w:r>
      <w:r>
        <w:rPr>
          <w:rFonts w:ascii="Consolas" w:hAnsi="Consolas"/>
          <w:sz w:val="17"/>
        </w:rPr>
        <w:t xml:space="preserve">  int32 score = 2;</w:t>
        <w:br/>
      </w:r>
      <w:r>
        <w:rPr>
          <w:rFonts w:ascii="Consolas" w:hAnsi="Consolas"/>
          <w:sz w:val="17"/>
        </w:rPr>
        <w:t xml:space="preserve">  repeated string reason_codes = 3;</w:t>
        <w:br/>
      </w:r>
      <w:r>
        <w:rPr>
          <w:rFonts w:ascii="Consolas" w:hAnsi="Consolas"/>
          <w:sz w:val="17"/>
        </w:rPr>
        <w:t xml:space="preserve">  string model_version = 4;</w:t>
        <w:br/>
      </w:r>
      <w:r>
        <w:rPr>
          <w:rFonts w:ascii="Consolas" w:hAnsi="Consolas"/>
          <w:sz w:val="17"/>
        </w:rPr>
        <w:t>}</w:t>
        <w:br/>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Failure decision:  </w:t>
            </w:r>
            <w:r>
              <w:t>Define what happens when fraud scoring exceeds its deadline: fail closed, fail open under a threshold, queue for review, or use a cached/fallback policy. This is a business-risk decision, not merely a transport setting.</w:t>
            </w:r>
          </w:p>
        </w:tc>
      </w:tr>
    </w:tbl>
    <w:p/>
    <w:p>
      <w:pPr>
        <w:pStyle w:val="Title"/>
      </w:pPr>
      <w:r>
        <w:t>9. Scaling and cost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17365D"/>
            <w:vAlign w:val="center"/>
            <w:tcMar>
              <w:top w:w="100" w:type="dxa"/>
              <w:start w:w="120" w:type="dxa"/>
              <w:bottom w:w="100" w:type="dxa"/>
              <w:end w:w="120" w:type="dxa"/>
            </w:tcMar>
          </w:tcPr>
          <w:p>
            <w:r>
              <w:rPr>
                <w:b/>
                <w:color w:val="FFFFFF"/>
                <w:sz w:val="19"/>
              </w:rPr>
              <w:t>Scale stage</w:t>
            </w:r>
          </w:p>
        </w:tc>
        <w:tc>
          <w:tcPr>
            <w:tcW w:type="dxa" w:w="3672"/>
            <w:shd w:fill="17365D"/>
            <w:vAlign w:val="center"/>
            <w:tcMar>
              <w:top w:w="100" w:type="dxa"/>
              <w:start w:w="120" w:type="dxa"/>
              <w:bottom w:w="100" w:type="dxa"/>
              <w:end w:w="120" w:type="dxa"/>
            </w:tcMar>
          </w:tcPr>
          <w:p>
            <w:r>
              <w:rPr>
                <w:b/>
                <w:color w:val="FFFFFF"/>
                <w:sz w:val="19"/>
              </w:rPr>
              <w:t>Likely approach</w:t>
            </w:r>
          </w:p>
        </w:tc>
        <w:tc>
          <w:tcPr>
            <w:tcW w:type="dxa" w:w="3672"/>
            <w:shd w:fill="17365D"/>
            <w:vAlign w:val="center"/>
            <w:tcMar>
              <w:top w:w="100" w:type="dxa"/>
              <w:start w:w="120" w:type="dxa"/>
              <w:bottom w:w="100" w:type="dxa"/>
              <w:end w:w="120" w:type="dxa"/>
            </w:tcMar>
          </w:tcPr>
          <w:p>
            <w:r>
              <w:rPr>
                <w:b/>
                <w:color w:val="FFFFFF"/>
                <w:sz w:val="19"/>
              </w:rPr>
              <w:t>When to introduce gRPC</w:t>
            </w:r>
          </w:p>
        </w:tc>
      </w:tr>
      <w:tr>
        <w:tc>
          <w:tcPr>
            <w:tcW w:type="dxa" w:w="2448"/>
            <w:vAlign w:val="center"/>
            <w:tcMar>
              <w:top w:w="100" w:type="dxa"/>
              <w:start w:w="120" w:type="dxa"/>
              <w:bottom w:w="100" w:type="dxa"/>
              <w:end w:w="120" w:type="dxa"/>
            </w:tcMar>
          </w:tcPr>
          <w:p>
            <w:pPr>
              <w:spacing w:after="0"/>
            </w:pPr>
            <w:r>
              <w:rPr>
                <w:sz w:val="18"/>
              </w:rPr>
              <w:t>Early product / &lt;1k active users</w:t>
            </w:r>
          </w:p>
        </w:tc>
        <w:tc>
          <w:tcPr>
            <w:tcW w:type="dxa" w:w="3672"/>
            <w:vAlign w:val="center"/>
            <w:tcMar>
              <w:top w:w="100" w:type="dxa"/>
              <w:start w:w="120" w:type="dxa"/>
              <w:bottom w:w="100" w:type="dxa"/>
              <w:end w:w="120" w:type="dxa"/>
            </w:tcMar>
          </w:tcPr>
          <w:p>
            <w:pPr>
              <w:spacing w:after="0"/>
            </w:pPr>
            <w:r>
              <w:rPr>
                <w:sz w:val="18"/>
              </w:rPr>
              <w:t>REST and a modular service boundary</w:t>
            </w:r>
          </w:p>
        </w:tc>
        <w:tc>
          <w:tcPr>
            <w:tcW w:type="dxa" w:w="3672"/>
            <w:vAlign w:val="center"/>
            <w:tcMar>
              <w:top w:w="100" w:type="dxa"/>
              <w:start w:w="120" w:type="dxa"/>
              <w:bottom w:w="100" w:type="dxa"/>
              <w:end w:w="120" w:type="dxa"/>
            </w:tcMar>
          </w:tcPr>
          <w:p>
            <w:pPr>
              <w:spacing w:after="0"/>
            </w:pPr>
            <w:r>
              <w:rPr>
                <w:sz w:val="18"/>
              </w:rPr>
              <w:t>Only if platform already standardizes it or streaming is intrinsic</w:t>
            </w:r>
          </w:p>
        </w:tc>
      </w:tr>
      <w:tr>
        <w:tc>
          <w:tcPr>
            <w:tcW w:type="dxa" w:w="2448"/>
            <w:vAlign w:val="center"/>
            <w:tcMar>
              <w:top w:w="100" w:type="dxa"/>
              <w:start w:w="120" w:type="dxa"/>
              <w:bottom w:w="100" w:type="dxa"/>
              <w:end w:w="120" w:type="dxa"/>
            </w:tcMar>
          </w:tcPr>
          <w:p>
            <w:pPr>
              <w:spacing w:after="0"/>
            </w:pPr>
            <w:r>
              <w:rPr>
                <w:sz w:val="18"/>
              </w:rPr>
              <w:t>Growing / 10k–100k users</w:t>
            </w:r>
          </w:p>
        </w:tc>
        <w:tc>
          <w:tcPr>
            <w:tcW w:type="dxa" w:w="3672"/>
            <w:vAlign w:val="center"/>
            <w:tcMar>
              <w:top w:w="100" w:type="dxa"/>
              <w:start w:w="120" w:type="dxa"/>
              <w:bottom w:w="100" w:type="dxa"/>
              <w:end w:w="120" w:type="dxa"/>
            </w:tcMar>
          </w:tcPr>
          <w:p>
            <w:pPr>
              <w:spacing w:after="0"/>
            </w:pPr>
            <w:r>
              <w:rPr>
                <w:sz w:val="18"/>
              </w:rPr>
              <w:t>Measure hot internal paths</w:t>
            </w:r>
          </w:p>
        </w:tc>
        <w:tc>
          <w:tcPr>
            <w:tcW w:type="dxa" w:w="3672"/>
            <w:vAlign w:val="center"/>
            <w:tcMar>
              <w:top w:w="100" w:type="dxa"/>
              <w:start w:w="120" w:type="dxa"/>
              <w:bottom w:w="100" w:type="dxa"/>
              <w:end w:w="120" w:type="dxa"/>
            </w:tcMar>
          </w:tcPr>
          <w:p>
            <w:pPr>
              <w:spacing w:after="0"/>
            </w:pPr>
            <w:r>
              <w:rPr>
                <w:sz w:val="18"/>
              </w:rPr>
              <w:t>When JSON/HTTP overhead or typed clients are a material constraint</w:t>
            </w:r>
          </w:p>
        </w:tc>
      </w:tr>
      <w:tr>
        <w:tc>
          <w:tcPr>
            <w:tcW w:type="dxa" w:w="2448"/>
            <w:vAlign w:val="center"/>
            <w:tcMar>
              <w:top w:w="100" w:type="dxa"/>
              <w:start w:w="120" w:type="dxa"/>
              <w:bottom w:w="100" w:type="dxa"/>
              <w:end w:w="120" w:type="dxa"/>
            </w:tcMar>
          </w:tcPr>
          <w:p>
            <w:pPr>
              <w:spacing w:after="0"/>
            </w:pPr>
            <w:r>
              <w:rPr>
                <w:sz w:val="18"/>
              </w:rPr>
              <w:t>Large / 1M+ users</w:t>
            </w:r>
          </w:p>
        </w:tc>
        <w:tc>
          <w:tcPr>
            <w:tcW w:type="dxa" w:w="3672"/>
            <w:vAlign w:val="center"/>
            <w:tcMar>
              <w:top w:w="100" w:type="dxa"/>
              <w:start w:w="120" w:type="dxa"/>
              <w:bottom w:w="100" w:type="dxa"/>
              <w:end w:w="120" w:type="dxa"/>
            </w:tcMar>
          </w:tcPr>
          <w:p>
            <w:pPr>
              <w:spacing w:after="0"/>
            </w:pPr>
            <w:r>
              <w:rPr>
                <w:sz w:val="18"/>
              </w:rPr>
              <w:t>Mixed protocols by workflow</w:t>
            </w:r>
          </w:p>
        </w:tc>
        <w:tc>
          <w:tcPr>
            <w:tcW w:type="dxa" w:w="3672"/>
            <w:vAlign w:val="center"/>
            <w:tcMar>
              <w:top w:w="100" w:type="dxa"/>
              <w:start w:w="120" w:type="dxa"/>
              <w:bottom w:w="100" w:type="dxa"/>
              <w:end w:w="120" w:type="dxa"/>
            </w:tcMar>
          </w:tcPr>
          <w:p>
            <w:pPr>
              <w:spacing w:after="0"/>
            </w:pPr>
            <w:r>
              <w:rPr>
                <w:sz w:val="18"/>
              </w:rPr>
              <w:t>Use gRPC selectively; retain REST/events where semantics fit</w:t>
            </w:r>
          </w:p>
        </w:tc>
      </w:tr>
    </w:tbl>
    <w:p/>
    <w:p>
      <w:r>
        <w:t>Capacity must be estimated from peak calls per second, payload size, fan-out, CPU per call, concurrency, connection counts, and stream duration—not registered users.</w:t>
      </w:r>
    </w:p>
    <w:p>
      <w:pPr>
        <w:pStyle w:val="CodeBlock"/>
      </w:pPr>
      <w:r>
        <w:rPr>
          <w:rFonts w:ascii="Consolas" w:hAnsi="Consolas"/>
          <w:sz w:val="17"/>
        </w:rPr>
        <w:t>External checkout peak: 5,000 requests/second</w:t>
        <w:br/>
      </w:r>
      <w:r>
        <w:rPr>
          <w:rFonts w:ascii="Consolas" w:hAnsi="Consolas"/>
          <w:sz w:val="17"/>
        </w:rPr>
        <w:t>Each checkout calls pricing twice: 10,000 pricing RPC/second</w:t>
        <w:br/>
      </w:r>
      <w:r>
        <w:rPr>
          <w:rFonts w:ascii="Consolas" w:hAnsi="Consolas"/>
          <w:sz w:val="17"/>
        </w:rPr>
        <w:t>Average request + response: 3 KB</w:t>
        <w:br/>
      </w:r>
      <w:r>
        <w:rPr>
          <w:rFonts w:ascii="Consolas" w:hAnsi="Consolas"/>
          <w:sz w:val="17"/>
        </w:rPr>
        <w:t>Serialization CPU: measure, do not assume</w:t>
        <w:br/>
      </w:r>
      <w:r>
        <w:rPr>
          <w:rFonts w:ascii="Consolas" w:hAnsi="Consolas"/>
          <w:sz w:val="17"/>
        </w:rPr>
        <w:t>Database/cache calls per pricing RPC: usually the dominant factor</w:t>
        <w:br/>
      </w:r>
    </w:p>
    <w:p>
      <w:pPr>
        <w:pStyle w:val="ListBullet"/>
      </w:pPr>
      <w:r>
        <w:t>Benchmark representative payloads and business logic.</w:t>
      </w:r>
    </w:p>
    <w:p>
      <w:pPr>
        <w:pStyle w:val="ListBullet"/>
      </w:pPr>
      <w:r>
        <w:t>Include TLS, interceptors, tracing, authorization, and compression in tests.</w:t>
      </w:r>
    </w:p>
    <w:p>
      <w:pPr>
        <w:pStyle w:val="ListBullet"/>
      </w:pPr>
      <w:r>
        <w:t>Measure P99 under concurrency and failure, not only median latency.</w:t>
      </w:r>
    </w:p>
    <w:p>
      <w:pPr>
        <w:pStyle w:val="ListBullet"/>
      </w:pPr>
      <w:r>
        <w:t>Compare engineering and operational cost with the measured performance benefit.</w:t>
      </w:r>
    </w:p>
    <w:p>
      <w:pPr>
        <w:pStyle w:val="Title"/>
      </w:pPr>
      <w:r>
        <w:t>10. Architecture exercises</w:t>
      </w:r>
    </w:p>
    <w:p>
      <w:pPr>
        <w:pStyle w:val="Heading1"/>
      </w:pPr>
      <w:r>
        <w:t>Exercise 1: Replace chatty REST?</w:t>
      </w:r>
    </w:p>
    <w:p>
      <w:r>
        <w:t>A checkout service makes six internal REST calls per cart and peak checkout traffic is 2,000 RPS. Database time is 80% of latency. Should the team rewrite all calls in gRPC?</w:t>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Expected reasoning:  </w:t>
            </w:r>
            <w:r>
              <w:t>Not immediately. First reduce call count, batch operations, parallelize independent work, and optimize data access. Benchmark serialization and network overhead afterward. gRPC may help, but it is not the primary bottleneck.</w:t>
            </w:r>
          </w:p>
        </w:tc>
      </w:tr>
    </w:tbl>
    <w:p/>
    <w:p>
      <w:pPr>
        <w:pStyle w:val="Heading1"/>
      </w:pPr>
      <w:r>
        <w:t>Exercise 2: Medical device stream</w:t>
      </w:r>
    </w:p>
    <w:p>
      <w:r>
        <w:t>Ten thousand devices send measurements continuously. Some measurements may be sampled, but critical alarms must never be lost. Design the interfaces.</w:t>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Expected reasoning:  </w:t>
            </w:r>
            <w:r>
              <w:t>Use a streaming ingestion protocol with bounded buffers and explicit alarm priority, then publish durable critical events to a broker. Do not rely on a single long-lived stream as the system of record.</w:t>
            </w:r>
          </w:p>
        </w:tc>
      </w:tr>
    </w:tbl>
    <w:p/>
    <w:p>
      <w:pPr>
        <w:pStyle w:val="Heading1"/>
      </w:pPr>
      <w:r>
        <w:t>Exercise 3: Payment retry</w:t>
      </w:r>
    </w:p>
    <w:p>
      <w:r>
        <w:t>The client times out after submitting a transfer. The server may have posted it. What must the API provide?</w:t>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Expected reasoning:  </w:t>
            </w:r>
            <w:r>
              <w:t>A caller-scoped idempotency key, atomic duplicate detection, retrievable transfer state, stable transfer ID, and a retry policy that distinguishes unknown transport outcome from business rejection.</w:t>
            </w:r>
          </w:p>
        </w:tc>
      </w:tr>
    </w:tbl>
    <w:p/>
    <w:p>
      <w:pPr>
        <w:pStyle w:val="Title"/>
      </w:pPr>
      <w:r>
        <w:t>11. Architect review checklist</w:t>
      </w:r>
    </w:p>
    <w:p>
      <w:r>
        <w:t>☐ Is gRPC selected for a measured interaction need rather than fashion?</w:t>
      </w:r>
    </w:p>
    <w:p>
      <w:r>
        <w:t>☐ Is the service contract based on business capabilities?</w:t>
      </w:r>
    </w:p>
    <w:p>
      <w:r>
        <w:t>☐ Are request presence and default semantics unambiguous?</w:t>
      </w:r>
    </w:p>
    <w:p>
      <w:r>
        <w:t>☐ Are field numbers and enum values protected from reuse?</w:t>
      </w:r>
    </w:p>
    <w:p>
      <w:r>
        <w:t>☐ Does every RPC have a deadline and cancellation behavior?</w:t>
      </w:r>
    </w:p>
    <w:p>
      <w:r>
        <w:t>☐ Is retry ownership defined, bounded, and safe?</w:t>
      </w:r>
    </w:p>
    <w:p>
      <w:r>
        <w:t>☐ Are commands idempotent where duplicate execution is harmful?</w:t>
      </w:r>
    </w:p>
    <w:p>
      <w:r>
        <w:t>☐ Are stream ordering, buffering, loss, and reconnect semantics documented?</w:t>
      </w:r>
    </w:p>
    <w:p>
      <w:r>
        <w:t>☐ Are business outcomes separated from transport/system failures?</w:t>
      </w:r>
    </w:p>
    <w:p>
      <w:r>
        <w:t>☐ Are authorization checks resource- and tenant-aware?</w:t>
      </w:r>
    </w:p>
    <w:p>
      <w:r>
        <w:t>☐ Are sensitive fields excluded from logs?</w:t>
      </w:r>
    </w:p>
    <w:p>
      <w:r>
        <w:t>☐ Are breaking-change checks automated?</w:t>
      </w:r>
    </w:p>
    <w:p>
      <w:r>
        <w:t>☐ Can old and new clients coexist during deployment?</w:t>
      </w:r>
    </w:p>
    <w:p>
      <w:r>
        <w:t>☐ Are health checks and graceful shutdown implemented?</w:t>
      </w:r>
    </w:p>
    <w:p>
      <w:r>
        <w:t>☐ Has the design been compared with REST, events, and simpler alternatives?</w:t>
      </w:r>
    </w:p>
    <w:p>
      <w:pPr>
        <w:pStyle w:val="Title"/>
      </w:pPr>
      <w:r>
        <w:t>12. Final mental model</w:t>
      </w:r>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Use gRPC when:  </w:t>
            </w:r>
            <w:r>
              <w:t>The boundary is controlled, the operation is stable and strongly typed, high call volume or streaming matters, and the organization can operate HTTP/2, generated clients, deadlines, compatibility checks, and production observability.</w:t>
            </w:r>
          </w:p>
        </w:tc>
      </w:tr>
    </w:tbl>
    <w:p/>
    <w:tbl>
      <w:tblPr>
        <w:tblW w:type="auto" w:w="0"/>
        <w:jc w:val="center"/>
        <w:tblLook w:firstColumn="1" w:firstRow="1" w:lastColumn="0" w:lastRow="0" w:noHBand="0" w:noVBand="1" w:val="04A0"/>
      </w:tblPr>
      <w:tblGrid>
        <w:gridCol w:w="9994"/>
      </w:tblGrid>
      <w:tr>
        <w:tc>
          <w:tcPr>
            <w:tcW w:type="dxa" w:w="9994"/>
            <w:shd w:fill="EAF2F8"/>
            <w:tcMar>
              <w:top w:w="160" w:type="dxa"/>
              <w:start w:w="180" w:type="dxa"/>
              <w:bottom w:w="160" w:type="dxa"/>
              <w:end w:w="180" w:type="dxa"/>
            </w:tcMar>
          </w:tcPr>
          <w:p>
            <w:r>
              <w:rPr>
                <w:b/>
                <w:color w:val="17365D"/>
              </w:rPr>
              <w:t xml:space="preserve">Do not use gRPC merely because:  </w:t>
            </w:r>
            <w:r>
              <w:t>The application has many users, microservices are fashionable, protobuf is smaller than JSON, or another company uses it.</w:t>
            </w:r>
          </w:p>
        </w:tc>
      </w:tr>
    </w:tbl>
    <w:p/>
    <w:p>
      <w:r>
        <w:t>A mature architecture commonly combines REST for external APIs, GraphQL or BFFs for frontend composition, gRPC for selected internal hot paths, event brokers for durable asynchronous workflows, and object storage for large files. The architect’s job is to choose the communication semantics that match each workflow.</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API Design Series • Document 3 • gRPC and Internal API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259"/>
      <w:shd w:fill="F3F6F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