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center"/>
      </w:pPr>
      <w:r>
        <w:rPr>
          <w:b/>
          <w:color w:val="2F5597"/>
          <w:sz w:val="24"/>
        </w:rPr>
        <w:t>API DESIGN SERIES</w:t>
      </w:r>
    </w:p>
    <w:p>
      <w:pPr>
        <w:pStyle w:val="Subtitle"/>
        <w:jc w:val="center"/>
      </w:pPr>
      <w:r>
        <w:t>Document 6</w:t>
      </w:r>
    </w:p>
    <w:p>
      <w:pPr>
        <w:pStyle w:val="Title"/>
        <w:jc w:val="center"/>
      </w:pPr>
      <w:r>
        <w:t>API Security and</w:t>
        <w:br/>
        <w:t>Regulatory Design</w:t>
      </w:r>
    </w:p>
    <w:p>
      <w:pPr>
        <w:pStyle w:val="Subtitle"/>
        <w:jc w:val="center"/>
      </w:pPr>
      <w:r>
        <w:t>Identity • Authorization • Consent • Audit • Privacy • Financial-Grade Controls</w:t>
      </w:r>
    </w:p>
    <w:p>
      <w:pPr>
        <w:spacing w:before="520"/>
        <w:jc w:val="center"/>
      </w:pPr>
      <w:r>
        <w:rPr>
          <w:color w:val="464646"/>
          <w:sz w:val="24"/>
        </w:rPr>
        <w:t>Practical security architecture for food delivery, healthcare, and financial systems</w:t>
      </w:r>
    </w:p>
    <w:p>
      <w:pPr>
        <w:spacing w:before="1880"/>
        <w:jc w:val="center"/>
      </w:pPr>
      <w:r>
        <w:rPr>
          <w:b/>
          <w:color w:val="17365D"/>
          <w:sz w:val="22"/>
        </w:rPr>
        <w:t>Architect learning workbook</w:t>
      </w:r>
    </w:p>
    <w:p>
      <w:r>
        <w:br w:type="page"/>
      </w:r>
    </w:p>
    <w:p>
      <w:pPr>
        <w:pStyle w:val="Heading1"/>
      </w:pPr>
      <w:r>
        <w:t>How to Use This Document</w:t>
      </w:r>
    </w:p>
    <w:p>
      <w:r>
        <w:t>Security is not a gateway feature added after API design. It is a set of business invariants that must be enforced from the user interface through every service, message, database, audit record, and operational workflow. This document focuses on translating risk and regulation into practical API contracts and runtime controls.</w:t>
      </w:r>
    </w:p>
    <w:p>
      <w:pPr>
        <w:pStyle w:val="Heading2"/>
      </w:pPr>
      <w:r>
        <w:t>Learning Outcomes</w:t>
      </w:r>
    </w:p>
    <w:p>
      <w:pPr>
        <w:pStyle w:val="ListBullet"/>
      </w:pPr>
      <w:r>
        <w:t>Distinguish authentication, authorization, consent, purpose of use, delegation, and audit.</w:t>
      </w:r>
    </w:p>
    <w:p>
      <w:pPr>
        <w:pStyle w:val="ListBullet"/>
      </w:pPr>
      <w:r>
        <w:t>Choose OAuth 2.0, OpenID Connect, workload identity, mTLS, API keys, and signed requests appropriately.</w:t>
      </w:r>
    </w:p>
    <w:p>
      <w:pPr>
        <w:pStyle w:val="ListBullet"/>
      </w:pPr>
      <w:r>
        <w:t>Design endpoint-, resource-, relationship-, field-, tenant-, and transaction-level authorization.</w:t>
      </w:r>
    </w:p>
    <w:p>
      <w:pPr>
        <w:pStyle w:val="ListBullet"/>
      </w:pPr>
      <w:r>
        <w:t>Protect REST, GraphQL, gRPC, event, webhook, and streaming APIs consistently.</w:t>
      </w:r>
    </w:p>
    <w:p>
      <w:pPr>
        <w:pStyle w:val="ListBullet"/>
      </w:pPr>
      <w:r>
        <w:t>Design healthcare access controls, consent enforcement, provenance, and break-glass workflows.</w:t>
      </w:r>
    </w:p>
    <w:p>
      <w:pPr>
        <w:pStyle w:val="ListBullet"/>
      </w:pPr>
      <w:r>
        <w:t>Design financial-grade authorization, replay protection, transaction confirmation, and non-repudiation evidence.</w:t>
      </w:r>
    </w:p>
    <w:p>
      <w:pPr>
        <w:pStyle w:val="ListBullet"/>
      </w:pPr>
      <w:r>
        <w:t>Balance security, usability, latency, availability, and operating cost.</w:t>
      </w:r>
    </w:p>
    <w:p>
      <w:pPr>
        <w:pStyle w:val="Heading2"/>
      </w:pPr>
      <w:r>
        <w:t>Series Context</w:t>
      </w:r>
    </w:p>
    <w:tbl>
      <w:tblPr>
        <w:tblW w:type="auto" w:w="0"/>
        <w:jc w:val="center"/>
        <w:tblLayout w:type="fixed"/>
        <w:tblLook w:firstColumn="1" w:firstRow="1" w:lastColumn="0" w:lastRow="0" w:noHBand="0" w:noVBand="1" w:val="04A0"/>
      </w:tblPr>
      <w:tblGrid>
        <w:gridCol w:w="1008"/>
        <w:gridCol w:w="3456"/>
        <w:gridCol w:w="5472"/>
      </w:tblGrid>
      <w:tr>
        <w:trPr>
          <w:tblHeader w:val="true"/>
        </w:trPr>
        <w:tc>
          <w:tcPr>
            <w:tcW w:type="dxa" w:w="3312"/>
            <w:shd w:fill="D9EAF7"/>
            <w:tcMar>
              <w:top w:w="110" w:type="dxa"/>
              <w:start w:w="110" w:type="dxa"/>
              <w:bottom w:w="110" w:type="dxa"/>
              <w:end w:w="110" w:type="dxa"/>
            </w:tcMar>
            <w:vAlign w:val="center"/>
          </w:tcPr>
          <w:p>
            <w:r>
              <w:t>No.</w:t>
            </w:r>
          </w:p>
        </w:tc>
        <w:tc>
          <w:tcPr>
            <w:tcW w:type="dxa" w:w="3312"/>
            <w:shd w:fill="D9EAF7"/>
            <w:tcMar>
              <w:top w:w="110" w:type="dxa"/>
              <w:start w:w="110" w:type="dxa"/>
              <w:bottom w:w="110" w:type="dxa"/>
              <w:end w:w="110" w:type="dxa"/>
            </w:tcMar>
            <w:vAlign w:val="center"/>
          </w:tcPr>
          <w:p>
            <w:r>
              <w:t>Document</w:t>
            </w:r>
          </w:p>
        </w:tc>
        <w:tc>
          <w:tcPr>
            <w:tcW w:type="dxa" w:w="3312"/>
            <w:shd w:fill="D9EAF7"/>
            <w:tcMar>
              <w:top w:w="110" w:type="dxa"/>
              <w:start w:w="110" w:type="dxa"/>
              <w:bottom w:w="110" w:type="dxa"/>
              <w:end w:w="110" w:type="dxa"/>
            </w:tcMar>
            <w:vAlign w:val="center"/>
          </w:tcPr>
          <w:p>
            <w:r>
              <w:t>Primary concern</w:t>
            </w:r>
          </w:p>
        </w:tc>
      </w:tr>
      <w:tr>
        <w:tc>
          <w:tcPr>
            <w:tcW w:type="dxa" w:w="1008"/>
            <w:tcMar>
              <w:top w:w="110" w:type="dxa"/>
              <w:start w:w="110" w:type="dxa"/>
              <w:bottom w:w="110" w:type="dxa"/>
              <w:end w:w="110" w:type="dxa"/>
            </w:tcMar>
            <w:vAlign w:val="center"/>
          </w:tcPr>
          <w:p>
            <w:r>
              <w:t>1</w:t>
            </w:r>
          </w:p>
        </w:tc>
        <w:tc>
          <w:tcPr>
            <w:tcW w:type="dxa" w:w="3456"/>
            <w:tcMar>
              <w:top w:w="110" w:type="dxa"/>
              <w:start w:w="110" w:type="dxa"/>
              <w:bottom w:w="110" w:type="dxa"/>
              <w:end w:w="110" w:type="dxa"/>
            </w:tcMar>
            <w:vAlign w:val="center"/>
          </w:tcPr>
          <w:p>
            <w:r>
              <w:t>REST API Design</w:t>
            </w:r>
          </w:p>
        </w:tc>
        <w:tc>
          <w:tcPr>
            <w:tcW w:type="dxa" w:w="5472"/>
            <w:tcMar>
              <w:top w:w="110" w:type="dxa"/>
              <w:start w:w="110" w:type="dxa"/>
              <w:bottom w:w="110" w:type="dxa"/>
              <w:end w:w="110" w:type="dxa"/>
            </w:tcMar>
            <w:vAlign w:val="center"/>
          </w:tcPr>
          <w:p>
            <w:r>
              <w:t>External resource and command APIs</w:t>
            </w:r>
          </w:p>
        </w:tc>
      </w:tr>
      <w:tr>
        <w:tc>
          <w:tcPr>
            <w:tcW w:type="dxa" w:w="1008"/>
            <w:tcMar>
              <w:top w:w="110" w:type="dxa"/>
              <w:start w:w="110" w:type="dxa"/>
              <w:bottom w:w="110" w:type="dxa"/>
              <w:end w:w="110" w:type="dxa"/>
            </w:tcMar>
            <w:vAlign w:val="center"/>
          </w:tcPr>
          <w:p>
            <w:r>
              <w:t>2</w:t>
            </w:r>
          </w:p>
        </w:tc>
        <w:tc>
          <w:tcPr>
            <w:tcW w:type="dxa" w:w="3456"/>
            <w:tcMar>
              <w:top w:w="110" w:type="dxa"/>
              <w:start w:w="110" w:type="dxa"/>
              <w:bottom w:w="110" w:type="dxa"/>
              <w:end w:w="110" w:type="dxa"/>
            </w:tcMar>
            <w:vAlign w:val="center"/>
          </w:tcPr>
          <w:p>
            <w:r>
              <w:t>GraphQL</w:t>
            </w:r>
          </w:p>
        </w:tc>
        <w:tc>
          <w:tcPr>
            <w:tcW w:type="dxa" w:w="5472"/>
            <w:tcMar>
              <w:top w:w="110" w:type="dxa"/>
              <w:start w:w="110" w:type="dxa"/>
              <w:bottom w:w="110" w:type="dxa"/>
              <w:end w:w="110" w:type="dxa"/>
            </w:tcMar>
            <w:vAlign w:val="center"/>
          </w:tcPr>
          <w:p>
            <w:r>
              <w:t>Client-driven data composition</w:t>
            </w:r>
          </w:p>
        </w:tc>
      </w:tr>
      <w:tr>
        <w:tc>
          <w:tcPr>
            <w:tcW w:type="dxa" w:w="1008"/>
            <w:tcMar>
              <w:top w:w="110" w:type="dxa"/>
              <w:start w:w="110" w:type="dxa"/>
              <w:bottom w:w="110" w:type="dxa"/>
              <w:end w:w="110" w:type="dxa"/>
            </w:tcMar>
            <w:vAlign w:val="center"/>
          </w:tcPr>
          <w:p>
            <w:r>
              <w:t>3</w:t>
            </w:r>
          </w:p>
        </w:tc>
        <w:tc>
          <w:tcPr>
            <w:tcW w:type="dxa" w:w="3456"/>
            <w:tcMar>
              <w:top w:w="110" w:type="dxa"/>
              <w:start w:w="110" w:type="dxa"/>
              <w:bottom w:w="110" w:type="dxa"/>
              <w:end w:w="110" w:type="dxa"/>
            </w:tcMar>
            <w:vAlign w:val="center"/>
          </w:tcPr>
          <w:p>
            <w:r>
              <w:t>gRPC</w:t>
            </w:r>
          </w:p>
        </w:tc>
        <w:tc>
          <w:tcPr>
            <w:tcW w:type="dxa" w:w="5472"/>
            <w:tcMar>
              <w:top w:w="110" w:type="dxa"/>
              <w:start w:w="110" w:type="dxa"/>
              <w:bottom w:w="110" w:type="dxa"/>
              <w:end w:w="110" w:type="dxa"/>
            </w:tcMar>
            <w:vAlign w:val="center"/>
          </w:tcPr>
          <w:p>
            <w:r>
              <w:t>High-performance internal RPC</w:t>
            </w:r>
          </w:p>
        </w:tc>
      </w:tr>
      <w:tr>
        <w:tc>
          <w:tcPr>
            <w:tcW w:type="dxa" w:w="1008"/>
            <w:tcMar>
              <w:top w:w="110" w:type="dxa"/>
              <w:start w:w="110" w:type="dxa"/>
              <w:bottom w:w="110" w:type="dxa"/>
              <w:end w:w="110" w:type="dxa"/>
            </w:tcMar>
            <w:vAlign w:val="center"/>
          </w:tcPr>
          <w:p>
            <w:r>
              <w:t>4</w:t>
            </w:r>
          </w:p>
        </w:tc>
        <w:tc>
          <w:tcPr>
            <w:tcW w:type="dxa" w:w="3456"/>
            <w:tcMar>
              <w:top w:w="110" w:type="dxa"/>
              <w:start w:w="110" w:type="dxa"/>
              <w:bottom w:w="110" w:type="dxa"/>
              <w:end w:w="110" w:type="dxa"/>
            </w:tcMar>
            <w:vAlign w:val="center"/>
          </w:tcPr>
          <w:p>
            <w:r>
              <w:t>Event-Driven APIs</w:t>
            </w:r>
          </w:p>
        </w:tc>
        <w:tc>
          <w:tcPr>
            <w:tcW w:type="dxa" w:w="5472"/>
            <w:tcMar>
              <w:top w:w="110" w:type="dxa"/>
              <w:start w:w="110" w:type="dxa"/>
              <w:bottom w:w="110" w:type="dxa"/>
              <w:end w:w="110" w:type="dxa"/>
            </w:tcMar>
            <w:vAlign w:val="center"/>
          </w:tcPr>
          <w:p>
            <w:r>
              <w:t>Durable asynchronous workflows</w:t>
            </w:r>
          </w:p>
        </w:tc>
      </w:tr>
      <w:tr>
        <w:tc>
          <w:tcPr>
            <w:tcW w:type="dxa" w:w="1008"/>
            <w:tcMar>
              <w:top w:w="110" w:type="dxa"/>
              <w:start w:w="110" w:type="dxa"/>
              <w:bottom w:w="110" w:type="dxa"/>
              <w:end w:w="110" w:type="dxa"/>
            </w:tcMar>
            <w:vAlign w:val="center"/>
          </w:tcPr>
          <w:p>
            <w:r>
              <w:t>5</w:t>
            </w:r>
          </w:p>
        </w:tc>
        <w:tc>
          <w:tcPr>
            <w:tcW w:type="dxa" w:w="3456"/>
            <w:tcMar>
              <w:top w:w="110" w:type="dxa"/>
              <w:start w:w="110" w:type="dxa"/>
              <w:bottom w:w="110" w:type="dxa"/>
              <w:end w:w="110" w:type="dxa"/>
            </w:tcMar>
            <w:vAlign w:val="center"/>
          </w:tcPr>
          <w:p>
            <w:r>
              <w:t>Real-Time APIs</w:t>
            </w:r>
          </w:p>
        </w:tc>
        <w:tc>
          <w:tcPr>
            <w:tcW w:type="dxa" w:w="5472"/>
            <w:tcMar>
              <w:top w:w="110" w:type="dxa"/>
              <w:start w:w="110" w:type="dxa"/>
              <w:bottom w:w="110" w:type="dxa"/>
              <w:end w:w="110" w:type="dxa"/>
            </w:tcMar>
            <w:vAlign w:val="center"/>
          </w:tcPr>
          <w:p>
            <w:r>
              <w:t>Continuous low-latency communication</w:t>
            </w:r>
          </w:p>
        </w:tc>
      </w:tr>
      <w:tr>
        <w:tc>
          <w:tcPr>
            <w:tcW w:type="dxa" w:w="1008"/>
            <w:tcMar>
              <w:top w:w="110" w:type="dxa"/>
              <w:start w:w="110" w:type="dxa"/>
              <w:bottom w:w="110" w:type="dxa"/>
              <w:end w:w="110" w:type="dxa"/>
            </w:tcMar>
            <w:vAlign w:val="center"/>
          </w:tcPr>
          <w:p>
            <w:r>
              <w:t>6</w:t>
            </w:r>
          </w:p>
        </w:tc>
        <w:tc>
          <w:tcPr>
            <w:tcW w:type="dxa" w:w="3456"/>
            <w:tcMar>
              <w:top w:w="110" w:type="dxa"/>
              <w:start w:w="110" w:type="dxa"/>
              <w:bottom w:w="110" w:type="dxa"/>
              <w:end w:w="110" w:type="dxa"/>
            </w:tcMar>
            <w:vAlign w:val="center"/>
          </w:tcPr>
          <w:p>
            <w:r>
              <w:t>This document</w:t>
            </w:r>
          </w:p>
        </w:tc>
        <w:tc>
          <w:tcPr>
            <w:tcW w:type="dxa" w:w="5472"/>
            <w:tcMar>
              <w:top w:w="110" w:type="dxa"/>
              <w:start w:w="110" w:type="dxa"/>
              <w:bottom w:w="110" w:type="dxa"/>
              <w:end w:w="110" w:type="dxa"/>
            </w:tcMar>
            <w:vAlign w:val="center"/>
          </w:tcPr>
          <w:p>
            <w:r>
              <w:t>Identity, authorization, privacy, and regulation</w:t>
            </w:r>
          </w:p>
        </w:tc>
      </w:tr>
      <w:tr>
        <w:tc>
          <w:tcPr>
            <w:tcW w:type="dxa" w:w="1008"/>
            <w:tcMar>
              <w:top w:w="110" w:type="dxa"/>
              <w:start w:w="110" w:type="dxa"/>
              <w:bottom w:w="110" w:type="dxa"/>
              <w:end w:w="110" w:type="dxa"/>
            </w:tcMar>
            <w:vAlign w:val="center"/>
          </w:tcPr>
          <w:p>
            <w:r>
              <w:t>7</w:t>
            </w:r>
          </w:p>
        </w:tc>
        <w:tc>
          <w:tcPr>
            <w:tcW w:type="dxa" w:w="3456"/>
            <w:tcMar>
              <w:top w:w="110" w:type="dxa"/>
              <w:start w:w="110" w:type="dxa"/>
              <w:bottom w:w="110" w:type="dxa"/>
              <w:end w:w="110" w:type="dxa"/>
            </w:tcMar>
            <w:vAlign w:val="center"/>
          </w:tcPr>
          <w:p>
            <w:r>
              <w:t>Scalability and Reliability</w:t>
            </w:r>
          </w:p>
        </w:tc>
        <w:tc>
          <w:tcPr>
            <w:tcW w:type="dxa" w:w="5472"/>
            <w:tcMar>
              <w:top w:w="110" w:type="dxa"/>
              <w:start w:w="110" w:type="dxa"/>
              <w:bottom w:w="110" w:type="dxa"/>
              <w:end w:w="110" w:type="dxa"/>
            </w:tcMar>
            <w:vAlign w:val="center"/>
          </w:tcPr>
          <w:p>
            <w:r>
              <w:t>Capacity, SLOs, regions, and cost</w:t>
            </w:r>
          </w:p>
        </w:tc>
      </w:tr>
    </w:tbl>
    <w:p>
      <w:r>
        <w:br w:type="page"/>
      </w:r>
    </w:p>
    <w:p>
      <w:pPr>
        <w:pStyle w:val="Heading1"/>
      </w:pPr>
      <w:r>
        <w:t>1. Security Architecture Mental Model</w:t>
      </w:r>
    </w:p>
    <w:p>
      <w:r>
        <w:t>A secure API answers five separate questions. Combining them into a single “token is valid” check is a common architectural failure.</w:t>
      </w:r>
    </w:p>
    <w:tbl>
      <w:tblPr>
        <w:tblW w:type="auto" w:w="0"/>
        <w:jc w:val="center"/>
        <w:tblLayout w:type="fixed"/>
        <w:tblLook w:firstColumn="1" w:firstRow="1" w:lastColumn="0" w:lastRow="0" w:noHBand="0" w:noVBand="1" w:val="04A0"/>
      </w:tblPr>
      <w:tblGrid>
        <w:gridCol w:w="2232"/>
        <w:gridCol w:w="2952"/>
        <w:gridCol w:w="4752"/>
      </w:tblGrid>
      <w:tr>
        <w:trPr>
          <w:tblHeader w:val="true"/>
        </w:trPr>
        <w:tc>
          <w:tcPr>
            <w:tcW w:type="dxa" w:w="3312"/>
            <w:shd w:fill="D9EAF7"/>
            <w:tcMar>
              <w:top w:w="110" w:type="dxa"/>
              <w:start w:w="110" w:type="dxa"/>
              <w:bottom w:w="110" w:type="dxa"/>
              <w:end w:w="110" w:type="dxa"/>
            </w:tcMar>
            <w:vAlign w:val="center"/>
          </w:tcPr>
          <w:p>
            <w:r>
              <w:t>Question</w:t>
            </w:r>
          </w:p>
        </w:tc>
        <w:tc>
          <w:tcPr>
            <w:tcW w:type="dxa" w:w="3312"/>
            <w:shd w:fill="D9EAF7"/>
            <w:tcMar>
              <w:top w:w="110" w:type="dxa"/>
              <w:start w:w="110" w:type="dxa"/>
              <w:bottom w:w="110" w:type="dxa"/>
              <w:end w:w="110" w:type="dxa"/>
            </w:tcMar>
            <w:vAlign w:val="center"/>
          </w:tcPr>
          <w:p>
            <w:r>
              <w:t>Control</w:t>
            </w:r>
          </w:p>
        </w:tc>
        <w:tc>
          <w:tcPr>
            <w:tcW w:type="dxa" w:w="3312"/>
            <w:shd w:fill="D9EAF7"/>
            <w:tcMar>
              <w:top w:w="110" w:type="dxa"/>
              <w:start w:w="110" w:type="dxa"/>
              <w:bottom w:w="110" w:type="dxa"/>
              <w:end w:w="110" w:type="dxa"/>
            </w:tcMar>
            <w:vAlign w:val="center"/>
          </w:tcPr>
          <w:p>
            <w:r>
              <w:t>Example</w:t>
            </w:r>
          </w:p>
        </w:tc>
      </w:tr>
      <w:tr>
        <w:tc>
          <w:tcPr>
            <w:tcW w:type="dxa" w:w="2232"/>
            <w:tcMar>
              <w:top w:w="110" w:type="dxa"/>
              <w:start w:w="110" w:type="dxa"/>
              <w:bottom w:w="110" w:type="dxa"/>
              <w:end w:w="110" w:type="dxa"/>
            </w:tcMar>
            <w:vAlign w:val="center"/>
          </w:tcPr>
          <w:p>
            <w:r>
              <w:t>Who is calling?</w:t>
            </w:r>
          </w:p>
        </w:tc>
        <w:tc>
          <w:tcPr>
            <w:tcW w:type="dxa" w:w="2952"/>
            <w:tcMar>
              <w:top w:w="110" w:type="dxa"/>
              <w:start w:w="110" w:type="dxa"/>
              <w:bottom w:w="110" w:type="dxa"/>
              <w:end w:w="110" w:type="dxa"/>
            </w:tcMar>
            <w:vAlign w:val="center"/>
          </w:tcPr>
          <w:p>
            <w:r>
              <w:t>Authentication</w:t>
            </w:r>
          </w:p>
        </w:tc>
        <w:tc>
          <w:tcPr>
            <w:tcW w:type="dxa" w:w="4752"/>
            <w:tcMar>
              <w:top w:w="110" w:type="dxa"/>
              <w:start w:w="110" w:type="dxa"/>
              <w:bottom w:w="110" w:type="dxa"/>
              <w:end w:w="110" w:type="dxa"/>
            </w:tcMar>
            <w:vAlign w:val="center"/>
          </w:tcPr>
          <w:p>
            <w:r>
              <w:t>Clinician, patient, merchant system, delivery partner</w:t>
            </w:r>
          </w:p>
        </w:tc>
      </w:tr>
      <w:tr>
        <w:tc>
          <w:tcPr>
            <w:tcW w:type="dxa" w:w="2232"/>
            <w:tcMar>
              <w:top w:w="110" w:type="dxa"/>
              <w:start w:w="110" w:type="dxa"/>
              <w:bottom w:w="110" w:type="dxa"/>
              <w:end w:w="110" w:type="dxa"/>
            </w:tcMar>
            <w:vAlign w:val="center"/>
          </w:tcPr>
          <w:p>
            <w:r>
              <w:t>What may they do?</w:t>
            </w:r>
          </w:p>
        </w:tc>
        <w:tc>
          <w:tcPr>
            <w:tcW w:type="dxa" w:w="2952"/>
            <w:tcMar>
              <w:top w:w="110" w:type="dxa"/>
              <w:start w:w="110" w:type="dxa"/>
              <w:bottom w:w="110" w:type="dxa"/>
              <w:end w:w="110" w:type="dxa"/>
            </w:tcMar>
            <w:vAlign w:val="center"/>
          </w:tcPr>
          <w:p>
            <w:r>
              <w:t>Authorization</w:t>
            </w:r>
          </w:p>
        </w:tc>
        <w:tc>
          <w:tcPr>
            <w:tcW w:type="dxa" w:w="4752"/>
            <w:tcMar>
              <w:top w:w="110" w:type="dxa"/>
              <w:start w:w="110" w:type="dxa"/>
              <w:bottom w:w="110" w:type="dxa"/>
              <w:end w:w="110" w:type="dxa"/>
            </w:tcMar>
            <w:vAlign w:val="center"/>
          </w:tcPr>
          <w:p>
            <w:r>
              <w:t>Read an order, prescribe medicine, initiate a transfer</w:t>
            </w:r>
          </w:p>
        </w:tc>
      </w:tr>
      <w:tr>
        <w:tc>
          <w:tcPr>
            <w:tcW w:type="dxa" w:w="2232"/>
            <w:tcMar>
              <w:top w:w="110" w:type="dxa"/>
              <w:start w:w="110" w:type="dxa"/>
              <w:bottom w:w="110" w:type="dxa"/>
              <w:end w:w="110" w:type="dxa"/>
            </w:tcMar>
            <w:vAlign w:val="center"/>
          </w:tcPr>
          <w:p>
            <w:r>
              <w:t>On which object?</w:t>
            </w:r>
          </w:p>
        </w:tc>
        <w:tc>
          <w:tcPr>
            <w:tcW w:type="dxa" w:w="2952"/>
            <w:tcMar>
              <w:top w:w="110" w:type="dxa"/>
              <w:start w:w="110" w:type="dxa"/>
              <w:bottom w:w="110" w:type="dxa"/>
              <w:end w:w="110" w:type="dxa"/>
            </w:tcMar>
            <w:vAlign w:val="center"/>
          </w:tcPr>
          <w:p>
            <w:r>
              <w:t>Resource/relationship policy</w:t>
            </w:r>
          </w:p>
        </w:tc>
        <w:tc>
          <w:tcPr>
            <w:tcW w:type="dxa" w:w="4752"/>
            <w:tcMar>
              <w:top w:w="110" w:type="dxa"/>
              <w:start w:w="110" w:type="dxa"/>
              <w:bottom w:w="110" w:type="dxa"/>
              <w:end w:w="110" w:type="dxa"/>
            </w:tcMar>
            <w:vAlign w:val="center"/>
          </w:tcPr>
          <w:p>
            <w:r>
              <w:t>Only assigned order, treating relationship, owned account</w:t>
            </w:r>
          </w:p>
        </w:tc>
      </w:tr>
      <w:tr>
        <w:tc>
          <w:tcPr>
            <w:tcW w:type="dxa" w:w="2232"/>
            <w:tcMar>
              <w:top w:w="110" w:type="dxa"/>
              <w:start w:w="110" w:type="dxa"/>
              <w:bottom w:w="110" w:type="dxa"/>
              <w:end w:w="110" w:type="dxa"/>
            </w:tcMar>
            <w:vAlign w:val="center"/>
          </w:tcPr>
          <w:p>
            <w:r>
              <w:t>For what purpose?</w:t>
            </w:r>
          </w:p>
        </w:tc>
        <w:tc>
          <w:tcPr>
            <w:tcW w:type="dxa" w:w="2952"/>
            <w:tcMar>
              <w:top w:w="110" w:type="dxa"/>
              <w:start w:w="110" w:type="dxa"/>
              <w:bottom w:w="110" w:type="dxa"/>
              <w:end w:w="110" w:type="dxa"/>
            </w:tcMar>
            <w:vAlign w:val="center"/>
          </w:tcPr>
          <w:p>
            <w:r>
              <w:t>Consent and purpose of use</w:t>
            </w:r>
          </w:p>
        </w:tc>
        <w:tc>
          <w:tcPr>
            <w:tcW w:type="dxa" w:w="4752"/>
            <w:tcMar>
              <w:top w:w="110" w:type="dxa"/>
              <w:start w:w="110" w:type="dxa"/>
              <w:bottom w:w="110" w:type="dxa"/>
              <w:end w:w="110" w:type="dxa"/>
            </w:tcMar>
            <w:vAlign w:val="center"/>
          </w:tcPr>
          <w:p>
            <w:r>
              <w:t>Treatment, payment, operations, customer support</w:t>
            </w:r>
          </w:p>
        </w:tc>
      </w:tr>
      <w:tr>
        <w:tc>
          <w:tcPr>
            <w:tcW w:type="dxa" w:w="2232"/>
            <w:tcMar>
              <w:top w:w="110" w:type="dxa"/>
              <w:start w:w="110" w:type="dxa"/>
              <w:bottom w:w="110" w:type="dxa"/>
              <w:end w:w="110" w:type="dxa"/>
            </w:tcMar>
            <w:vAlign w:val="center"/>
          </w:tcPr>
          <w:p>
            <w:r>
              <w:t>Can we prove what happened?</w:t>
            </w:r>
          </w:p>
        </w:tc>
        <w:tc>
          <w:tcPr>
            <w:tcW w:type="dxa" w:w="2952"/>
            <w:tcMar>
              <w:top w:w="110" w:type="dxa"/>
              <w:start w:w="110" w:type="dxa"/>
              <w:bottom w:w="110" w:type="dxa"/>
              <w:end w:w="110" w:type="dxa"/>
            </w:tcMar>
            <w:vAlign w:val="center"/>
          </w:tcPr>
          <w:p>
            <w:r>
              <w:t>Audit and evidence</w:t>
            </w:r>
          </w:p>
        </w:tc>
        <w:tc>
          <w:tcPr>
            <w:tcW w:type="dxa" w:w="4752"/>
            <w:tcMar>
              <w:top w:w="110" w:type="dxa"/>
              <w:start w:w="110" w:type="dxa"/>
              <w:bottom w:w="110" w:type="dxa"/>
              <w:end w:w="110" w:type="dxa"/>
            </w:tcMar>
            <w:vAlign w:val="center"/>
          </w:tcPr>
          <w:p>
            <w:r>
              <w:t>Decision inputs, request identity, data disclosed, outcome</w:t>
            </w:r>
          </w:p>
        </w:tc>
      </w:tr>
    </w:tbl>
    <w:p>
      <w:pPr>
        <w:pStyle w:val="Decision"/>
      </w:pPr>
      <w:r>
        <w:t>Architecture rule: authentication establishes an identity; it does not grant access. Every sensitive action still requires policy evaluation against the requested resource and business context.</w:t>
      </w:r>
    </w:p>
    <w:p>
      <w:pPr>
        <w:pStyle w:val="Heading1"/>
      </w:pPr>
      <w:r>
        <w:t>2. Threat Modeling Before Protocol Selection</w:t>
      </w:r>
    </w:p>
    <w:p>
      <w:r>
        <w:t>Start with assets, actors, trust boundaries, abuse cases, and required evidence. A protocol choice is meaningful only after the threat model is explicit.</w:t>
      </w:r>
    </w:p>
    <w:tbl>
      <w:tblPr>
        <w:tblW w:type="auto" w:w="0"/>
        <w:jc w:val="center"/>
        <w:tblLayout w:type="fixed"/>
        <w:tblLook w:firstColumn="1" w:firstRow="1" w:lastColumn="0" w:lastRow="0" w:noHBand="0" w:noVBand="1" w:val="04A0"/>
      </w:tblPr>
      <w:tblGrid>
        <w:gridCol w:w="2160"/>
        <w:gridCol w:w="3240"/>
        <w:gridCol w:w="4536"/>
      </w:tblGrid>
      <w:tr>
        <w:trPr>
          <w:tblHeader w:val="true"/>
        </w:trPr>
        <w:tc>
          <w:tcPr>
            <w:tcW w:type="dxa" w:w="3312"/>
            <w:shd w:fill="D9EAF7"/>
            <w:tcMar>
              <w:top w:w="110" w:type="dxa"/>
              <w:start w:w="110" w:type="dxa"/>
              <w:bottom w:w="110" w:type="dxa"/>
              <w:end w:w="110" w:type="dxa"/>
            </w:tcMar>
            <w:vAlign w:val="center"/>
          </w:tcPr>
          <w:p>
            <w:r>
              <w:t>Asset or risk</w:t>
            </w:r>
          </w:p>
        </w:tc>
        <w:tc>
          <w:tcPr>
            <w:tcW w:type="dxa" w:w="3312"/>
            <w:shd w:fill="D9EAF7"/>
            <w:tcMar>
              <w:top w:w="110" w:type="dxa"/>
              <w:start w:w="110" w:type="dxa"/>
              <w:bottom w:w="110" w:type="dxa"/>
              <w:end w:w="110" w:type="dxa"/>
            </w:tcMar>
            <w:vAlign w:val="center"/>
          </w:tcPr>
          <w:p>
            <w:r>
              <w:t>Typical threat</w:t>
            </w:r>
          </w:p>
        </w:tc>
        <w:tc>
          <w:tcPr>
            <w:tcW w:type="dxa" w:w="3312"/>
            <w:shd w:fill="D9EAF7"/>
            <w:tcMar>
              <w:top w:w="110" w:type="dxa"/>
              <w:start w:w="110" w:type="dxa"/>
              <w:bottom w:w="110" w:type="dxa"/>
              <w:end w:w="110" w:type="dxa"/>
            </w:tcMar>
            <w:vAlign w:val="center"/>
          </w:tcPr>
          <w:p>
            <w:r>
              <w:t>Design response</w:t>
            </w:r>
          </w:p>
        </w:tc>
      </w:tr>
      <w:tr>
        <w:tc>
          <w:tcPr>
            <w:tcW w:type="dxa" w:w="2160"/>
            <w:tcMar>
              <w:top w:w="110" w:type="dxa"/>
              <w:start w:w="110" w:type="dxa"/>
              <w:bottom w:w="110" w:type="dxa"/>
              <w:end w:w="110" w:type="dxa"/>
            </w:tcMar>
            <w:vAlign w:val="center"/>
          </w:tcPr>
          <w:p>
            <w:r>
              <w:t>Customer account</w:t>
            </w:r>
          </w:p>
        </w:tc>
        <w:tc>
          <w:tcPr>
            <w:tcW w:type="dxa" w:w="3240"/>
            <w:tcMar>
              <w:top w:w="110" w:type="dxa"/>
              <w:start w:w="110" w:type="dxa"/>
              <w:bottom w:w="110" w:type="dxa"/>
              <w:end w:w="110" w:type="dxa"/>
            </w:tcMar>
            <w:vAlign w:val="center"/>
          </w:tcPr>
          <w:p>
            <w:r>
              <w:t>Credential stuffing and session theft</w:t>
            </w:r>
          </w:p>
        </w:tc>
        <w:tc>
          <w:tcPr>
            <w:tcW w:type="dxa" w:w="4536"/>
            <w:tcMar>
              <w:top w:w="110" w:type="dxa"/>
              <w:start w:w="110" w:type="dxa"/>
              <w:bottom w:w="110" w:type="dxa"/>
              <w:end w:w="110" w:type="dxa"/>
            </w:tcMar>
            <w:vAlign w:val="center"/>
          </w:tcPr>
          <w:p>
            <w:r>
              <w:t>Strong authentication, risk signals, token rotation, device controls</w:t>
            </w:r>
          </w:p>
        </w:tc>
      </w:tr>
      <w:tr>
        <w:tc>
          <w:tcPr>
            <w:tcW w:type="dxa" w:w="2160"/>
            <w:tcMar>
              <w:top w:w="110" w:type="dxa"/>
              <w:start w:w="110" w:type="dxa"/>
              <w:bottom w:w="110" w:type="dxa"/>
              <w:end w:w="110" w:type="dxa"/>
            </w:tcMar>
            <w:vAlign w:val="center"/>
          </w:tcPr>
          <w:p>
            <w:r>
              <w:t>Patient record</w:t>
            </w:r>
          </w:p>
        </w:tc>
        <w:tc>
          <w:tcPr>
            <w:tcW w:type="dxa" w:w="3240"/>
            <w:tcMar>
              <w:top w:w="110" w:type="dxa"/>
              <w:start w:w="110" w:type="dxa"/>
              <w:bottom w:w="110" w:type="dxa"/>
              <w:end w:w="110" w:type="dxa"/>
            </w:tcMar>
            <w:vAlign w:val="center"/>
          </w:tcPr>
          <w:p>
            <w:r>
              <w:t>Unauthorized or excessive disclosure</w:t>
            </w:r>
          </w:p>
        </w:tc>
        <w:tc>
          <w:tcPr>
            <w:tcW w:type="dxa" w:w="4536"/>
            <w:tcMar>
              <w:top w:w="110" w:type="dxa"/>
              <w:start w:w="110" w:type="dxa"/>
              <w:bottom w:w="110" w:type="dxa"/>
              <w:end w:w="110" w:type="dxa"/>
            </w:tcMar>
            <w:vAlign w:val="center"/>
          </w:tcPr>
          <w:p>
            <w:r>
              <w:t>Relationship and purpose checks, consent, data minimization, audit</w:t>
            </w:r>
          </w:p>
        </w:tc>
      </w:tr>
      <w:tr>
        <w:tc>
          <w:tcPr>
            <w:tcW w:type="dxa" w:w="2160"/>
            <w:tcMar>
              <w:top w:w="110" w:type="dxa"/>
              <w:start w:w="110" w:type="dxa"/>
              <w:bottom w:w="110" w:type="dxa"/>
              <w:end w:w="110" w:type="dxa"/>
            </w:tcMar>
            <w:vAlign w:val="center"/>
          </w:tcPr>
          <w:p>
            <w:r>
              <w:t>Payment transfer</w:t>
            </w:r>
          </w:p>
        </w:tc>
        <w:tc>
          <w:tcPr>
            <w:tcW w:type="dxa" w:w="3240"/>
            <w:tcMar>
              <w:top w:w="110" w:type="dxa"/>
              <w:start w:w="110" w:type="dxa"/>
              <w:bottom w:w="110" w:type="dxa"/>
              <w:end w:w="110" w:type="dxa"/>
            </w:tcMar>
            <w:vAlign w:val="center"/>
          </w:tcPr>
          <w:p>
            <w:r>
              <w:t>Replay, tampering, account takeover</w:t>
            </w:r>
          </w:p>
        </w:tc>
        <w:tc>
          <w:tcPr>
            <w:tcW w:type="dxa" w:w="4536"/>
            <w:tcMar>
              <w:top w:w="110" w:type="dxa"/>
              <w:start w:w="110" w:type="dxa"/>
              <w:bottom w:w="110" w:type="dxa"/>
              <w:end w:w="110" w:type="dxa"/>
            </w:tcMar>
            <w:vAlign w:val="center"/>
          </w:tcPr>
          <w:p>
            <w:r>
              <w:t>Proof-of-possession, idempotency, transaction authorization, fraud controls</w:t>
            </w:r>
          </w:p>
        </w:tc>
      </w:tr>
      <w:tr>
        <w:tc>
          <w:tcPr>
            <w:tcW w:type="dxa" w:w="2160"/>
            <w:tcMar>
              <w:top w:w="110" w:type="dxa"/>
              <w:start w:w="110" w:type="dxa"/>
              <w:bottom w:w="110" w:type="dxa"/>
              <w:end w:w="110" w:type="dxa"/>
            </w:tcMar>
            <w:vAlign w:val="center"/>
          </w:tcPr>
          <w:p>
            <w:r>
              <w:t>Service-to-service call</w:t>
            </w:r>
          </w:p>
        </w:tc>
        <w:tc>
          <w:tcPr>
            <w:tcW w:type="dxa" w:w="3240"/>
            <w:tcMar>
              <w:top w:w="110" w:type="dxa"/>
              <w:start w:w="110" w:type="dxa"/>
              <w:bottom w:w="110" w:type="dxa"/>
              <w:end w:w="110" w:type="dxa"/>
            </w:tcMar>
            <w:vAlign w:val="center"/>
          </w:tcPr>
          <w:p>
            <w:r>
              <w:t>Impersonated workload</w:t>
            </w:r>
          </w:p>
        </w:tc>
        <w:tc>
          <w:tcPr>
            <w:tcW w:type="dxa" w:w="4536"/>
            <w:tcMar>
              <w:top w:w="110" w:type="dxa"/>
              <w:start w:w="110" w:type="dxa"/>
              <w:bottom w:w="110" w:type="dxa"/>
              <w:end w:w="110" w:type="dxa"/>
            </w:tcMar>
            <w:vAlign w:val="center"/>
          </w:tcPr>
          <w:p>
            <w:r>
              <w:t>Workload identity, mTLS, short-lived credentials, authorization</w:t>
            </w:r>
          </w:p>
        </w:tc>
      </w:tr>
      <w:tr>
        <w:tc>
          <w:tcPr>
            <w:tcW w:type="dxa" w:w="2160"/>
            <w:tcMar>
              <w:top w:w="110" w:type="dxa"/>
              <w:start w:w="110" w:type="dxa"/>
              <w:bottom w:w="110" w:type="dxa"/>
              <w:end w:w="110" w:type="dxa"/>
            </w:tcMar>
            <w:vAlign w:val="center"/>
          </w:tcPr>
          <w:p>
            <w:r>
              <w:t>Webhook</w:t>
            </w:r>
          </w:p>
        </w:tc>
        <w:tc>
          <w:tcPr>
            <w:tcW w:type="dxa" w:w="3240"/>
            <w:tcMar>
              <w:top w:w="110" w:type="dxa"/>
              <w:start w:w="110" w:type="dxa"/>
              <w:bottom w:w="110" w:type="dxa"/>
              <w:end w:w="110" w:type="dxa"/>
            </w:tcMar>
            <w:vAlign w:val="center"/>
          </w:tcPr>
          <w:p>
            <w:r>
              <w:t>Spoofing and replay</w:t>
            </w:r>
          </w:p>
        </w:tc>
        <w:tc>
          <w:tcPr>
            <w:tcW w:type="dxa" w:w="4536"/>
            <w:tcMar>
              <w:top w:w="110" w:type="dxa"/>
              <w:start w:w="110" w:type="dxa"/>
              <w:bottom w:w="110" w:type="dxa"/>
              <w:end w:w="110" w:type="dxa"/>
            </w:tcMar>
            <w:vAlign w:val="center"/>
          </w:tcPr>
          <w:p>
            <w:r>
              <w:t>Signature, timestamp, nonce/event ID, idempotent receiver</w:t>
            </w:r>
          </w:p>
        </w:tc>
      </w:tr>
      <w:tr>
        <w:tc>
          <w:tcPr>
            <w:tcW w:type="dxa" w:w="2160"/>
            <w:tcMar>
              <w:top w:w="110" w:type="dxa"/>
              <w:start w:w="110" w:type="dxa"/>
              <w:bottom w:w="110" w:type="dxa"/>
              <w:end w:w="110" w:type="dxa"/>
            </w:tcMar>
            <w:vAlign w:val="center"/>
          </w:tcPr>
          <w:p>
            <w:r>
              <w:t>Event topic</w:t>
            </w:r>
          </w:p>
        </w:tc>
        <w:tc>
          <w:tcPr>
            <w:tcW w:type="dxa" w:w="3240"/>
            <w:tcMar>
              <w:top w:w="110" w:type="dxa"/>
              <w:start w:w="110" w:type="dxa"/>
              <w:bottom w:w="110" w:type="dxa"/>
              <w:end w:w="110" w:type="dxa"/>
            </w:tcMar>
            <w:vAlign w:val="center"/>
          </w:tcPr>
          <w:p>
            <w:r>
              <w:t>Cross-tenant leakage</w:t>
            </w:r>
          </w:p>
        </w:tc>
        <w:tc>
          <w:tcPr>
            <w:tcW w:type="dxa" w:w="4536"/>
            <w:tcMar>
              <w:top w:w="110" w:type="dxa"/>
              <w:start w:w="110" w:type="dxa"/>
              <w:bottom w:w="110" w:type="dxa"/>
              <w:end w:w="110" w:type="dxa"/>
            </w:tcMar>
            <w:vAlign w:val="center"/>
          </w:tcPr>
          <w:p>
            <w:r>
              <w:t>Tenant-bound topics, ACLs, schema and payload controls</w:t>
            </w:r>
          </w:p>
        </w:tc>
      </w:tr>
    </w:tbl>
    <w:p>
      <w:pPr>
        <w:pStyle w:val="Heading1"/>
      </w:pPr>
      <w:r>
        <w:t>3. Authentication Choices</w:t>
      </w:r>
    </w:p>
    <w:tbl>
      <w:tblPr>
        <w:tblW w:type="auto" w:w="0"/>
        <w:jc w:val="center"/>
        <w:tblLayout w:type="fixed"/>
        <w:tblLook w:firstColumn="1" w:firstRow="1" w:lastColumn="0" w:lastRow="0" w:noHBand="0" w:noVBand="1" w:val="04A0"/>
      </w:tblPr>
      <w:tblGrid>
        <w:gridCol w:w="1728"/>
        <w:gridCol w:w="2232"/>
        <w:gridCol w:w="2376"/>
        <w:gridCol w:w="3600"/>
      </w:tblGrid>
      <w:tr>
        <w:trPr>
          <w:tblHeader w:val="true"/>
        </w:trPr>
        <w:tc>
          <w:tcPr>
            <w:tcW w:type="dxa" w:w="2484"/>
            <w:shd w:fill="D9EAF7"/>
            <w:tcMar>
              <w:top w:w="110" w:type="dxa"/>
              <w:start w:w="110" w:type="dxa"/>
              <w:bottom w:w="110" w:type="dxa"/>
              <w:end w:w="110" w:type="dxa"/>
            </w:tcMar>
            <w:vAlign w:val="center"/>
          </w:tcPr>
          <w:p>
            <w:r>
              <w:t>Mechanism</w:t>
            </w:r>
          </w:p>
        </w:tc>
        <w:tc>
          <w:tcPr>
            <w:tcW w:type="dxa" w:w="2484"/>
            <w:shd w:fill="D9EAF7"/>
            <w:tcMar>
              <w:top w:w="110" w:type="dxa"/>
              <w:start w:w="110" w:type="dxa"/>
              <w:bottom w:w="110" w:type="dxa"/>
              <w:end w:w="110" w:type="dxa"/>
            </w:tcMar>
            <w:vAlign w:val="center"/>
          </w:tcPr>
          <w:p>
            <w:r>
              <w:t>Use when</w:t>
            </w:r>
          </w:p>
        </w:tc>
        <w:tc>
          <w:tcPr>
            <w:tcW w:type="dxa" w:w="2484"/>
            <w:shd w:fill="D9EAF7"/>
            <w:tcMar>
              <w:top w:w="110" w:type="dxa"/>
              <w:start w:w="110" w:type="dxa"/>
              <w:bottom w:w="110" w:type="dxa"/>
              <w:end w:w="110" w:type="dxa"/>
            </w:tcMar>
            <w:vAlign w:val="center"/>
          </w:tcPr>
          <w:p>
            <w:r>
              <w:t>Avoid as default when</w:t>
            </w:r>
          </w:p>
        </w:tc>
        <w:tc>
          <w:tcPr>
            <w:tcW w:type="dxa" w:w="2484"/>
            <w:shd w:fill="D9EAF7"/>
            <w:tcMar>
              <w:top w:w="110" w:type="dxa"/>
              <w:start w:w="110" w:type="dxa"/>
              <w:bottom w:w="110" w:type="dxa"/>
              <w:end w:w="110" w:type="dxa"/>
            </w:tcMar>
            <w:vAlign w:val="center"/>
          </w:tcPr>
          <w:p>
            <w:r>
              <w:t>Architectural notes</w:t>
            </w:r>
          </w:p>
        </w:tc>
      </w:tr>
      <w:tr>
        <w:tc>
          <w:tcPr>
            <w:tcW w:type="dxa" w:w="1728"/>
            <w:tcMar>
              <w:top w:w="110" w:type="dxa"/>
              <w:start w:w="110" w:type="dxa"/>
              <w:bottom w:w="110" w:type="dxa"/>
              <w:end w:w="110" w:type="dxa"/>
            </w:tcMar>
            <w:vAlign w:val="center"/>
          </w:tcPr>
          <w:p>
            <w:r>
              <w:t>OIDC user login</w:t>
            </w:r>
          </w:p>
        </w:tc>
        <w:tc>
          <w:tcPr>
            <w:tcW w:type="dxa" w:w="2232"/>
            <w:tcMar>
              <w:top w:w="110" w:type="dxa"/>
              <w:start w:w="110" w:type="dxa"/>
              <w:bottom w:w="110" w:type="dxa"/>
              <w:end w:w="110" w:type="dxa"/>
            </w:tcMar>
            <w:vAlign w:val="center"/>
          </w:tcPr>
          <w:p>
            <w:r>
              <w:t>Human identity and SSO</w:t>
            </w:r>
          </w:p>
        </w:tc>
        <w:tc>
          <w:tcPr>
            <w:tcW w:type="dxa" w:w="2376"/>
            <w:tcMar>
              <w:top w:w="110" w:type="dxa"/>
              <w:start w:w="110" w:type="dxa"/>
              <w:bottom w:w="110" w:type="dxa"/>
              <w:end w:w="110" w:type="dxa"/>
            </w:tcMar>
            <w:vAlign w:val="center"/>
          </w:tcPr>
          <w:p>
            <w:r>
              <w:t>Machine-only integration</w:t>
            </w:r>
          </w:p>
        </w:tc>
        <w:tc>
          <w:tcPr>
            <w:tcW w:type="dxa" w:w="3600"/>
            <w:tcMar>
              <w:top w:w="110" w:type="dxa"/>
              <w:start w:w="110" w:type="dxa"/>
              <w:bottom w:w="110" w:type="dxa"/>
              <w:end w:w="110" w:type="dxa"/>
            </w:tcMar>
            <w:vAlign w:val="center"/>
          </w:tcPr>
          <w:p>
            <w:r>
              <w:t>ID token identifies login; API uses access token</w:t>
            </w:r>
          </w:p>
        </w:tc>
      </w:tr>
      <w:tr>
        <w:tc>
          <w:tcPr>
            <w:tcW w:type="dxa" w:w="1728"/>
            <w:tcMar>
              <w:top w:w="110" w:type="dxa"/>
              <w:start w:w="110" w:type="dxa"/>
              <w:bottom w:w="110" w:type="dxa"/>
              <w:end w:w="110" w:type="dxa"/>
            </w:tcMar>
            <w:vAlign w:val="center"/>
          </w:tcPr>
          <w:p>
            <w:r>
              <w:t>OAuth access token</w:t>
            </w:r>
          </w:p>
        </w:tc>
        <w:tc>
          <w:tcPr>
            <w:tcW w:type="dxa" w:w="2232"/>
            <w:tcMar>
              <w:top w:w="110" w:type="dxa"/>
              <w:start w:w="110" w:type="dxa"/>
              <w:bottom w:w="110" w:type="dxa"/>
              <w:end w:w="110" w:type="dxa"/>
            </w:tcMar>
            <w:vAlign w:val="center"/>
          </w:tcPr>
          <w:p>
            <w:r>
              <w:t>Delegated API access</w:t>
            </w:r>
          </w:p>
        </w:tc>
        <w:tc>
          <w:tcPr>
            <w:tcW w:type="dxa" w:w="2376"/>
            <w:tcMar>
              <w:top w:w="110" w:type="dxa"/>
              <w:start w:w="110" w:type="dxa"/>
              <w:bottom w:w="110" w:type="dxa"/>
              <w:end w:w="110" w:type="dxa"/>
            </w:tcMar>
            <w:vAlign w:val="center"/>
          </w:tcPr>
          <w:p>
            <w:r>
              <w:t>No authorization server or token governance</w:t>
            </w:r>
          </w:p>
        </w:tc>
        <w:tc>
          <w:tcPr>
            <w:tcW w:type="dxa" w:w="3600"/>
            <w:tcMar>
              <w:top w:w="110" w:type="dxa"/>
              <w:start w:w="110" w:type="dxa"/>
              <w:bottom w:w="110" w:type="dxa"/>
              <w:end w:w="110" w:type="dxa"/>
            </w:tcMar>
            <w:vAlign w:val="center"/>
          </w:tcPr>
          <w:p>
            <w:r>
              <w:t>Use narrow audience, scopes, expiry, and sender constraints where needed</w:t>
            </w:r>
          </w:p>
        </w:tc>
      </w:tr>
      <w:tr>
        <w:tc>
          <w:tcPr>
            <w:tcW w:type="dxa" w:w="1728"/>
            <w:tcMar>
              <w:top w:w="110" w:type="dxa"/>
              <w:start w:w="110" w:type="dxa"/>
              <w:bottom w:w="110" w:type="dxa"/>
              <w:end w:w="110" w:type="dxa"/>
            </w:tcMar>
            <w:vAlign w:val="center"/>
          </w:tcPr>
          <w:p>
            <w:r>
              <w:t>Workload identity</w:t>
            </w:r>
          </w:p>
        </w:tc>
        <w:tc>
          <w:tcPr>
            <w:tcW w:type="dxa" w:w="2232"/>
            <w:tcMar>
              <w:top w:w="110" w:type="dxa"/>
              <w:start w:w="110" w:type="dxa"/>
              <w:bottom w:w="110" w:type="dxa"/>
              <w:end w:w="110" w:type="dxa"/>
            </w:tcMar>
            <w:vAlign w:val="center"/>
          </w:tcPr>
          <w:p>
            <w:r>
              <w:t>Cloud/service-to-service calls</w:t>
            </w:r>
          </w:p>
        </w:tc>
        <w:tc>
          <w:tcPr>
            <w:tcW w:type="dxa" w:w="2376"/>
            <w:tcMar>
              <w:top w:w="110" w:type="dxa"/>
              <w:start w:w="110" w:type="dxa"/>
              <w:bottom w:w="110" w:type="dxa"/>
              <w:end w:w="110" w:type="dxa"/>
            </w:tcMar>
            <w:vAlign w:val="center"/>
          </w:tcPr>
          <w:p>
            <w:r>
              <w:t>Long-lived shared secrets</w:t>
            </w:r>
          </w:p>
        </w:tc>
        <w:tc>
          <w:tcPr>
            <w:tcW w:type="dxa" w:w="3600"/>
            <w:tcMar>
              <w:top w:w="110" w:type="dxa"/>
              <w:start w:w="110" w:type="dxa"/>
              <w:bottom w:w="110" w:type="dxa"/>
              <w:end w:w="110" w:type="dxa"/>
            </w:tcMar>
            <w:vAlign w:val="center"/>
          </w:tcPr>
          <w:p>
            <w:r>
              <w:t>Bind identity to runtime and deployment environment</w:t>
            </w:r>
          </w:p>
        </w:tc>
      </w:tr>
      <w:tr>
        <w:tc>
          <w:tcPr>
            <w:tcW w:type="dxa" w:w="1728"/>
            <w:tcMar>
              <w:top w:w="110" w:type="dxa"/>
              <w:start w:w="110" w:type="dxa"/>
              <w:bottom w:w="110" w:type="dxa"/>
              <w:end w:w="110" w:type="dxa"/>
            </w:tcMar>
            <w:vAlign w:val="center"/>
          </w:tcPr>
          <w:p>
            <w:r>
              <w:t>mTLS</w:t>
            </w:r>
          </w:p>
        </w:tc>
        <w:tc>
          <w:tcPr>
            <w:tcW w:type="dxa" w:w="2232"/>
            <w:tcMar>
              <w:top w:w="110" w:type="dxa"/>
              <w:start w:w="110" w:type="dxa"/>
              <w:bottom w:w="110" w:type="dxa"/>
              <w:end w:w="110" w:type="dxa"/>
            </w:tcMar>
            <w:vAlign w:val="center"/>
          </w:tcPr>
          <w:p>
            <w:r>
              <w:t>Mutual endpoint authentication</w:t>
            </w:r>
          </w:p>
        </w:tc>
        <w:tc>
          <w:tcPr>
            <w:tcW w:type="dxa" w:w="2376"/>
            <w:tcMar>
              <w:top w:w="110" w:type="dxa"/>
              <w:start w:w="110" w:type="dxa"/>
              <w:bottom w:w="110" w:type="dxa"/>
              <w:end w:w="110" w:type="dxa"/>
            </w:tcMar>
            <w:vAlign w:val="center"/>
          </w:tcPr>
          <w:p>
            <w:r>
              <w:t>Browser/mobile-only clients</w:t>
            </w:r>
          </w:p>
        </w:tc>
        <w:tc>
          <w:tcPr>
            <w:tcW w:type="dxa" w:w="3600"/>
            <w:tcMar>
              <w:top w:w="110" w:type="dxa"/>
              <w:start w:w="110" w:type="dxa"/>
              <w:bottom w:w="110" w:type="dxa"/>
              <w:end w:w="110" w:type="dxa"/>
            </w:tcMar>
            <w:vAlign w:val="center"/>
          </w:tcPr>
          <w:p>
            <w:r>
              <w:t>Strong channel identity; does not replace business authorization</w:t>
            </w:r>
          </w:p>
        </w:tc>
      </w:tr>
      <w:tr>
        <w:tc>
          <w:tcPr>
            <w:tcW w:type="dxa" w:w="1728"/>
            <w:tcMar>
              <w:top w:w="110" w:type="dxa"/>
              <w:start w:w="110" w:type="dxa"/>
              <w:bottom w:w="110" w:type="dxa"/>
              <w:end w:w="110" w:type="dxa"/>
            </w:tcMar>
            <w:vAlign w:val="center"/>
          </w:tcPr>
          <w:p>
            <w:r>
              <w:t>API key</w:t>
            </w:r>
          </w:p>
        </w:tc>
        <w:tc>
          <w:tcPr>
            <w:tcW w:type="dxa" w:w="2232"/>
            <w:tcMar>
              <w:top w:w="110" w:type="dxa"/>
              <w:start w:w="110" w:type="dxa"/>
              <w:bottom w:w="110" w:type="dxa"/>
              <w:end w:w="110" w:type="dxa"/>
            </w:tcMar>
            <w:vAlign w:val="center"/>
          </w:tcPr>
          <w:p>
            <w:r>
              <w:t>Low-risk identification and quota</w:t>
            </w:r>
          </w:p>
        </w:tc>
        <w:tc>
          <w:tcPr>
            <w:tcW w:type="dxa" w:w="2376"/>
            <w:tcMar>
              <w:top w:w="110" w:type="dxa"/>
              <w:start w:w="110" w:type="dxa"/>
              <w:bottom w:w="110" w:type="dxa"/>
              <w:end w:w="110" w:type="dxa"/>
            </w:tcMar>
            <w:vAlign w:val="center"/>
          </w:tcPr>
          <w:p>
            <w:r>
              <w:t>Sensitive user or financial authorization</w:t>
            </w:r>
          </w:p>
        </w:tc>
        <w:tc>
          <w:tcPr>
            <w:tcW w:type="dxa" w:w="3600"/>
            <w:tcMar>
              <w:top w:w="110" w:type="dxa"/>
              <w:start w:w="110" w:type="dxa"/>
              <w:bottom w:w="110" w:type="dxa"/>
              <w:end w:w="110" w:type="dxa"/>
            </w:tcMar>
            <w:vAlign w:val="center"/>
          </w:tcPr>
          <w:p>
            <w:r>
              <w:t>Treat as identifier/secret, scope tightly, rotate</w:t>
            </w:r>
          </w:p>
        </w:tc>
      </w:tr>
      <w:tr>
        <w:tc>
          <w:tcPr>
            <w:tcW w:type="dxa" w:w="1728"/>
            <w:tcMar>
              <w:top w:w="110" w:type="dxa"/>
              <w:start w:w="110" w:type="dxa"/>
              <w:bottom w:w="110" w:type="dxa"/>
              <w:end w:w="110" w:type="dxa"/>
            </w:tcMar>
            <w:vAlign w:val="center"/>
          </w:tcPr>
          <w:p>
            <w:r>
              <w:t>Signed request</w:t>
            </w:r>
          </w:p>
        </w:tc>
        <w:tc>
          <w:tcPr>
            <w:tcW w:type="dxa" w:w="2232"/>
            <w:tcMar>
              <w:top w:w="110" w:type="dxa"/>
              <w:start w:w="110" w:type="dxa"/>
              <w:bottom w:w="110" w:type="dxa"/>
              <w:end w:w="110" w:type="dxa"/>
            </w:tcMar>
            <w:vAlign w:val="center"/>
          </w:tcPr>
          <w:p>
            <w:r>
              <w:t>High-assurance partner or webhook calls</w:t>
            </w:r>
          </w:p>
        </w:tc>
        <w:tc>
          <w:tcPr>
            <w:tcW w:type="dxa" w:w="2376"/>
            <w:tcMar>
              <w:top w:w="110" w:type="dxa"/>
              <w:start w:w="110" w:type="dxa"/>
              <w:bottom w:w="110" w:type="dxa"/>
              <w:end w:w="110" w:type="dxa"/>
            </w:tcMar>
            <w:vAlign w:val="center"/>
          </w:tcPr>
          <w:p>
            <w:r>
              <w:t>Simple public reads</w:t>
            </w:r>
          </w:p>
        </w:tc>
        <w:tc>
          <w:tcPr>
            <w:tcW w:type="dxa" w:w="3600"/>
            <w:tcMar>
              <w:top w:w="110" w:type="dxa"/>
              <w:start w:w="110" w:type="dxa"/>
              <w:bottom w:w="110" w:type="dxa"/>
              <w:end w:w="110" w:type="dxa"/>
            </w:tcMar>
            <w:vAlign w:val="center"/>
          </w:tcPr>
          <w:p>
            <w:r>
              <w:t>Protect request integrity and replay window</w:t>
            </w:r>
          </w:p>
        </w:tc>
      </w:tr>
    </w:tbl>
    <w:p>
      <w:pPr>
        <w:pStyle w:val="Heading2"/>
      </w:pPr>
      <w:r>
        <w:t>3.1 Access Token Design</w:t>
      </w:r>
    </w:p>
    <w:p>
      <w:pPr>
        <w:pStyle w:val="ListBullet"/>
      </w:pPr>
      <w:r>
        <w:t>Use a narrow audience so a token for Service A is not accepted by Service B.</w:t>
      </w:r>
    </w:p>
    <w:p>
      <w:pPr>
        <w:pStyle w:val="ListBullet"/>
      </w:pPr>
      <w:r>
        <w:t>Keep token lifetimes short enough to limit theft impact, with safe refresh or re-authentication.</w:t>
      </w:r>
    </w:p>
    <w:p>
      <w:pPr>
        <w:pStyle w:val="ListBullet"/>
      </w:pPr>
      <w:r>
        <w:t>Do not put sensitive health, payment, or broad entitlement data into readable token claims.</w:t>
      </w:r>
    </w:p>
    <w:p>
      <w:pPr>
        <w:pStyle w:val="ListBullet"/>
      </w:pPr>
      <w:r>
        <w:t>Validate issuer, audience, signature, expiry, not-before time, algorithm policy, and key rotation.</w:t>
      </w:r>
    </w:p>
    <w:p>
      <w:pPr>
        <w:pStyle w:val="ListBullet"/>
      </w:pPr>
      <w:r>
        <w:t>Prefer opaque references when immediate revocation and claim minimization outweigh local validation speed.</w:t>
      </w:r>
    </w:p>
    <w:p>
      <w:pPr>
        <w:pStyle w:val="Decision"/>
      </w:pPr>
      <w:r>
        <w:t>Token claims are hints about the caller, not a complete authorization database. Dynamic ownership, consent, role assignment, transaction state, and tenant membership often require current policy data.</w:t>
      </w:r>
    </w:p>
    <w:p>
      <w:pPr>
        <w:pStyle w:val="Heading1"/>
      </w:pPr>
      <w:r>
        <w:t>4. Authorization Models and Tradeoffs</w:t>
      </w:r>
    </w:p>
    <w:tbl>
      <w:tblPr>
        <w:tblW w:type="auto" w:w="0"/>
        <w:jc w:val="center"/>
        <w:tblLayout w:type="fixed"/>
        <w:tblLook w:firstColumn="1" w:firstRow="1" w:lastColumn="0" w:lastRow="0" w:noHBand="0" w:noVBand="1" w:val="04A0"/>
      </w:tblPr>
      <w:tblGrid>
        <w:gridCol w:w="2088"/>
        <w:gridCol w:w="4104"/>
        <w:gridCol w:w="3744"/>
      </w:tblGrid>
      <w:tr>
        <w:trPr>
          <w:tblHeader w:val="true"/>
        </w:trPr>
        <w:tc>
          <w:tcPr>
            <w:tcW w:type="dxa" w:w="3312"/>
            <w:shd w:fill="D9EAF7"/>
            <w:tcMar>
              <w:top w:w="110" w:type="dxa"/>
              <w:start w:w="110" w:type="dxa"/>
              <w:bottom w:w="110" w:type="dxa"/>
              <w:end w:w="110" w:type="dxa"/>
            </w:tcMar>
            <w:vAlign w:val="center"/>
          </w:tcPr>
          <w:p>
            <w:r>
              <w:t>Model</w:t>
            </w:r>
          </w:p>
        </w:tc>
        <w:tc>
          <w:tcPr>
            <w:tcW w:type="dxa" w:w="3312"/>
            <w:shd w:fill="D9EAF7"/>
            <w:tcMar>
              <w:top w:w="110" w:type="dxa"/>
              <w:start w:w="110" w:type="dxa"/>
              <w:bottom w:w="110" w:type="dxa"/>
              <w:end w:w="110" w:type="dxa"/>
            </w:tcMar>
            <w:vAlign w:val="center"/>
          </w:tcPr>
          <w:p>
            <w:r>
              <w:t>Good fit</w:t>
            </w:r>
          </w:p>
        </w:tc>
        <w:tc>
          <w:tcPr>
            <w:tcW w:type="dxa" w:w="3312"/>
            <w:shd w:fill="D9EAF7"/>
            <w:tcMar>
              <w:top w:w="110" w:type="dxa"/>
              <w:start w:w="110" w:type="dxa"/>
              <w:bottom w:w="110" w:type="dxa"/>
              <w:end w:w="110" w:type="dxa"/>
            </w:tcMar>
            <w:vAlign w:val="center"/>
          </w:tcPr>
          <w:p>
            <w:r>
              <w:t>Primary weakness</w:t>
            </w:r>
          </w:p>
        </w:tc>
      </w:tr>
      <w:tr>
        <w:tc>
          <w:tcPr>
            <w:tcW w:type="dxa" w:w="2088"/>
            <w:tcMar>
              <w:top w:w="110" w:type="dxa"/>
              <w:start w:w="110" w:type="dxa"/>
              <w:bottom w:w="110" w:type="dxa"/>
              <w:end w:w="110" w:type="dxa"/>
            </w:tcMar>
            <w:vAlign w:val="center"/>
          </w:tcPr>
          <w:p>
            <w:r>
              <w:t>RBAC</w:t>
            </w:r>
          </w:p>
        </w:tc>
        <w:tc>
          <w:tcPr>
            <w:tcW w:type="dxa" w:w="4104"/>
            <w:tcMar>
              <w:top w:w="110" w:type="dxa"/>
              <w:start w:w="110" w:type="dxa"/>
              <w:bottom w:w="110" w:type="dxa"/>
              <w:end w:w="110" w:type="dxa"/>
            </w:tcMar>
            <w:vAlign w:val="center"/>
          </w:tcPr>
          <w:p>
            <w:r>
              <w:t>Stable organizational roles</w:t>
            </w:r>
          </w:p>
        </w:tc>
        <w:tc>
          <w:tcPr>
            <w:tcW w:type="dxa" w:w="3744"/>
            <w:tcMar>
              <w:top w:w="110" w:type="dxa"/>
              <w:start w:w="110" w:type="dxa"/>
              <w:bottom w:w="110" w:type="dxa"/>
              <w:end w:w="110" w:type="dxa"/>
            </w:tcMar>
            <w:vAlign w:val="center"/>
          </w:tcPr>
          <w:p>
            <w:r>
              <w:t>Role explosion and weak resource context</w:t>
            </w:r>
          </w:p>
        </w:tc>
      </w:tr>
      <w:tr>
        <w:tc>
          <w:tcPr>
            <w:tcW w:type="dxa" w:w="2088"/>
            <w:tcMar>
              <w:top w:w="110" w:type="dxa"/>
              <w:start w:w="110" w:type="dxa"/>
              <w:bottom w:w="110" w:type="dxa"/>
              <w:end w:w="110" w:type="dxa"/>
            </w:tcMar>
            <w:vAlign w:val="center"/>
          </w:tcPr>
          <w:p>
            <w:r>
              <w:t>ABAC</w:t>
            </w:r>
          </w:p>
        </w:tc>
        <w:tc>
          <w:tcPr>
            <w:tcW w:type="dxa" w:w="4104"/>
            <w:tcMar>
              <w:top w:w="110" w:type="dxa"/>
              <w:start w:w="110" w:type="dxa"/>
              <w:bottom w:w="110" w:type="dxa"/>
              <w:end w:w="110" w:type="dxa"/>
            </w:tcMar>
            <w:vAlign w:val="center"/>
          </w:tcPr>
          <w:p>
            <w:r>
              <w:t>Policies using attributes and context</w:t>
            </w:r>
          </w:p>
        </w:tc>
        <w:tc>
          <w:tcPr>
            <w:tcW w:type="dxa" w:w="3744"/>
            <w:tcMar>
              <w:top w:w="110" w:type="dxa"/>
              <w:start w:w="110" w:type="dxa"/>
              <w:bottom w:w="110" w:type="dxa"/>
              <w:end w:w="110" w:type="dxa"/>
            </w:tcMar>
            <w:vAlign w:val="center"/>
          </w:tcPr>
          <w:p>
            <w:r>
              <w:t>Complex policy authoring and debugging</w:t>
            </w:r>
          </w:p>
        </w:tc>
      </w:tr>
      <w:tr>
        <w:tc>
          <w:tcPr>
            <w:tcW w:type="dxa" w:w="2088"/>
            <w:tcMar>
              <w:top w:w="110" w:type="dxa"/>
              <w:start w:w="110" w:type="dxa"/>
              <w:bottom w:w="110" w:type="dxa"/>
              <w:end w:w="110" w:type="dxa"/>
            </w:tcMar>
            <w:vAlign w:val="center"/>
          </w:tcPr>
          <w:p>
            <w:r>
              <w:t>Relationship-based</w:t>
            </w:r>
          </w:p>
        </w:tc>
        <w:tc>
          <w:tcPr>
            <w:tcW w:type="dxa" w:w="4104"/>
            <w:tcMar>
              <w:top w:w="110" w:type="dxa"/>
              <w:start w:w="110" w:type="dxa"/>
              <w:bottom w:w="110" w:type="dxa"/>
              <w:end w:w="110" w:type="dxa"/>
            </w:tcMar>
            <w:vAlign w:val="center"/>
          </w:tcPr>
          <w:p>
            <w:r>
              <w:t>Ownership, care teams, shared resources</w:t>
            </w:r>
          </w:p>
        </w:tc>
        <w:tc>
          <w:tcPr>
            <w:tcW w:type="dxa" w:w="3744"/>
            <w:tcMar>
              <w:top w:w="110" w:type="dxa"/>
              <w:start w:w="110" w:type="dxa"/>
              <w:bottom w:w="110" w:type="dxa"/>
              <w:end w:w="110" w:type="dxa"/>
            </w:tcMar>
            <w:vAlign w:val="center"/>
          </w:tcPr>
          <w:p>
            <w:r>
              <w:t>Graph lookup and consistency cost</w:t>
            </w:r>
          </w:p>
        </w:tc>
      </w:tr>
      <w:tr>
        <w:tc>
          <w:tcPr>
            <w:tcW w:type="dxa" w:w="2088"/>
            <w:tcMar>
              <w:top w:w="110" w:type="dxa"/>
              <w:start w:w="110" w:type="dxa"/>
              <w:bottom w:w="110" w:type="dxa"/>
              <w:end w:w="110" w:type="dxa"/>
            </w:tcMar>
            <w:vAlign w:val="center"/>
          </w:tcPr>
          <w:p>
            <w:r>
              <w:t>Scope-based</w:t>
            </w:r>
          </w:p>
        </w:tc>
        <w:tc>
          <w:tcPr>
            <w:tcW w:type="dxa" w:w="4104"/>
            <w:tcMar>
              <w:top w:w="110" w:type="dxa"/>
              <w:start w:w="110" w:type="dxa"/>
              <w:bottom w:w="110" w:type="dxa"/>
              <w:end w:w="110" w:type="dxa"/>
            </w:tcMar>
            <w:vAlign w:val="center"/>
          </w:tcPr>
          <w:p>
            <w:r>
              <w:t>Client capability boundaries</w:t>
            </w:r>
          </w:p>
        </w:tc>
        <w:tc>
          <w:tcPr>
            <w:tcW w:type="dxa" w:w="3744"/>
            <w:tcMar>
              <w:top w:w="110" w:type="dxa"/>
              <w:start w:w="110" w:type="dxa"/>
              <w:bottom w:w="110" w:type="dxa"/>
              <w:end w:w="110" w:type="dxa"/>
            </w:tcMar>
            <w:vAlign w:val="center"/>
          </w:tcPr>
          <w:p>
            <w:r>
              <w:t>Often too coarse for object-level access</w:t>
            </w:r>
          </w:p>
        </w:tc>
      </w:tr>
      <w:tr>
        <w:tc>
          <w:tcPr>
            <w:tcW w:type="dxa" w:w="2088"/>
            <w:tcMar>
              <w:top w:w="110" w:type="dxa"/>
              <w:start w:w="110" w:type="dxa"/>
              <w:bottom w:w="110" w:type="dxa"/>
              <w:end w:w="110" w:type="dxa"/>
            </w:tcMar>
            <w:vAlign w:val="center"/>
          </w:tcPr>
          <w:p>
            <w:r>
              <w:t>Transaction policy</w:t>
            </w:r>
          </w:p>
        </w:tc>
        <w:tc>
          <w:tcPr>
            <w:tcW w:type="dxa" w:w="4104"/>
            <w:tcMar>
              <w:top w:w="110" w:type="dxa"/>
              <w:start w:w="110" w:type="dxa"/>
              <w:bottom w:w="110" w:type="dxa"/>
              <w:end w:w="110" w:type="dxa"/>
            </w:tcMar>
            <w:vAlign w:val="center"/>
          </w:tcPr>
          <w:p>
            <w:r>
              <w:t>Payments, prescriptions, approvals</w:t>
            </w:r>
          </w:p>
        </w:tc>
        <w:tc>
          <w:tcPr>
            <w:tcW w:type="dxa" w:w="3744"/>
            <w:tcMar>
              <w:top w:w="110" w:type="dxa"/>
              <w:start w:w="110" w:type="dxa"/>
              <w:bottom w:w="110" w:type="dxa"/>
              <w:end w:w="110" w:type="dxa"/>
            </w:tcMar>
            <w:vAlign w:val="center"/>
          </w:tcPr>
          <w:p>
            <w:r>
              <w:t>Requires current state and risk evaluation</w:t>
            </w:r>
          </w:p>
        </w:tc>
      </w:tr>
      <w:tr>
        <w:tc>
          <w:tcPr>
            <w:tcW w:type="dxa" w:w="2088"/>
            <w:tcMar>
              <w:top w:w="110" w:type="dxa"/>
              <w:start w:w="110" w:type="dxa"/>
              <w:bottom w:w="110" w:type="dxa"/>
              <w:end w:w="110" w:type="dxa"/>
            </w:tcMar>
            <w:vAlign w:val="center"/>
          </w:tcPr>
          <w:p>
            <w:r>
              <w:t>Hybrid</w:t>
            </w:r>
          </w:p>
        </w:tc>
        <w:tc>
          <w:tcPr>
            <w:tcW w:type="dxa" w:w="4104"/>
            <w:tcMar>
              <w:top w:w="110" w:type="dxa"/>
              <w:start w:w="110" w:type="dxa"/>
              <w:bottom w:w="110" w:type="dxa"/>
              <w:end w:w="110" w:type="dxa"/>
            </w:tcMar>
            <w:vAlign w:val="center"/>
          </w:tcPr>
          <w:p>
            <w:r>
              <w:t>Most regulated enterprise systems</w:t>
            </w:r>
          </w:p>
        </w:tc>
        <w:tc>
          <w:tcPr>
            <w:tcW w:type="dxa" w:w="3744"/>
            <w:tcMar>
              <w:top w:w="110" w:type="dxa"/>
              <w:start w:w="110" w:type="dxa"/>
              <w:bottom w:w="110" w:type="dxa"/>
              <w:end w:w="110" w:type="dxa"/>
            </w:tcMar>
            <w:vAlign w:val="center"/>
          </w:tcPr>
          <w:p>
            <w:r>
              <w:t>Needs clear ownership and decision traceability</w:t>
            </w:r>
          </w:p>
        </w:tc>
      </w:tr>
    </w:tbl>
    <w:p>
      <w:pPr>
        <w:pStyle w:val="Heading2"/>
      </w:pPr>
      <w:r>
        <w:t>4.1 Resource-Level Authorization</w:t>
      </w:r>
    </w:p>
    <w:p>
      <w:r>
        <w:t>A valid clinician token with patient.read is not enough to read every patient. The service must validate the requested patient against organization, care-team relationship, emergency context, consent, and purpose of use.</w:t>
      </w:r>
    </w:p>
    <w:p>
      <w:pPr>
        <w:pStyle w:val="CodeBlock"/>
      </w:pPr>
      <w:r>
        <w:t>allow = authenticated</w:t>
        <w:br/>
        <w:t xml:space="preserve">  AND scope contains patient.read</w:t>
        <w:br/>
        <w:t xml:space="preserve">  AND user.organization in patient.careOrganizations</w:t>
        <w:br/>
        <w:t xml:space="preserve">  AND purposeOfUse in permittedPurposes</w:t>
        <w:br/>
        <w:t xml:space="preserve">  AND consent permits requested data</w:t>
        <w:br/>
        <w:t xml:space="preserve">  AND fieldSensitivity &lt;= user.clearance</w:t>
      </w:r>
    </w:p>
    <w:p>
      <w:pPr>
        <w:pStyle w:val="Heading2"/>
      </w:pPr>
      <w:r>
        <w:t>4.2 Preventing IDOR/BOLA</w:t>
      </w:r>
    </w:p>
    <w:p>
      <w:pPr>
        <w:pStyle w:val="ListBullet"/>
      </w:pPr>
      <w:r>
        <w:t>Never trust customerId, organizationId, patientId, or accountId merely because the client sent it.</w:t>
      </w:r>
    </w:p>
    <w:p>
      <w:pPr>
        <w:pStyle w:val="ListBullet"/>
      </w:pPr>
      <w:r>
        <w:t>Derive permitted resource sets from the authenticated subject and policy engine.</w:t>
      </w:r>
    </w:p>
    <w:p>
      <w:pPr>
        <w:pStyle w:val="ListBullet"/>
      </w:pPr>
      <w:r>
        <w:t>Use opaque identifiers only as defense-in-depth; unpredictability is not authorization.</w:t>
      </w:r>
    </w:p>
    <w:p>
      <w:pPr>
        <w:pStyle w:val="ListBullet"/>
      </w:pPr>
      <w:r>
        <w:t>Test horizontal access across users and vertical access across roles.</w:t>
      </w:r>
    </w:p>
    <w:p>
      <w:pPr>
        <w:pStyle w:val="ListBullet"/>
      </w:pPr>
      <w:r>
        <w:t>Return 404 instead of 403 only when concealing resource existence is an intentional policy.</w:t>
      </w:r>
    </w:p>
    <w:p>
      <w:pPr>
        <w:pStyle w:val="Heading1"/>
      </w:pPr>
      <w:r>
        <w:t>5. Security by API Style</w:t>
      </w:r>
    </w:p>
    <w:tbl>
      <w:tblPr>
        <w:tblW w:type="auto" w:w="0"/>
        <w:jc w:val="center"/>
        <w:tblLayout w:type="fixed"/>
        <w:tblLook w:firstColumn="1" w:firstRow="1" w:lastColumn="0" w:lastRow="0" w:noHBand="0" w:noVBand="1" w:val="04A0"/>
      </w:tblPr>
      <w:tblGrid>
        <w:gridCol w:w="1656"/>
        <w:gridCol w:w="3168"/>
        <w:gridCol w:w="5112"/>
      </w:tblGrid>
      <w:tr>
        <w:trPr>
          <w:tblHeader w:val="true"/>
        </w:trPr>
        <w:tc>
          <w:tcPr>
            <w:tcW w:type="dxa" w:w="3312"/>
            <w:shd w:fill="D9EAF7"/>
            <w:tcMar>
              <w:top w:w="110" w:type="dxa"/>
              <w:start w:w="110" w:type="dxa"/>
              <w:bottom w:w="110" w:type="dxa"/>
              <w:end w:w="110" w:type="dxa"/>
            </w:tcMar>
            <w:vAlign w:val="center"/>
          </w:tcPr>
          <w:p>
            <w:r>
              <w:t>API style</w:t>
            </w:r>
          </w:p>
        </w:tc>
        <w:tc>
          <w:tcPr>
            <w:tcW w:type="dxa" w:w="3312"/>
            <w:shd w:fill="D9EAF7"/>
            <w:tcMar>
              <w:top w:w="110" w:type="dxa"/>
              <w:start w:w="110" w:type="dxa"/>
              <w:bottom w:w="110" w:type="dxa"/>
              <w:end w:w="110" w:type="dxa"/>
            </w:tcMar>
            <w:vAlign w:val="center"/>
          </w:tcPr>
          <w:p>
            <w:r>
              <w:t>Key security concern</w:t>
            </w:r>
          </w:p>
        </w:tc>
        <w:tc>
          <w:tcPr>
            <w:tcW w:type="dxa" w:w="3312"/>
            <w:shd w:fill="D9EAF7"/>
            <w:tcMar>
              <w:top w:w="110" w:type="dxa"/>
              <w:start w:w="110" w:type="dxa"/>
              <w:bottom w:w="110" w:type="dxa"/>
              <w:end w:w="110" w:type="dxa"/>
            </w:tcMar>
            <w:vAlign w:val="center"/>
          </w:tcPr>
          <w:p>
            <w:r>
              <w:t>Required controls</w:t>
            </w:r>
          </w:p>
        </w:tc>
      </w:tr>
      <w:tr>
        <w:tc>
          <w:tcPr>
            <w:tcW w:type="dxa" w:w="1656"/>
            <w:tcMar>
              <w:top w:w="110" w:type="dxa"/>
              <w:start w:w="110" w:type="dxa"/>
              <w:bottom w:w="110" w:type="dxa"/>
              <w:end w:w="110" w:type="dxa"/>
            </w:tcMar>
            <w:vAlign w:val="center"/>
          </w:tcPr>
          <w:p>
            <w:r>
              <w:t>REST</w:t>
            </w:r>
          </w:p>
        </w:tc>
        <w:tc>
          <w:tcPr>
            <w:tcW w:type="dxa" w:w="3168"/>
            <w:tcMar>
              <w:top w:w="110" w:type="dxa"/>
              <w:start w:w="110" w:type="dxa"/>
              <w:bottom w:w="110" w:type="dxa"/>
              <w:end w:w="110" w:type="dxa"/>
            </w:tcMar>
            <w:vAlign w:val="center"/>
          </w:tcPr>
          <w:p>
            <w:r>
              <w:t>Object access and unsafe commands</w:t>
            </w:r>
          </w:p>
        </w:tc>
        <w:tc>
          <w:tcPr>
            <w:tcW w:type="dxa" w:w="5112"/>
            <w:tcMar>
              <w:top w:w="110" w:type="dxa"/>
              <w:start w:w="110" w:type="dxa"/>
              <w:bottom w:w="110" w:type="dxa"/>
              <w:end w:w="110" w:type="dxa"/>
            </w:tcMar>
            <w:vAlign w:val="center"/>
          </w:tcPr>
          <w:p>
            <w:r>
              <w:t>Resource authorization, method semantics, idempotency, CSRF where cookies are used</w:t>
            </w:r>
          </w:p>
        </w:tc>
      </w:tr>
      <w:tr>
        <w:tc>
          <w:tcPr>
            <w:tcW w:type="dxa" w:w="1656"/>
            <w:tcMar>
              <w:top w:w="110" w:type="dxa"/>
              <w:start w:w="110" w:type="dxa"/>
              <w:bottom w:w="110" w:type="dxa"/>
              <w:end w:w="110" w:type="dxa"/>
            </w:tcMar>
            <w:vAlign w:val="center"/>
          </w:tcPr>
          <w:p>
            <w:r>
              <w:t>GraphQL</w:t>
            </w:r>
          </w:p>
        </w:tc>
        <w:tc>
          <w:tcPr>
            <w:tcW w:type="dxa" w:w="3168"/>
            <w:tcMar>
              <w:top w:w="110" w:type="dxa"/>
              <w:start w:w="110" w:type="dxa"/>
              <w:bottom w:w="110" w:type="dxa"/>
              <w:end w:w="110" w:type="dxa"/>
            </w:tcMar>
            <w:vAlign w:val="center"/>
          </w:tcPr>
          <w:p>
            <w:r>
              <w:t>Field traversal and query abuse</w:t>
            </w:r>
          </w:p>
        </w:tc>
        <w:tc>
          <w:tcPr>
            <w:tcW w:type="dxa" w:w="5112"/>
            <w:tcMar>
              <w:top w:w="110" w:type="dxa"/>
              <w:start w:w="110" w:type="dxa"/>
              <w:bottom w:w="110" w:type="dxa"/>
              <w:end w:w="110" w:type="dxa"/>
            </w:tcMar>
            <w:vAlign w:val="center"/>
          </w:tcPr>
          <w:p>
            <w:r>
              <w:t>Field/resolver authorization, depth/cost limits, persisted queries, introspection policy</w:t>
            </w:r>
          </w:p>
        </w:tc>
      </w:tr>
      <w:tr>
        <w:tc>
          <w:tcPr>
            <w:tcW w:type="dxa" w:w="1656"/>
            <w:tcMar>
              <w:top w:w="110" w:type="dxa"/>
              <w:start w:w="110" w:type="dxa"/>
              <w:bottom w:w="110" w:type="dxa"/>
              <w:end w:w="110" w:type="dxa"/>
            </w:tcMar>
            <w:vAlign w:val="center"/>
          </w:tcPr>
          <w:p>
            <w:r>
              <w:t>gRPC</w:t>
            </w:r>
          </w:p>
        </w:tc>
        <w:tc>
          <w:tcPr>
            <w:tcW w:type="dxa" w:w="3168"/>
            <w:tcMar>
              <w:top w:w="110" w:type="dxa"/>
              <w:start w:w="110" w:type="dxa"/>
              <w:bottom w:w="110" w:type="dxa"/>
              <w:end w:w="110" w:type="dxa"/>
            </w:tcMar>
            <w:vAlign w:val="center"/>
          </w:tcPr>
          <w:p>
            <w:r>
              <w:t>Trusted-network assumption</w:t>
            </w:r>
          </w:p>
        </w:tc>
        <w:tc>
          <w:tcPr>
            <w:tcW w:type="dxa" w:w="5112"/>
            <w:tcMar>
              <w:top w:w="110" w:type="dxa"/>
              <w:start w:w="110" w:type="dxa"/>
              <w:bottom w:w="110" w:type="dxa"/>
              <w:end w:w="110" w:type="dxa"/>
            </w:tcMar>
            <w:vAlign w:val="center"/>
          </w:tcPr>
          <w:p>
            <w:r>
              <w:t>Workload identity, mTLS, per-method/resource policy, deadlines, metadata controls</w:t>
            </w:r>
          </w:p>
        </w:tc>
      </w:tr>
      <w:tr>
        <w:tc>
          <w:tcPr>
            <w:tcW w:type="dxa" w:w="1656"/>
            <w:tcMar>
              <w:top w:w="110" w:type="dxa"/>
              <w:start w:w="110" w:type="dxa"/>
              <w:bottom w:w="110" w:type="dxa"/>
              <w:end w:w="110" w:type="dxa"/>
            </w:tcMar>
            <w:vAlign w:val="center"/>
          </w:tcPr>
          <w:p>
            <w:r>
              <w:t>Events</w:t>
            </w:r>
          </w:p>
        </w:tc>
        <w:tc>
          <w:tcPr>
            <w:tcW w:type="dxa" w:w="3168"/>
            <w:tcMar>
              <w:top w:w="110" w:type="dxa"/>
              <w:start w:w="110" w:type="dxa"/>
              <w:bottom w:w="110" w:type="dxa"/>
              <w:end w:w="110" w:type="dxa"/>
            </w:tcMar>
            <w:vAlign w:val="center"/>
          </w:tcPr>
          <w:p>
            <w:r>
              <w:t>Broad distribution and replay</w:t>
            </w:r>
          </w:p>
        </w:tc>
        <w:tc>
          <w:tcPr>
            <w:tcW w:type="dxa" w:w="5112"/>
            <w:tcMar>
              <w:top w:w="110" w:type="dxa"/>
              <w:start w:w="110" w:type="dxa"/>
              <w:bottom w:w="110" w:type="dxa"/>
              <w:end w:w="110" w:type="dxa"/>
            </w:tcMar>
            <w:vAlign w:val="center"/>
          </w:tcPr>
          <w:p>
            <w:r>
              <w:t>Topic ACLs, tenant isolation, payload minimization, encryption, consumer authorization</w:t>
            </w:r>
          </w:p>
        </w:tc>
      </w:tr>
      <w:tr>
        <w:tc>
          <w:tcPr>
            <w:tcW w:type="dxa" w:w="1656"/>
            <w:tcMar>
              <w:top w:w="110" w:type="dxa"/>
              <w:start w:w="110" w:type="dxa"/>
              <w:bottom w:w="110" w:type="dxa"/>
              <w:end w:w="110" w:type="dxa"/>
            </w:tcMar>
            <w:vAlign w:val="center"/>
          </w:tcPr>
          <w:p>
            <w:r>
              <w:t>Webhooks</w:t>
            </w:r>
          </w:p>
        </w:tc>
        <w:tc>
          <w:tcPr>
            <w:tcW w:type="dxa" w:w="3168"/>
            <w:tcMar>
              <w:top w:w="110" w:type="dxa"/>
              <w:start w:w="110" w:type="dxa"/>
              <w:bottom w:w="110" w:type="dxa"/>
              <w:end w:w="110" w:type="dxa"/>
            </w:tcMar>
            <w:vAlign w:val="center"/>
          </w:tcPr>
          <w:p>
            <w:r>
              <w:t>Spoofing and duplicate delivery</w:t>
            </w:r>
          </w:p>
        </w:tc>
        <w:tc>
          <w:tcPr>
            <w:tcW w:type="dxa" w:w="5112"/>
            <w:tcMar>
              <w:top w:w="110" w:type="dxa"/>
              <w:start w:w="110" w:type="dxa"/>
              <w:bottom w:w="110" w:type="dxa"/>
              <w:end w:w="110" w:type="dxa"/>
            </w:tcMar>
            <w:vAlign w:val="center"/>
          </w:tcPr>
          <w:p>
            <w:r>
              <w:t>Signature, timestamp, replay cache, idempotency, endpoint verification</w:t>
            </w:r>
          </w:p>
        </w:tc>
      </w:tr>
      <w:tr>
        <w:tc>
          <w:tcPr>
            <w:tcW w:type="dxa" w:w="1656"/>
            <w:tcMar>
              <w:top w:w="110" w:type="dxa"/>
              <w:start w:w="110" w:type="dxa"/>
              <w:bottom w:w="110" w:type="dxa"/>
              <w:end w:w="110" w:type="dxa"/>
            </w:tcMar>
            <w:vAlign w:val="center"/>
          </w:tcPr>
          <w:p>
            <w:r>
              <w:t>Streaming</w:t>
            </w:r>
          </w:p>
        </w:tc>
        <w:tc>
          <w:tcPr>
            <w:tcW w:type="dxa" w:w="3168"/>
            <w:tcMar>
              <w:top w:w="110" w:type="dxa"/>
              <w:start w:w="110" w:type="dxa"/>
              <w:bottom w:w="110" w:type="dxa"/>
              <w:end w:w="110" w:type="dxa"/>
            </w:tcMar>
            <w:vAlign w:val="center"/>
          </w:tcPr>
          <w:p>
            <w:r>
              <w:t>Long-lived authorization</w:t>
            </w:r>
          </w:p>
        </w:tc>
        <w:tc>
          <w:tcPr>
            <w:tcW w:type="dxa" w:w="5112"/>
            <w:tcMar>
              <w:top w:w="110" w:type="dxa"/>
              <w:start w:w="110" w:type="dxa"/>
              <w:bottom w:w="110" w:type="dxa"/>
              <w:end w:w="110" w:type="dxa"/>
            </w:tcMar>
            <w:vAlign w:val="center"/>
          </w:tcPr>
          <w:p>
            <w:r>
              <w:t>Subscription checks, token renewal, revocation, bounded buffers, topic privacy</w:t>
            </w:r>
          </w:p>
        </w:tc>
      </w:tr>
    </w:tbl>
    <w:p>
      <w:pPr>
        <w:pStyle w:val="Heading2"/>
      </w:pPr>
      <w:r>
        <w:t>5.1 GraphQL Example</w:t>
      </w:r>
    </w:p>
    <w:p>
      <w:r>
        <w:t>A top-level patient query may be allowed while psychiatricNotes is denied. Authorization must occur before fetching or exposing sensitive fields, not after a complete record has already been loaded.</w:t>
      </w:r>
    </w:p>
    <w:p>
      <w:pPr>
        <w:pStyle w:val="CodeBlock"/>
      </w:pPr>
      <w:r>
        <w:t>query {</w:t>
        <w:br/>
        <w:t xml:space="preserve">  patient(id: "P123") {</w:t>
        <w:br/>
        <w:t xml:space="preserve">    name</w:t>
        <w:br/>
        <w:t xml:space="preserve">    medications</w:t>
        <w:br/>
        <w:t xml:space="preserve">    psychiatricNotes  # separate policy decision</w:t>
        <w:br/>
        <w:t xml:space="preserve">  }</w:t>
        <w:br/>
        <w:t>}</w:t>
      </w:r>
    </w:p>
    <w:p>
      <w:pPr>
        <w:pStyle w:val="Heading2"/>
      </w:pPr>
      <w:r>
        <w:t>5.2 Event Example</w:t>
      </w:r>
    </w:p>
    <w:p>
      <w:r>
        <w:t>An OrderCreated event consumed by analytics should not automatically contain full delivery address, phone number, and payment details. Publish the minimum required contract or use a tokenized lookup with consumer-specific authorization.</w:t>
      </w:r>
    </w:p>
    <w:p>
      <w:pPr>
        <w:pStyle w:val="Heading1"/>
      </w:pPr>
      <w:r>
        <w:t>6. Food Delivery Security Design</w:t>
      </w:r>
    </w:p>
    <w:p>
      <w:pPr>
        <w:pStyle w:val="Heading2"/>
      </w:pPr>
      <w:r>
        <w:t>6.1 Actors and Boundaries</w:t>
      </w:r>
    </w:p>
    <w:tbl>
      <w:tblPr>
        <w:tblW w:type="auto" w:w="0"/>
        <w:jc w:val="center"/>
        <w:tblLayout w:type="fixed"/>
        <w:tblLook w:firstColumn="1" w:firstRow="1" w:lastColumn="0" w:lastRow="0" w:noHBand="0" w:noVBand="1" w:val="04A0"/>
      </w:tblPr>
      <w:tblGrid>
        <w:gridCol w:w="1944"/>
        <w:gridCol w:w="4176"/>
        <w:gridCol w:w="3744"/>
      </w:tblGrid>
      <w:tr>
        <w:trPr>
          <w:tblHeader w:val="true"/>
        </w:trPr>
        <w:tc>
          <w:tcPr>
            <w:tcW w:type="dxa" w:w="3312"/>
            <w:shd w:fill="D9EAF7"/>
            <w:tcMar>
              <w:top w:w="110" w:type="dxa"/>
              <w:start w:w="110" w:type="dxa"/>
              <w:bottom w:w="110" w:type="dxa"/>
              <w:end w:w="110" w:type="dxa"/>
            </w:tcMar>
            <w:vAlign w:val="center"/>
          </w:tcPr>
          <w:p>
            <w:r>
              <w:t>Actor</w:t>
            </w:r>
          </w:p>
        </w:tc>
        <w:tc>
          <w:tcPr>
            <w:tcW w:type="dxa" w:w="3312"/>
            <w:shd w:fill="D9EAF7"/>
            <w:tcMar>
              <w:top w:w="110" w:type="dxa"/>
              <w:start w:w="110" w:type="dxa"/>
              <w:bottom w:w="110" w:type="dxa"/>
              <w:end w:w="110" w:type="dxa"/>
            </w:tcMar>
            <w:vAlign w:val="center"/>
          </w:tcPr>
          <w:p>
            <w:r>
              <w:t>Permitted access</w:t>
            </w:r>
          </w:p>
        </w:tc>
        <w:tc>
          <w:tcPr>
            <w:tcW w:type="dxa" w:w="3312"/>
            <w:shd w:fill="D9EAF7"/>
            <w:tcMar>
              <w:top w:w="110" w:type="dxa"/>
              <w:start w:w="110" w:type="dxa"/>
              <w:bottom w:w="110" w:type="dxa"/>
              <w:end w:w="110" w:type="dxa"/>
            </w:tcMar>
            <w:vAlign w:val="center"/>
          </w:tcPr>
          <w:p>
            <w:r>
              <w:t>Important restriction</w:t>
            </w:r>
          </w:p>
        </w:tc>
      </w:tr>
      <w:tr>
        <w:tc>
          <w:tcPr>
            <w:tcW w:type="dxa" w:w="1944"/>
            <w:tcMar>
              <w:top w:w="110" w:type="dxa"/>
              <w:start w:w="110" w:type="dxa"/>
              <w:bottom w:w="110" w:type="dxa"/>
              <w:end w:w="110" w:type="dxa"/>
            </w:tcMar>
            <w:vAlign w:val="center"/>
          </w:tcPr>
          <w:p>
            <w:r>
              <w:t>Customer</w:t>
            </w:r>
          </w:p>
        </w:tc>
        <w:tc>
          <w:tcPr>
            <w:tcW w:type="dxa" w:w="4176"/>
            <w:tcMar>
              <w:top w:w="110" w:type="dxa"/>
              <w:start w:w="110" w:type="dxa"/>
              <w:bottom w:w="110" w:type="dxa"/>
              <w:end w:w="110" w:type="dxa"/>
            </w:tcMar>
            <w:vAlign w:val="center"/>
          </w:tcPr>
          <w:p>
            <w:r>
              <w:t>Own profile, carts, orders, payment tokens</w:t>
            </w:r>
          </w:p>
        </w:tc>
        <w:tc>
          <w:tcPr>
            <w:tcW w:type="dxa" w:w="3744"/>
            <w:tcMar>
              <w:top w:w="110" w:type="dxa"/>
              <w:start w:w="110" w:type="dxa"/>
              <w:bottom w:w="110" w:type="dxa"/>
              <w:end w:w="110" w:type="dxa"/>
            </w:tcMar>
            <w:vAlign w:val="center"/>
          </w:tcPr>
          <w:p>
            <w:r>
              <w:t>Cannot read other customer orders</w:t>
            </w:r>
          </w:p>
        </w:tc>
      </w:tr>
      <w:tr>
        <w:tc>
          <w:tcPr>
            <w:tcW w:type="dxa" w:w="1944"/>
            <w:tcMar>
              <w:top w:w="110" w:type="dxa"/>
              <w:start w:w="110" w:type="dxa"/>
              <w:bottom w:w="110" w:type="dxa"/>
              <w:end w:w="110" w:type="dxa"/>
            </w:tcMar>
            <w:vAlign w:val="center"/>
          </w:tcPr>
          <w:p>
            <w:r>
              <w:t>Restaurant user</w:t>
            </w:r>
          </w:p>
        </w:tc>
        <w:tc>
          <w:tcPr>
            <w:tcW w:type="dxa" w:w="4176"/>
            <w:tcMar>
              <w:top w:w="110" w:type="dxa"/>
              <w:start w:w="110" w:type="dxa"/>
              <w:bottom w:w="110" w:type="dxa"/>
              <w:end w:w="110" w:type="dxa"/>
            </w:tcMar>
            <w:vAlign w:val="center"/>
          </w:tcPr>
          <w:p>
            <w:r>
              <w:t>Orders assigned to restaurant</w:t>
            </w:r>
          </w:p>
        </w:tc>
        <w:tc>
          <w:tcPr>
            <w:tcW w:type="dxa" w:w="3744"/>
            <w:tcMar>
              <w:top w:w="110" w:type="dxa"/>
              <w:start w:w="110" w:type="dxa"/>
              <w:bottom w:w="110" w:type="dxa"/>
              <w:end w:w="110" w:type="dxa"/>
            </w:tcMar>
            <w:vAlign w:val="center"/>
          </w:tcPr>
          <w:p>
            <w:r>
              <w:t>Limited customer information; no full payment data</w:t>
            </w:r>
          </w:p>
        </w:tc>
      </w:tr>
      <w:tr>
        <w:tc>
          <w:tcPr>
            <w:tcW w:type="dxa" w:w="1944"/>
            <w:tcMar>
              <w:top w:w="110" w:type="dxa"/>
              <w:start w:w="110" w:type="dxa"/>
              <w:bottom w:w="110" w:type="dxa"/>
              <w:end w:w="110" w:type="dxa"/>
            </w:tcMar>
            <w:vAlign w:val="center"/>
          </w:tcPr>
          <w:p>
            <w:r>
              <w:t>Driver</w:t>
            </w:r>
          </w:p>
        </w:tc>
        <w:tc>
          <w:tcPr>
            <w:tcW w:type="dxa" w:w="4176"/>
            <w:tcMar>
              <w:top w:w="110" w:type="dxa"/>
              <w:start w:w="110" w:type="dxa"/>
              <w:bottom w:w="110" w:type="dxa"/>
              <w:end w:w="110" w:type="dxa"/>
            </w:tcMar>
            <w:vAlign w:val="center"/>
          </w:tcPr>
          <w:p>
            <w:r>
              <w:t>Assigned delivery and route details</w:t>
            </w:r>
          </w:p>
        </w:tc>
        <w:tc>
          <w:tcPr>
            <w:tcW w:type="dxa" w:w="3744"/>
            <w:tcMar>
              <w:top w:w="110" w:type="dxa"/>
              <w:start w:w="110" w:type="dxa"/>
              <w:bottom w:w="110" w:type="dxa"/>
              <w:end w:w="110" w:type="dxa"/>
            </w:tcMar>
            <w:vAlign w:val="center"/>
          </w:tcPr>
          <w:p>
            <w:r>
              <w:t>Access only during active assignment window</w:t>
            </w:r>
          </w:p>
        </w:tc>
      </w:tr>
      <w:tr>
        <w:tc>
          <w:tcPr>
            <w:tcW w:type="dxa" w:w="1944"/>
            <w:tcMar>
              <w:top w:w="110" w:type="dxa"/>
              <w:start w:w="110" w:type="dxa"/>
              <w:bottom w:w="110" w:type="dxa"/>
              <w:end w:w="110" w:type="dxa"/>
            </w:tcMar>
            <w:vAlign w:val="center"/>
          </w:tcPr>
          <w:p>
            <w:r>
              <w:t>Support agent</w:t>
            </w:r>
          </w:p>
        </w:tc>
        <w:tc>
          <w:tcPr>
            <w:tcW w:type="dxa" w:w="4176"/>
            <w:tcMar>
              <w:top w:w="110" w:type="dxa"/>
              <w:start w:w="110" w:type="dxa"/>
              <w:bottom w:w="110" w:type="dxa"/>
              <w:end w:w="110" w:type="dxa"/>
            </w:tcMar>
            <w:vAlign w:val="center"/>
          </w:tcPr>
          <w:p>
            <w:r>
              <w:t>Case-specific customer/order access</w:t>
            </w:r>
          </w:p>
        </w:tc>
        <w:tc>
          <w:tcPr>
            <w:tcW w:type="dxa" w:w="3744"/>
            <w:tcMar>
              <w:top w:w="110" w:type="dxa"/>
              <w:start w:w="110" w:type="dxa"/>
              <w:bottom w:w="110" w:type="dxa"/>
              <w:end w:w="110" w:type="dxa"/>
            </w:tcMar>
            <w:vAlign w:val="center"/>
          </w:tcPr>
          <w:p>
            <w:r>
              <w:t>Reason code, masking, audit, possible approval</w:t>
            </w:r>
          </w:p>
        </w:tc>
      </w:tr>
      <w:tr>
        <w:tc>
          <w:tcPr>
            <w:tcW w:type="dxa" w:w="1944"/>
            <w:tcMar>
              <w:top w:w="110" w:type="dxa"/>
              <w:start w:w="110" w:type="dxa"/>
              <w:bottom w:w="110" w:type="dxa"/>
              <w:end w:w="110" w:type="dxa"/>
            </w:tcMar>
            <w:vAlign w:val="center"/>
          </w:tcPr>
          <w:p>
            <w:r>
              <w:t>Platform service</w:t>
            </w:r>
          </w:p>
        </w:tc>
        <w:tc>
          <w:tcPr>
            <w:tcW w:type="dxa" w:w="4176"/>
            <w:tcMar>
              <w:top w:w="110" w:type="dxa"/>
              <w:start w:w="110" w:type="dxa"/>
              <w:bottom w:w="110" w:type="dxa"/>
              <w:end w:w="110" w:type="dxa"/>
            </w:tcMar>
            <w:vAlign w:val="center"/>
          </w:tcPr>
          <w:p>
            <w:r>
              <w:t>Domain-specific service access</w:t>
            </w:r>
          </w:p>
        </w:tc>
        <w:tc>
          <w:tcPr>
            <w:tcW w:type="dxa" w:w="3744"/>
            <w:tcMar>
              <w:top w:w="110" w:type="dxa"/>
              <w:start w:w="110" w:type="dxa"/>
              <w:bottom w:w="110" w:type="dxa"/>
              <w:end w:w="110" w:type="dxa"/>
            </w:tcMar>
            <w:vAlign w:val="center"/>
          </w:tcPr>
          <w:p>
            <w:r>
              <w:t>No universal shared service credential</w:t>
            </w:r>
          </w:p>
        </w:tc>
      </w:tr>
    </w:tbl>
    <w:p>
      <w:pPr>
        <w:pStyle w:val="Heading2"/>
      </w:pPr>
      <w:r>
        <w:t>6.2 Order Access API</w:t>
      </w:r>
    </w:p>
    <w:p>
      <w:pPr>
        <w:pStyle w:val="CodeBlock"/>
      </w:pPr>
      <w:r>
        <w:t>GET /orders/{orderId}</w:t>
      </w:r>
    </w:p>
    <w:p>
      <w:pPr>
        <w:pStyle w:val="ListBullet"/>
      </w:pPr>
      <w:r>
        <w:t>Customer path: subject must own the order.</w:t>
      </w:r>
    </w:p>
    <w:p>
      <w:pPr>
        <w:pStyle w:val="ListBullet"/>
      </w:pPr>
      <w:r>
        <w:t>Restaurant path: restaurantId in token/workload context must match order.restaurantId.</w:t>
      </w:r>
    </w:p>
    <w:p>
      <w:pPr>
        <w:pStyle w:val="ListBullet"/>
      </w:pPr>
      <w:r>
        <w:t>Driver path: driver must be the current assignee and assignment must be active.</w:t>
      </w:r>
    </w:p>
    <w:p>
      <w:pPr>
        <w:pStyle w:val="ListBullet"/>
      </w:pPr>
      <w:r>
        <w:t>Support path: case ID and reason may be required; sensitive fields can be masked.</w:t>
      </w:r>
    </w:p>
    <w:p>
      <w:pPr>
        <w:pStyle w:val="Heading2"/>
      </w:pPr>
      <w:r>
        <w:t>6.3 Driver Location Privacy</w:t>
      </w:r>
    </w:p>
    <w:p>
      <w:r>
        <w:t>Do not expose unrestricted driver history. A customer receives a coarse current position only while the delivery is active, and the stream is terminated when assignment or order state changes. Internal telemetry retention follows a separate, limited policy.</w:t>
      </w:r>
    </w:p>
    <w:p>
      <w:pPr>
        <w:pStyle w:val="Heading1"/>
      </w:pPr>
      <w:r>
        <w:t>7. Healthcare Security and Regulatory Design</w:t>
      </w:r>
    </w:p>
    <w:p>
      <w:r>
        <w:t>Healthcare authorization is contextual. “Clinician” is rarely sufficient. The design must consider organization, care relationship, patient consent, data sensitivity, legal basis, purpose of use, emergency access, provenance, and audit.</w:t>
      </w:r>
    </w:p>
    <w:tbl>
      <w:tblPr>
        <w:tblW w:type="auto" w:w="0"/>
        <w:jc w:val="center"/>
        <w:tblLayout w:type="fixed"/>
        <w:tblLook w:firstColumn="1" w:firstRow="1" w:lastColumn="0" w:lastRow="0" w:noHBand="0" w:noVBand="1" w:val="04A0"/>
      </w:tblPr>
      <w:tblGrid>
        <w:gridCol w:w="2232"/>
        <w:gridCol w:w="7704"/>
      </w:tblGrid>
      <w:tr>
        <w:trPr>
          <w:tblHeader w:val="true"/>
        </w:trPr>
        <w:tc>
          <w:tcPr>
            <w:tcW w:type="dxa" w:w="4968"/>
            <w:shd w:fill="D9EAF7"/>
            <w:tcMar>
              <w:top w:w="110" w:type="dxa"/>
              <w:start w:w="110" w:type="dxa"/>
              <w:bottom w:w="110" w:type="dxa"/>
              <w:end w:w="110" w:type="dxa"/>
            </w:tcMar>
            <w:vAlign w:val="center"/>
          </w:tcPr>
          <w:p>
            <w:r>
              <w:t>Concern</w:t>
            </w:r>
          </w:p>
        </w:tc>
        <w:tc>
          <w:tcPr>
            <w:tcW w:type="dxa" w:w="4968"/>
            <w:shd w:fill="D9EAF7"/>
            <w:tcMar>
              <w:top w:w="110" w:type="dxa"/>
              <w:start w:w="110" w:type="dxa"/>
              <w:bottom w:w="110" w:type="dxa"/>
              <w:end w:w="110" w:type="dxa"/>
            </w:tcMar>
            <w:vAlign w:val="center"/>
          </w:tcPr>
          <w:p>
            <w:r>
              <w:t>Practical API control</w:t>
            </w:r>
          </w:p>
        </w:tc>
      </w:tr>
      <w:tr>
        <w:tc>
          <w:tcPr>
            <w:tcW w:type="dxa" w:w="2232"/>
            <w:tcMar>
              <w:top w:w="110" w:type="dxa"/>
              <w:start w:w="110" w:type="dxa"/>
              <w:bottom w:w="110" w:type="dxa"/>
              <w:end w:w="110" w:type="dxa"/>
            </w:tcMar>
            <w:vAlign w:val="center"/>
          </w:tcPr>
          <w:p>
            <w:r>
              <w:t>Minimum necessary</w:t>
            </w:r>
          </w:p>
        </w:tc>
        <w:tc>
          <w:tcPr>
            <w:tcW w:type="dxa" w:w="7704"/>
            <w:tcMar>
              <w:top w:w="110" w:type="dxa"/>
              <w:start w:w="110" w:type="dxa"/>
              <w:bottom w:w="110" w:type="dxa"/>
              <w:end w:w="110" w:type="dxa"/>
            </w:tcMar>
            <w:vAlign w:val="center"/>
          </w:tcPr>
          <w:p>
            <w:r>
              <w:t>Return only resources and fields required for the workflow</w:t>
            </w:r>
          </w:p>
        </w:tc>
      </w:tr>
      <w:tr>
        <w:tc>
          <w:tcPr>
            <w:tcW w:type="dxa" w:w="2232"/>
            <w:tcMar>
              <w:top w:w="110" w:type="dxa"/>
              <w:start w:w="110" w:type="dxa"/>
              <w:bottom w:w="110" w:type="dxa"/>
              <w:end w:w="110" w:type="dxa"/>
            </w:tcMar>
            <w:vAlign w:val="center"/>
          </w:tcPr>
          <w:p>
            <w:r>
              <w:t>Consent</w:t>
            </w:r>
          </w:p>
        </w:tc>
        <w:tc>
          <w:tcPr>
            <w:tcW w:type="dxa" w:w="7704"/>
            <w:tcMar>
              <w:top w:w="110" w:type="dxa"/>
              <w:start w:w="110" w:type="dxa"/>
              <w:bottom w:w="110" w:type="dxa"/>
              <w:end w:w="110" w:type="dxa"/>
            </w:tcMar>
            <w:vAlign w:val="center"/>
          </w:tcPr>
          <w:p>
            <w:r>
              <w:t>Evaluate active consent directives before disclosure or secondary use</w:t>
            </w:r>
          </w:p>
        </w:tc>
      </w:tr>
      <w:tr>
        <w:tc>
          <w:tcPr>
            <w:tcW w:type="dxa" w:w="2232"/>
            <w:tcMar>
              <w:top w:w="110" w:type="dxa"/>
              <w:start w:w="110" w:type="dxa"/>
              <w:bottom w:w="110" w:type="dxa"/>
              <w:end w:w="110" w:type="dxa"/>
            </w:tcMar>
            <w:vAlign w:val="center"/>
          </w:tcPr>
          <w:p>
            <w:r>
              <w:t>Purpose of use</w:t>
            </w:r>
          </w:p>
        </w:tc>
        <w:tc>
          <w:tcPr>
            <w:tcW w:type="dxa" w:w="7704"/>
            <w:tcMar>
              <w:top w:w="110" w:type="dxa"/>
              <w:start w:w="110" w:type="dxa"/>
              <w:bottom w:w="110" w:type="dxa"/>
              <w:end w:w="110" w:type="dxa"/>
            </w:tcMar>
            <w:vAlign w:val="center"/>
          </w:tcPr>
          <w:p>
            <w:r>
              <w:t>Carry and validate treatment/payment/operations/research context</w:t>
            </w:r>
          </w:p>
        </w:tc>
      </w:tr>
      <w:tr>
        <w:tc>
          <w:tcPr>
            <w:tcW w:type="dxa" w:w="2232"/>
            <w:tcMar>
              <w:top w:w="110" w:type="dxa"/>
              <w:start w:w="110" w:type="dxa"/>
              <w:bottom w:w="110" w:type="dxa"/>
              <w:end w:w="110" w:type="dxa"/>
            </w:tcMar>
            <w:vAlign w:val="center"/>
          </w:tcPr>
          <w:p>
            <w:r>
              <w:t>Care relationship</w:t>
            </w:r>
          </w:p>
        </w:tc>
        <w:tc>
          <w:tcPr>
            <w:tcW w:type="dxa" w:w="7704"/>
            <w:tcMar>
              <w:top w:w="110" w:type="dxa"/>
              <w:start w:w="110" w:type="dxa"/>
              <w:bottom w:w="110" w:type="dxa"/>
              <w:end w:w="110" w:type="dxa"/>
            </w:tcMar>
            <w:vAlign w:val="center"/>
          </w:tcPr>
          <w:p>
            <w:r>
              <w:t>Verify encounter, care team, referral, or organizational relationship</w:t>
            </w:r>
          </w:p>
        </w:tc>
      </w:tr>
      <w:tr>
        <w:tc>
          <w:tcPr>
            <w:tcW w:type="dxa" w:w="2232"/>
            <w:tcMar>
              <w:top w:w="110" w:type="dxa"/>
              <w:start w:w="110" w:type="dxa"/>
              <w:bottom w:w="110" w:type="dxa"/>
              <w:end w:w="110" w:type="dxa"/>
            </w:tcMar>
            <w:vAlign w:val="center"/>
          </w:tcPr>
          <w:p>
            <w:r>
              <w:t>Break-glass</w:t>
            </w:r>
          </w:p>
        </w:tc>
        <w:tc>
          <w:tcPr>
            <w:tcW w:type="dxa" w:w="7704"/>
            <w:tcMar>
              <w:top w:w="110" w:type="dxa"/>
              <w:start w:w="110" w:type="dxa"/>
              <w:bottom w:w="110" w:type="dxa"/>
              <w:end w:w="110" w:type="dxa"/>
            </w:tcMar>
            <w:vAlign w:val="center"/>
          </w:tcPr>
          <w:p>
            <w:r>
              <w:t>Require explicit reason, elevated audit, notification/review, time-bound access</w:t>
            </w:r>
          </w:p>
        </w:tc>
      </w:tr>
      <w:tr>
        <w:tc>
          <w:tcPr>
            <w:tcW w:type="dxa" w:w="2232"/>
            <w:tcMar>
              <w:top w:w="110" w:type="dxa"/>
              <w:start w:w="110" w:type="dxa"/>
              <w:bottom w:w="110" w:type="dxa"/>
              <w:end w:w="110" w:type="dxa"/>
            </w:tcMar>
            <w:vAlign w:val="center"/>
          </w:tcPr>
          <w:p>
            <w:r>
              <w:t>Provenance</w:t>
            </w:r>
          </w:p>
        </w:tc>
        <w:tc>
          <w:tcPr>
            <w:tcW w:type="dxa" w:w="7704"/>
            <w:tcMar>
              <w:top w:w="110" w:type="dxa"/>
              <w:start w:w="110" w:type="dxa"/>
              <w:bottom w:w="110" w:type="dxa"/>
              <w:end w:w="110" w:type="dxa"/>
            </w:tcMar>
            <w:vAlign w:val="center"/>
          </w:tcPr>
          <w:p>
            <w:r>
              <w:t>Record source system, author, timestamps, transformations, and version</w:t>
            </w:r>
          </w:p>
        </w:tc>
      </w:tr>
      <w:tr>
        <w:tc>
          <w:tcPr>
            <w:tcW w:type="dxa" w:w="2232"/>
            <w:tcMar>
              <w:top w:w="110" w:type="dxa"/>
              <w:start w:w="110" w:type="dxa"/>
              <w:bottom w:w="110" w:type="dxa"/>
              <w:end w:w="110" w:type="dxa"/>
            </w:tcMar>
            <w:vAlign w:val="center"/>
          </w:tcPr>
          <w:p>
            <w:r>
              <w:t>Audit</w:t>
            </w:r>
          </w:p>
        </w:tc>
        <w:tc>
          <w:tcPr>
            <w:tcW w:type="dxa" w:w="7704"/>
            <w:tcMar>
              <w:top w:w="110" w:type="dxa"/>
              <w:start w:w="110" w:type="dxa"/>
              <w:bottom w:w="110" w:type="dxa"/>
              <w:end w:w="110" w:type="dxa"/>
            </w:tcMar>
            <w:vAlign w:val="center"/>
          </w:tcPr>
          <w:p>
            <w:r>
              <w:t>Record who accessed which patient data, purpose, decision, and outcome</w:t>
            </w:r>
          </w:p>
        </w:tc>
      </w:tr>
    </w:tbl>
    <w:p>
      <w:pPr>
        <w:pStyle w:val="Heading2"/>
      </w:pPr>
      <w:r>
        <w:t>7.1 Clinical Read Example</w:t>
      </w:r>
    </w:p>
    <w:p>
      <w:pPr>
        <w:pStyle w:val="CodeBlock"/>
      </w:pPr>
      <w:r>
        <w:t>GET /fhir/Observation?patient=P123&amp;category=laboratory</w:t>
      </w:r>
    </w:p>
    <w:p>
      <w:r>
        <w:t>The FHIR scope permits a class of access, but the server still evaluates patient context, organization, consent, purpose, and requested resource categories. Search endpoints must authorize every returned resource, not only the query itself.</w:t>
      </w:r>
    </w:p>
    <w:p>
      <w:pPr>
        <w:pStyle w:val="Heading2"/>
      </w:pPr>
      <w:r>
        <w:t>7.2 Break-Glass Workflow</w:t>
      </w:r>
    </w:p>
    <w:p>
      <w:pPr>
        <w:pStyle w:val="CodeBlock"/>
      </w:pPr>
      <w:r>
        <w:t>POST /access-elevations</w:t>
        <w:br/>
        <w:t>{</w:t>
        <w:br/>
        <w:t xml:space="preserve">  "patientId": "P123",</w:t>
        <w:br/>
        <w:t xml:space="preserve">  "reasonCode": "EMERGENCY_TREATMENT",</w:t>
        <w:br/>
        <w:t xml:space="preserve">  "justification": "Unconscious patient in emergency department"</w:t>
        <w:br/>
        <w:t>}</w:t>
      </w:r>
    </w:p>
    <w:p>
      <w:pPr>
        <w:pStyle w:val="ListBullet"/>
      </w:pPr>
      <w:r>
        <w:t>Return a short-lived elevation reference, not a permanent role.</w:t>
      </w:r>
    </w:p>
    <w:p>
      <w:pPr>
        <w:pStyle w:val="ListBullet"/>
      </w:pPr>
      <w:r>
        <w:t>Capture clinician, patient, reason, organization, time, and affected data classes.</w:t>
      </w:r>
    </w:p>
    <w:p>
      <w:pPr>
        <w:pStyle w:val="ListBullet"/>
      </w:pPr>
      <w:r>
        <w:t>Notify or review according to policy.</w:t>
      </w:r>
    </w:p>
    <w:p>
      <w:pPr>
        <w:pStyle w:val="ListBullet"/>
      </w:pPr>
      <w:r>
        <w:t>Do not let break-glass bypass data integrity, malware, or system safety controls.</w:t>
      </w:r>
    </w:p>
    <w:p>
      <w:pPr>
        <w:pStyle w:val="Heading2"/>
      </w:pPr>
      <w:r>
        <w:t>7.3 Healthcare Logging</w:t>
      </w:r>
    </w:p>
    <w:p>
      <w:r>
        <w:t>Security logs must be useful without becoming a second uncontrolled clinical database. Avoid full clinical payloads, access tokens, free-text notes, and sensitive identifiers where correlation IDs or references are sufficient.</w:t>
      </w:r>
    </w:p>
    <w:p>
      <w:pPr>
        <w:pStyle w:val="Heading1"/>
      </w:pPr>
      <w:r>
        <w:t>8. Financial API Security</w:t>
      </w:r>
    </w:p>
    <w:p>
      <w:r>
        <w:t>Financial APIs frequently require stronger controls than ordinary bearer-token authorization because the API initiates irreversible or high-value business actions.</w:t>
      </w:r>
    </w:p>
    <w:tbl>
      <w:tblPr>
        <w:tblW w:type="auto" w:w="0"/>
        <w:jc w:val="center"/>
        <w:tblLayout w:type="fixed"/>
        <w:tblLook w:firstColumn="1" w:firstRow="1" w:lastColumn="0" w:lastRow="0" w:noHBand="0" w:noVBand="1" w:val="04A0"/>
      </w:tblPr>
      <w:tblGrid>
        <w:gridCol w:w="2376"/>
        <w:gridCol w:w="7560"/>
      </w:tblGrid>
      <w:tr>
        <w:trPr>
          <w:tblHeader w:val="true"/>
        </w:trPr>
        <w:tc>
          <w:tcPr>
            <w:tcW w:type="dxa" w:w="4968"/>
            <w:shd w:fill="D9EAF7"/>
            <w:tcMar>
              <w:top w:w="110" w:type="dxa"/>
              <w:start w:w="110" w:type="dxa"/>
              <w:bottom w:w="110" w:type="dxa"/>
              <w:end w:w="110" w:type="dxa"/>
            </w:tcMar>
            <w:vAlign w:val="center"/>
          </w:tcPr>
          <w:p>
            <w:r>
              <w:t>Risk</w:t>
            </w:r>
          </w:p>
        </w:tc>
        <w:tc>
          <w:tcPr>
            <w:tcW w:type="dxa" w:w="4968"/>
            <w:shd w:fill="D9EAF7"/>
            <w:tcMar>
              <w:top w:w="110" w:type="dxa"/>
              <w:start w:w="110" w:type="dxa"/>
              <w:bottom w:w="110" w:type="dxa"/>
              <w:end w:w="110" w:type="dxa"/>
            </w:tcMar>
            <w:vAlign w:val="center"/>
          </w:tcPr>
          <w:p>
            <w:r>
              <w:t>Control</w:t>
            </w:r>
          </w:p>
        </w:tc>
      </w:tr>
      <w:tr>
        <w:tc>
          <w:tcPr>
            <w:tcW w:type="dxa" w:w="2376"/>
            <w:tcMar>
              <w:top w:w="110" w:type="dxa"/>
              <w:start w:w="110" w:type="dxa"/>
              <w:bottom w:w="110" w:type="dxa"/>
              <w:end w:w="110" w:type="dxa"/>
            </w:tcMar>
            <w:vAlign w:val="center"/>
          </w:tcPr>
          <w:p>
            <w:r>
              <w:t>Stolen bearer token</w:t>
            </w:r>
          </w:p>
        </w:tc>
        <w:tc>
          <w:tcPr>
            <w:tcW w:type="dxa" w:w="7560"/>
            <w:tcMar>
              <w:top w:w="110" w:type="dxa"/>
              <w:start w:w="110" w:type="dxa"/>
              <w:bottom w:w="110" w:type="dxa"/>
              <w:end w:w="110" w:type="dxa"/>
            </w:tcMar>
            <w:vAlign w:val="center"/>
          </w:tcPr>
          <w:p>
            <w:r>
              <w:t>Proof-of-possession or sender-constrained token, device/risk signals</w:t>
            </w:r>
          </w:p>
        </w:tc>
      </w:tr>
      <w:tr>
        <w:tc>
          <w:tcPr>
            <w:tcW w:type="dxa" w:w="2376"/>
            <w:tcMar>
              <w:top w:w="110" w:type="dxa"/>
              <w:start w:w="110" w:type="dxa"/>
              <w:bottom w:w="110" w:type="dxa"/>
              <w:end w:w="110" w:type="dxa"/>
            </w:tcMar>
            <w:vAlign w:val="center"/>
          </w:tcPr>
          <w:p>
            <w:r>
              <w:t>Replay</w:t>
            </w:r>
          </w:p>
        </w:tc>
        <w:tc>
          <w:tcPr>
            <w:tcW w:type="dxa" w:w="7560"/>
            <w:tcMar>
              <w:top w:w="110" w:type="dxa"/>
              <w:start w:w="110" w:type="dxa"/>
              <w:bottom w:w="110" w:type="dxa"/>
              <w:end w:w="110" w:type="dxa"/>
            </w:tcMar>
            <w:vAlign w:val="center"/>
          </w:tcPr>
          <w:p>
            <w:r>
              <w:t>Nonce/idempotency key, signed timestamp, request hash, replay cache</w:t>
            </w:r>
          </w:p>
        </w:tc>
      </w:tr>
      <w:tr>
        <w:tc>
          <w:tcPr>
            <w:tcW w:type="dxa" w:w="2376"/>
            <w:tcMar>
              <w:top w:w="110" w:type="dxa"/>
              <w:start w:w="110" w:type="dxa"/>
              <w:bottom w:w="110" w:type="dxa"/>
              <w:end w:w="110" w:type="dxa"/>
            </w:tcMar>
            <w:vAlign w:val="center"/>
          </w:tcPr>
          <w:p>
            <w:r>
              <w:t>Request tampering</w:t>
            </w:r>
          </w:p>
        </w:tc>
        <w:tc>
          <w:tcPr>
            <w:tcW w:type="dxa" w:w="7560"/>
            <w:tcMar>
              <w:top w:w="110" w:type="dxa"/>
              <w:start w:w="110" w:type="dxa"/>
              <w:bottom w:w="110" w:type="dxa"/>
              <w:end w:w="110" w:type="dxa"/>
            </w:tcMar>
            <w:vAlign w:val="center"/>
          </w:tcPr>
          <w:p>
            <w:r>
              <w:t>Signed request or protected channel plus server-side business validation</w:t>
            </w:r>
          </w:p>
        </w:tc>
      </w:tr>
      <w:tr>
        <w:tc>
          <w:tcPr>
            <w:tcW w:type="dxa" w:w="2376"/>
            <w:tcMar>
              <w:top w:w="110" w:type="dxa"/>
              <w:start w:w="110" w:type="dxa"/>
              <w:bottom w:w="110" w:type="dxa"/>
              <w:end w:w="110" w:type="dxa"/>
            </w:tcMar>
            <w:vAlign w:val="center"/>
          </w:tcPr>
          <w:p>
            <w:r>
              <w:t>Account takeover</w:t>
            </w:r>
          </w:p>
        </w:tc>
        <w:tc>
          <w:tcPr>
            <w:tcW w:type="dxa" w:w="7560"/>
            <w:tcMar>
              <w:top w:w="110" w:type="dxa"/>
              <w:start w:w="110" w:type="dxa"/>
              <w:bottom w:w="110" w:type="dxa"/>
              <w:end w:w="110" w:type="dxa"/>
            </w:tcMar>
            <w:vAlign w:val="center"/>
          </w:tcPr>
          <w:p>
            <w:r>
              <w:t>Step-up authentication, fraud scoring, beneficiary controls</w:t>
            </w:r>
          </w:p>
        </w:tc>
      </w:tr>
      <w:tr>
        <w:tc>
          <w:tcPr>
            <w:tcW w:type="dxa" w:w="2376"/>
            <w:tcMar>
              <w:top w:w="110" w:type="dxa"/>
              <w:start w:w="110" w:type="dxa"/>
              <w:bottom w:w="110" w:type="dxa"/>
              <w:end w:w="110" w:type="dxa"/>
            </w:tcMar>
            <w:vAlign w:val="center"/>
          </w:tcPr>
          <w:p>
            <w:r>
              <w:t>Unauthorized transfer</w:t>
            </w:r>
          </w:p>
        </w:tc>
        <w:tc>
          <w:tcPr>
            <w:tcW w:type="dxa" w:w="7560"/>
            <w:tcMar>
              <w:top w:w="110" w:type="dxa"/>
              <w:start w:w="110" w:type="dxa"/>
              <w:bottom w:w="110" w:type="dxa"/>
              <w:end w:w="110" w:type="dxa"/>
            </w:tcMar>
            <w:vAlign w:val="center"/>
          </w:tcPr>
          <w:p>
            <w:r>
              <w:t>Account ownership, entitlements, limits, transaction authorization</w:t>
            </w:r>
          </w:p>
        </w:tc>
      </w:tr>
      <w:tr>
        <w:tc>
          <w:tcPr>
            <w:tcW w:type="dxa" w:w="2376"/>
            <w:tcMar>
              <w:top w:w="110" w:type="dxa"/>
              <w:start w:w="110" w:type="dxa"/>
              <w:bottom w:w="110" w:type="dxa"/>
              <w:end w:w="110" w:type="dxa"/>
            </w:tcMar>
            <w:vAlign w:val="center"/>
          </w:tcPr>
          <w:p>
            <w:r>
              <w:t>Dispute</w:t>
            </w:r>
          </w:p>
        </w:tc>
        <w:tc>
          <w:tcPr>
            <w:tcW w:type="dxa" w:w="7560"/>
            <w:tcMar>
              <w:top w:w="110" w:type="dxa"/>
              <w:start w:w="110" w:type="dxa"/>
              <w:bottom w:w="110" w:type="dxa"/>
              <w:end w:w="110" w:type="dxa"/>
            </w:tcMar>
            <w:vAlign w:val="center"/>
          </w:tcPr>
          <w:p>
            <w:r>
              <w:t>Immutable evidence: request, identity, consent, decision, ledger references</w:t>
            </w:r>
          </w:p>
        </w:tc>
      </w:tr>
    </w:tbl>
    <w:p>
      <w:pPr>
        <w:pStyle w:val="Heading2"/>
      </w:pPr>
      <w:r>
        <w:t>8.1 Transfer Command</w:t>
      </w:r>
    </w:p>
    <w:p>
      <w:pPr>
        <w:pStyle w:val="CodeBlock"/>
      </w:pPr>
      <w:r>
        <w:t>POST /transfers</w:t>
        <w:br/>
        <w:t>Authorization: DPoP &lt;access-token&gt;</w:t>
        <w:br/>
        <w:t>DPoP: &lt;proof&gt;</w:t>
        <w:br/>
        <w:t>Idempotency-Key: 7f...</w:t>
        <w:br/>
        <w:t>X-Request-Timestamp: 2026-07-31T05:20:00Z</w:t>
      </w:r>
    </w:p>
    <w:p>
      <w:pPr>
        <w:pStyle w:val="ListBullet"/>
      </w:pPr>
      <w:r>
        <w:t>Validate caller, client, token audience, proof key, timestamp window, and replay cache.</w:t>
      </w:r>
    </w:p>
    <w:p>
      <w:pPr>
        <w:pStyle w:val="ListBullet"/>
      </w:pPr>
      <w:r>
        <w:t>Verify source account ownership or delegated entitlement.</w:t>
      </w:r>
    </w:p>
    <w:p>
      <w:pPr>
        <w:pStyle w:val="ListBullet"/>
      </w:pPr>
      <w:r>
        <w:t>Apply amount, currency, beneficiary, velocity, and risk policies.</w:t>
      </w:r>
    </w:p>
    <w:p>
      <w:pPr>
        <w:pStyle w:val="ListBullet"/>
      </w:pPr>
      <w:r>
        <w:t>Require step-up or explicit transaction approval when policy demands it.</w:t>
      </w:r>
    </w:p>
    <w:p>
      <w:pPr>
        <w:pStyle w:val="ListBullet"/>
      </w:pPr>
      <w:r>
        <w:t>Persist evidence and idempotency outcome before returning a result.</w:t>
      </w:r>
    </w:p>
    <w:p>
      <w:pPr>
        <w:pStyle w:val="Heading2"/>
      </w:pPr>
      <w:r>
        <w:t>8.2 Business Outcome Versus Security Failure</w:t>
      </w:r>
    </w:p>
    <w:tbl>
      <w:tblPr>
        <w:tblW w:type="auto" w:w="0"/>
        <w:jc w:val="center"/>
        <w:tblLayout w:type="fixed"/>
        <w:tblLook w:firstColumn="1" w:firstRow="1" w:lastColumn="0" w:lastRow="0" w:noHBand="0" w:noVBand="1" w:val="04A0"/>
      </w:tblPr>
      <w:tblGrid>
        <w:gridCol w:w="3960"/>
        <w:gridCol w:w="5976"/>
      </w:tblGrid>
      <w:tr>
        <w:trPr>
          <w:tblHeader w:val="true"/>
        </w:trPr>
        <w:tc>
          <w:tcPr>
            <w:tcW w:type="dxa" w:w="4968"/>
            <w:shd w:fill="D9EAF7"/>
            <w:tcMar>
              <w:top w:w="110" w:type="dxa"/>
              <w:start w:w="110" w:type="dxa"/>
              <w:bottom w:w="110" w:type="dxa"/>
              <w:end w:w="110" w:type="dxa"/>
            </w:tcMar>
            <w:vAlign w:val="center"/>
          </w:tcPr>
          <w:p>
            <w:r>
              <w:t>Condition</w:t>
            </w:r>
          </w:p>
        </w:tc>
        <w:tc>
          <w:tcPr>
            <w:tcW w:type="dxa" w:w="4968"/>
            <w:shd w:fill="D9EAF7"/>
            <w:tcMar>
              <w:top w:w="110" w:type="dxa"/>
              <w:start w:w="110" w:type="dxa"/>
              <w:bottom w:w="110" w:type="dxa"/>
              <w:end w:w="110" w:type="dxa"/>
            </w:tcMar>
            <w:vAlign w:val="center"/>
          </w:tcPr>
          <w:p>
            <w:r>
              <w:t>Typical response</w:t>
            </w:r>
          </w:p>
        </w:tc>
      </w:tr>
      <w:tr>
        <w:tc>
          <w:tcPr>
            <w:tcW w:type="dxa" w:w="3960"/>
            <w:tcMar>
              <w:top w:w="110" w:type="dxa"/>
              <w:start w:w="110" w:type="dxa"/>
              <w:bottom w:w="110" w:type="dxa"/>
              <w:end w:w="110" w:type="dxa"/>
            </w:tcMar>
            <w:vAlign w:val="center"/>
          </w:tcPr>
          <w:p>
            <w:r>
              <w:t>Invalid/expired token</w:t>
            </w:r>
          </w:p>
        </w:tc>
        <w:tc>
          <w:tcPr>
            <w:tcW w:type="dxa" w:w="5976"/>
            <w:tcMar>
              <w:top w:w="110" w:type="dxa"/>
              <w:start w:w="110" w:type="dxa"/>
              <w:bottom w:w="110" w:type="dxa"/>
              <w:end w:w="110" w:type="dxa"/>
            </w:tcMar>
            <w:vAlign w:val="center"/>
          </w:tcPr>
          <w:p>
            <w:r>
              <w:t>401</w:t>
            </w:r>
          </w:p>
        </w:tc>
      </w:tr>
      <w:tr>
        <w:tc>
          <w:tcPr>
            <w:tcW w:type="dxa" w:w="3960"/>
            <w:tcMar>
              <w:top w:w="110" w:type="dxa"/>
              <w:start w:w="110" w:type="dxa"/>
              <w:bottom w:w="110" w:type="dxa"/>
              <w:end w:w="110" w:type="dxa"/>
            </w:tcMar>
            <w:vAlign w:val="center"/>
          </w:tcPr>
          <w:p>
            <w:r>
              <w:t>Authenticated but no account entitlement</w:t>
            </w:r>
          </w:p>
        </w:tc>
        <w:tc>
          <w:tcPr>
            <w:tcW w:type="dxa" w:w="5976"/>
            <w:tcMar>
              <w:top w:w="110" w:type="dxa"/>
              <w:start w:w="110" w:type="dxa"/>
              <w:bottom w:w="110" w:type="dxa"/>
              <w:end w:w="110" w:type="dxa"/>
            </w:tcMar>
            <w:vAlign w:val="center"/>
          </w:tcPr>
          <w:p>
            <w:r>
              <w:t>403 or concealed 404</w:t>
            </w:r>
          </w:p>
        </w:tc>
      </w:tr>
      <w:tr>
        <w:tc>
          <w:tcPr>
            <w:tcW w:type="dxa" w:w="3960"/>
            <w:tcMar>
              <w:top w:w="110" w:type="dxa"/>
              <w:start w:w="110" w:type="dxa"/>
              <w:bottom w:w="110" w:type="dxa"/>
              <w:end w:w="110" w:type="dxa"/>
            </w:tcMar>
            <w:vAlign w:val="center"/>
          </w:tcPr>
          <w:p>
            <w:r>
              <w:t>Duplicate idempotency key, same request</w:t>
            </w:r>
          </w:p>
        </w:tc>
        <w:tc>
          <w:tcPr>
            <w:tcW w:type="dxa" w:w="5976"/>
            <w:tcMar>
              <w:top w:w="110" w:type="dxa"/>
              <w:start w:w="110" w:type="dxa"/>
              <w:bottom w:w="110" w:type="dxa"/>
              <w:end w:w="110" w:type="dxa"/>
            </w:tcMar>
            <w:vAlign w:val="center"/>
          </w:tcPr>
          <w:p>
            <w:r>
              <w:t>Return original result</w:t>
            </w:r>
          </w:p>
        </w:tc>
      </w:tr>
      <w:tr>
        <w:tc>
          <w:tcPr>
            <w:tcW w:type="dxa" w:w="3960"/>
            <w:tcMar>
              <w:top w:w="110" w:type="dxa"/>
              <w:start w:w="110" w:type="dxa"/>
              <w:bottom w:w="110" w:type="dxa"/>
              <w:end w:w="110" w:type="dxa"/>
            </w:tcMar>
            <w:vAlign w:val="center"/>
          </w:tcPr>
          <w:p>
            <w:r>
              <w:t>Duplicate key, different request</w:t>
            </w:r>
          </w:p>
        </w:tc>
        <w:tc>
          <w:tcPr>
            <w:tcW w:type="dxa" w:w="5976"/>
            <w:tcMar>
              <w:top w:w="110" w:type="dxa"/>
              <w:start w:w="110" w:type="dxa"/>
              <w:bottom w:w="110" w:type="dxa"/>
              <w:end w:w="110" w:type="dxa"/>
            </w:tcMar>
            <w:vAlign w:val="center"/>
          </w:tcPr>
          <w:p>
            <w:r>
              <w:t>409</w:t>
            </w:r>
          </w:p>
        </w:tc>
      </w:tr>
      <w:tr>
        <w:tc>
          <w:tcPr>
            <w:tcW w:type="dxa" w:w="3960"/>
            <w:tcMar>
              <w:top w:w="110" w:type="dxa"/>
              <w:start w:w="110" w:type="dxa"/>
              <w:bottom w:w="110" w:type="dxa"/>
              <w:end w:w="110" w:type="dxa"/>
            </w:tcMar>
            <w:vAlign w:val="center"/>
          </w:tcPr>
          <w:p>
            <w:r>
              <w:t>Insufficient funds</w:t>
            </w:r>
          </w:p>
        </w:tc>
        <w:tc>
          <w:tcPr>
            <w:tcW w:type="dxa" w:w="5976"/>
            <w:tcMar>
              <w:top w:w="110" w:type="dxa"/>
              <w:start w:w="110" w:type="dxa"/>
              <w:bottom w:w="110" w:type="dxa"/>
              <w:end w:w="110" w:type="dxa"/>
            </w:tcMar>
            <w:vAlign w:val="center"/>
          </w:tcPr>
          <w:p>
            <w:r>
              <w:t>Expected business rejection</w:t>
            </w:r>
          </w:p>
        </w:tc>
      </w:tr>
      <w:tr>
        <w:tc>
          <w:tcPr>
            <w:tcW w:type="dxa" w:w="3960"/>
            <w:tcMar>
              <w:top w:w="110" w:type="dxa"/>
              <w:start w:w="110" w:type="dxa"/>
              <w:bottom w:w="110" w:type="dxa"/>
              <w:end w:w="110" w:type="dxa"/>
            </w:tcMar>
            <w:vAlign w:val="center"/>
          </w:tcPr>
          <w:p>
            <w:r>
              <w:t>Fraud/risk hold</w:t>
            </w:r>
          </w:p>
        </w:tc>
        <w:tc>
          <w:tcPr>
            <w:tcW w:type="dxa" w:w="5976"/>
            <w:tcMar>
              <w:top w:w="110" w:type="dxa"/>
              <w:start w:w="110" w:type="dxa"/>
              <w:bottom w:w="110" w:type="dxa"/>
              <w:end w:w="110" w:type="dxa"/>
            </w:tcMar>
            <w:vAlign w:val="center"/>
          </w:tcPr>
          <w:p>
            <w:r>
              <w:t>Pending/review state with limited disclosure</w:t>
            </w:r>
          </w:p>
        </w:tc>
      </w:tr>
    </w:tbl>
    <w:p>
      <w:pPr>
        <w:pStyle w:val="Heading1"/>
      </w:pPr>
      <w:r>
        <w:t>9. Consent, Delegation, and Impersonation</w:t>
      </w:r>
    </w:p>
    <w:p>
      <w:pPr>
        <w:pStyle w:val="Heading2"/>
      </w:pPr>
      <w:r>
        <w:t>9.1 Delegated Access</w:t>
      </w:r>
    </w:p>
    <w:p>
      <w:r>
        <w:t>Delegation must identify the end user, client application, granted capability, resource context, and expiry. Avoid service accounts that hide the human actor behind a generic identity.</w:t>
      </w:r>
    </w:p>
    <w:p>
      <w:pPr>
        <w:pStyle w:val="CodeBlock"/>
      </w:pPr>
      <w:r>
        <w:t>actor = support-agent-42</w:t>
        <w:br/>
        <w:t>subject = customer-123</w:t>
        <w:br/>
        <w:t>client = support-console</w:t>
        <w:br/>
        <w:t>reason = CASE-981</w:t>
        <w:br/>
        <w:t>capability = order.read.masked</w:t>
        <w:br/>
        <w:t>expiresAt = ...</w:t>
      </w:r>
    </w:p>
    <w:p>
      <w:pPr>
        <w:pStyle w:val="Heading2"/>
      </w:pPr>
      <w:r>
        <w:t>9.2 Impersonation Controls</w:t>
      </w:r>
    </w:p>
    <w:p>
      <w:pPr>
        <w:pStyle w:val="ListBullet"/>
      </w:pPr>
      <w:r>
        <w:t>Display an unmistakable impersonation banner.</w:t>
      </w:r>
    </w:p>
    <w:p>
      <w:pPr>
        <w:pStyle w:val="ListBullet"/>
      </w:pPr>
      <w:r>
        <w:t>Prohibit high-risk actions unless separately authorized.</w:t>
      </w:r>
    </w:p>
    <w:p>
      <w:pPr>
        <w:pStyle w:val="ListBullet"/>
      </w:pPr>
      <w:r>
        <w:t>Record both actor and subject in audit trails.</w:t>
      </w:r>
    </w:p>
    <w:p>
      <w:pPr>
        <w:pStyle w:val="ListBullet"/>
      </w:pPr>
      <w:r>
        <w:t>Require case/ticket/reference and possibly approval.</w:t>
      </w:r>
    </w:p>
    <w:p>
      <w:pPr>
        <w:pStyle w:val="ListBullet"/>
      </w:pPr>
      <w:r>
        <w:t>Use short duration and immediate termination.</w:t>
      </w:r>
    </w:p>
    <w:p>
      <w:pPr>
        <w:pStyle w:val="Heading2"/>
      </w:pPr>
      <w:r>
        <w:t>9.3 Consent Is Not a Checkbox</w:t>
      </w:r>
    </w:p>
    <w:p>
      <w:r>
        <w:t>Consent is often purpose-, data-, recipient-, and time-specific. Store versioned evidence: what was shown, who agreed, when, through which channel, and what later withdrawal means for future processing and retained records.</w:t>
      </w:r>
    </w:p>
    <w:p>
      <w:pPr>
        <w:pStyle w:val="Heading1"/>
      </w:pPr>
      <w:r>
        <w:t>10. Audit, Evidence, and Non-Repudiation</w:t>
      </w:r>
    </w:p>
    <w:tbl>
      <w:tblPr>
        <w:tblW w:type="auto" w:w="0"/>
        <w:jc w:val="center"/>
        <w:tblLayout w:type="fixed"/>
        <w:tblLook w:firstColumn="1" w:firstRow="1" w:lastColumn="0" w:lastRow="0" w:noHBand="0" w:noVBand="1" w:val="04A0"/>
      </w:tblPr>
      <w:tblGrid>
        <w:gridCol w:w="3024"/>
        <w:gridCol w:w="6912"/>
      </w:tblGrid>
      <w:tr>
        <w:trPr>
          <w:tblHeader w:val="true"/>
        </w:trPr>
        <w:tc>
          <w:tcPr>
            <w:tcW w:type="dxa" w:w="4968"/>
            <w:shd w:fill="D9EAF7"/>
            <w:tcMar>
              <w:top w:w="110" w:type="dxa"/>
              <w:start w:w="110" w:type="dxa"/>
              <w:bottom w:w="110" w:type="dxa"/>
              <w:end w:w="110" w:type="dxa"/>
            </w:tcMar>
            <w:vAlign w:val="center"/>
          </w:tcPr>
          <w:p>
            <w:r>
              <w:t>Audit field</w:t>
            </w:r>
          </w:p>
        </w:tc>
        <w:tc>
          <w:tcPr>
            <w:tcW w:type="dxa" w:w="4968"/>
            <w:shd w:fill="D9EAF7"/>
            <w:tcMar>
              <w:top w:w="110" w:type="dxa"/>
              <w:start w:w="110" w:type="dxa"/>
              <w:bottom w:w="110" w:type="dxa"/>
              <w:end w:w="110" w:type="dxa"/>
            </w:tcMar>
            <w:vAlign w:val="center"/>
          </w:tcPr>
          <w:p>
            <w:r>
              <w:t>Why it matters</w:t>
            </w:r>
          </w:p>
        </w:tc>
      </w:tr>
      <w:tr>
        <w:tc>
          <w:tcPr>
            <w:tcW w:type="dxa" w:w="3024"/>
            <w:tcMar>
              <w:top w:w="110" w:type="dxa"/>
              <w:start w:w="110" w:type="dxa"/>
              <w:bottom w:w="110" w:type="dxa"/>
              <w:end w:w="110" w:type="dxa"/>
            </w:tcMar>
            <w:vAlign w:val="center"/>
          </w:tcPr>
          <w:p>
            <w:r>
              <w:t>Event ID and timestamp</w:t>
            </w:r>
          </w:p>
        </w:tc>
        <w:tc>
          <w:tcPr>
            <w:tcW w:type="dxa" w:w="6912"/>
            <w:tcMar>
              <w:top w:w="110" w:type="dxa"/>
              <w:start w:w="110" w:type="dxa"/>
              <w:bottom w:w="110" w:type="dxa"/>
              <w:end w:w="110" w:type="dxa"/>
            </w:tcMar>
            <w:vAlign w:val="center"/>
          </w:tcPr>
          <w:p>
            <w:r>
              <w:t>Correlation and sequence</w:t>
            </w:r>
          </w:p>
        </w:tc>
      </w:tr>
      <w:tr>
        <w:tc>
          <w:tcPr>
            <w:tcW w:type="dxa" w:w="3024"/>
            <w:tcMar>
              <w:top w:w="110" w:type="dxa"/>
              <w:start w:w="110" w:type="dxa"/>
              <w:bottom w:w="110" w:type="dxa"/>
              <w:end w:w="110" w:type="dxa"/>
            </w:tcMar>
            <w:vAlign w:val="center"/>
          </w:tcPr>
          <w:p>
            <w:r>
              <w:t>Actor and authentication method</w:t>
            </w:r>
          </w:p>
        </w:tc>
        <w:tc>
          <w:tcPr>
            <w:tcW w:type="dxa" w:w="6912"/>
            <w:tcMar>
              <w:top w:w="110" w:type="dxa"/>
              <w:start w:w="110" w:type="dxa"/>
              <w:bottom w:w="110" w:type="dxa"/>
              <w:end w:w="110" w:type="dxa"/>
            </w:tcMar>
            <w:vAlign w:val="center"/>
          </w:tcPr>
          <w:p>
            <w:r>
              <w:t>Who acted and assurance level</w:t>
            </w:r>
          </w:p>
        </w:tc>
      </w:tr>
      <w:tr>
        <w:tc>
          <w:tcPr>
            <w:tcW w:type="dxa" w:w="3024"/>
            <w:tcMar>
              <w:top w:w="110" w:type="dxa"/>
              <w:start w:w="110" w:type="dxa"/>
              <w:bottom w:w="110" w:type="dxa"/>
              <w:end w:w="110" w:type="dxa"/>
            </w:tcMar>
            <w:vAlign w:val="center"/>
          </w:tcPr>
          <w:p>
            <w:r>
              <w:t>Client/workload identity</w:t>
            </w:r>
          </w:p>
        </w:tc>
        <w:tc>
          <w:tcPr>
            <w:tcW w:type="dxa" w:w="6912"/>
            <w:tcMar>
              <w:top w:w="110" w:type="dxa"/>
              <w:start w:w="110" w:type="dxa"/>
              <w:bottom w:w="110" w:type="dxa"/>
              <w:end w:w="110" w:type="dxa"/>
            </w:tcMar>
            <w:vAlign w:val="center"/>
          </w:tcPr>
          <w:p>
            <w:r>
              <w:t>Which application initiated the call</w:t>
            </w:r>
          </w:p>
        </w:tc>
      </w:tr>
      <w:tr>
        <w:tc>
          <w:tcPr>
            <w:tcW w:type="dxa" w:w="3024"/>
            <w:tcMar>
              <w:top w:w="110" w:type="dxa"/>
              <w:start w:w="110" w:type="dxa"/>
              <w:bottom w:w="110" w:type="dxa"/>
              <w:end w:w="110" w:type="dxa"/>
            </w:tcMar>
            <w:vAlign w:val="center"/>
          </w:tcPr>
          <w:p>
            <w:r>
              <w:t>Resource and operation</w:t>
            </w:r>
          </w:p>
        </w:tc>
        <w:tc>
          <w:tcPr>
            <w:tcW w:type="dxa" w:w="6912"/>
            <w:tcMar>
              <w:top w:w="110" w:type="dxa"/>
              <w:start w:w="110" w:type="dxa"/>
              <w:bottom w:w="110" w:type="dxa"/>
              <w:end w:w="110" w:type="dxa"/>
            </w:tcMar>
            <w:vAlign w:val="center"/>
          </w:tcPr>
          <w:p>
            <w:r>
              <w:t>What was accessed or changed</w:t>
            </w:r>
          </w:p>
        </w:tc>
      </w:tr>
      <w:tr>
        <w:tc>
          <w:tcPr>
            <w:tcW w:type="dxa" w:w="3024"/>
            <w:tcMar>
              <w:top w:w="110" w:type="dxa"/>
              <w:start w:w="110" w:type="dxa"/>
              <w:bottom w:w="110" w:type="dxa"/>
              <w:end w:w="110" w:type="dxa"/>
            </w:tcMar>
            <w:vAlign w:val="center"/>
          </w:tcPr>
          <w:p>
            <w:r>
              <w:t>Policy decision and reason</w:t>
            </w:r>
          </w:p>
        </w:tc>
        <w:tc>
          <w:tcPr>
            <w:tcW w:type="dxa" w:w="6912"/>
            <w:tcMar>
              <w:top w:w="110" w:type="dxa"/>
              <w:start w:w="110" w:type="dxa"/>
              <w:bottom w:w="110" w:type="dxa"/>
              <w:end w:w="110" w:type="dxa"/>
            </w:tcMar>
            <w:vAlign w:val="center"/>
          </w:tcPr>
          <w:p>
            <w:r>
              <w:t>Why access was allowed or denied</w:t>
            </w:r>
          </w:p>
        </w:tc>
      </w:tr>
      <w:tr>
        <w:tc>
          <w:tcPr>
            <w:tcW w:type="dxa" w:w="3024"/>
            <w:tcMar>
              <w:top w:w="110" w:type="dxa"/>
              <w:start w:w="110" w:type="dxa"/>
              <w:bottom w:w="110" w:type="dxa"/>
              <w:end w:w="110" w:type="dxa"/>
            </w:tcMar>
            <w:vAlign w:val="center"/>
          </w:tcPr>
          <w:p>
            <w:r>
              <w:t>Purpose/case/consent reference</w:t>
            </w:r>
          </w:p>
        </w:tc>
        <w:tc>
          <w:tcPr>
            <w:tcW w:type="dxa" w:w="6912"/>
            <w:tcMar>
              <w:top w:w="110" w:type="dxa"/>
              <w:start w:w="110" w:type="dxa"/>
              <w:bottom w:w="110" w:type="dxa"/>
              <w:end w:w="110" w:type="dxa"/>
            </w:tcMar>
            <w:vAlign w:val="center"/>
          </w:tcPr>
          <w:p>
            <w:r>
              <w:t>Business and regulatory context</w:t>
            </w:r>
          </w:p>
        </w:tc>
      </w:tr>
      <w:tr>
        <w:tc>
          <w:tcPr>
            <w:tcW w:type="dxa" w:w="3024"/>
            <w:tcMar>
              <w:top w:w="110" w:type="dxa"/>
              <w:start w:w="110" w:type="dxa"/>
              <w:bottom w:w="110" w:type="dxa"/>
              <w:end w:w="110" w:type="dxa"/>
            </w:tcMar>
            <w:vAlign w:val="center"/>
          </w:tcPr>
          <w:p>
            <w:r>
              <w:t>Outcome and response class</w:t>
            </w:r>
          </w:p>
        </w:tc>
        <w:tc>
          <w:tcPr>
            <w:tcW w:type="dxa" w:w="6912"/>
            <w:tcMar>
              <w:top w:w="110" w:type="dxa"/>
              <w:start w:w="110" w:type="dxa"/>
              <w:bottom w:w="110" w:type="dxa"/>
              <w:end w:w="110" w:type="dxa"/>
            </w:tcMar>
            <w:vAlign w:val="center"/>
          </w:tcPr>
          <w:p>
            <w:r>
              <w:t>Success, denial, error, pending</w:t>
            </w:r>
          </w:p>
        </w:tc>
      </w:tr>
      <w:tr>
        <w:tc>
          <w:tcPr>
            <w:tcW w:type="dxa" w:w="3024"/>
            <w:tcMar>
              <w:top w:w="110" w:type="dxa"/>
              <w:start w:w="110" w:type="dxa"/>
              <w:bottom w:w="110" w:type="dxa"/>
              <w:end w:w="110" w:type="dxa"/>
            </w:tcMar>
            <w:vAlign w:val="center"/>
          </w:tcPr>
          <w:p>
            <w:r>
              <w:t>Trace/ledger/provenance references</w:t>
            </w:r>
          </w:p>
        </w:tc>
        <w:tc>
          <w:tcPr>
            <w:tcW w:type="dxa" w:w="6912"/>
            <w:tcMar>
              <w:top w:w="110" w:type="dxa"/>
              <w:start w:w="110" w:type="dxa"/>
              <w:bottom w:w="110" w:type="dxa"/>
              <w:end w:w="110" w:type="dxa"/>
            </w:tcMar>
            <w:vAlign w:val="center"/>
          </w:tcPr>
          <w:p>
            <w:r>
              <w:t>Link to operational and authoritative evidence</w:t>
            </w:r>
          </w:p>
        </w:tc>
      </w:tr>
    </w:tbl>
    <w:p>
      <w:pPr>
        <w:pStyle w:val="Decision"/>
      </w:pPr>
      <w:r>
        <w:t>Audit records must be tamper-evident, access-controlled, retained by policy, searchable for investigations, and protected from becoming a sensitive data leak. Logging every payload is neither necessary nor safe.</w:t>
      </w:r>
    </w:p>
    <w:p>
      <w:pPr>
        <w:pStyle w:val="Heading1"/>
      </w:pPr>
      <w:r>
        <w:t>11. Secrets, Keys, and Cryptography</w:t>
      </w:r>
    </w:p>
    <w:p>
      <w:pPr>
        <w:pStyle w:val="ListBullet"/>
      </w:pPr>
      <w:r>
        <w:t>Use managed secret and key systems; do not place secrets in source code, images, or client applications.</w:t>
      </w:r>
    </w:p>
    <w:p>
      <w:pPr>
        <w:pStyle w:val="ListBullet"/>
      </w:pPr>
      <w:r>
        <w:t>Prefer short-lived credentials and automated rotation over manually rotated static secrets.</w:t>
      </w:r>
    </w:p>
    <w:p>
      <w:pPr>
        <w:pStyle w:val="ListBullet"/>
      </w:pPr>
      <w:r>
        <w:t>Separate encryption keys by environment, tenant sensitivity, and purpose where justified.</w:t>
      </w:r>
    </w:p>
    <w:p>
      <w:pPr>
        <w:pStyle w:val="ListBullet"/>
      </w:pPr>
      <w:r>
        <w:t>Design key rotation before launch: overlapping validity, key identifiers, rollback, and consumer refresh.</w:t>
      </w:r>
    </w:p>
    <w:p>
      <w:pPr>
        <w:pStyle w:val="ListBullet"/>
      </w:pPr>
      <w:r>
        <w:t>Use established cryptographic protocols and libraries; do not invent signing formats.</w:t>
      </w:r>
    </w:p>
    <w:p>
      <w:pPr>
        <w:pStyle w:val="ListBullet"/>
      </w:pPr>
      <w:r>
        <w:t>Protect backups, event payloads, logs, caches, and analytics copies, not only the primary database.</w:t>
      </w:r>
    </w:p>
    <w:p>
      <w:pPr>
        <w:pStyle w:val="Heading2"/>
      </w:pPr>
      <w:r>
        <w:t>11.1 Encryption Boundaries</w:t>
      </w:r>
    </w:p>
    <w:p>
      <w:r>
        <w:t>TLS protects data in transit between endpoints. It does not stop an authorized service from over-reading data, a compromised service from logging it, or a broker consumer from receiving excessive fields. Encryption must be combined with authorization and minimization.</w:t>
      </w:r>
    </w:p>
    <w:p>
      <w:pPr>
        <w:pStyle w:val="Heading1"/>
      </w:pPr>
      <w:r>
        <w:t>12. API Abuse Protection</w:t>
      </w:r>
    </w:p>
    <w:tbl>
      <w:tblPr>
        <w:tblW w:type="auto" w:w="0"/>
        <w:jc w:val="center"/>
        <w:tblLayout w:type="fixed"/>
        <w:tblLook w:firstColumn="1" w:firstRow="1" w:lastColumn="0" w:lastRow="0" w:noHBand="0" w:noVBand="1" w:val="04A0"/>
      </w:tblPr>
      <w:tblGrid>
        <w:gridCol w:w="3096"/>
        <w:gridCol w:w="6840"/>
      </w:tblGrid>
      <w:tr>
        <w:trPr>
          <w:tblHeader w:val="true"/>
        </w:trPr>
        <w:tc>
          <w:tcPr>
            <w:tcW w:type="dxa" w:w="4968"/>
            <w:shd w:fill="D9EAF7"/>
            <w:tcMar>
              <w:top w:w="110" w:type="dxa"/>
              <w:start w:w="110" w:type="dxa"/>
              <w:bottom w:w="110" w:type="dxa"/>
              <w:end w:w="110" w:type="dxa"/>
            </w:tcMar>
            <w:vAlign w:val="center"/>
          </w:tcPr>
          <w:p>
            <w:r>
              <w:t>Threat</w:t>
            </w:r>
          </w:p>
        </w:tc>
        <w:tc>
          <w:tcPr>
            <w:tcW w:type="dxa" w:w="4968"/>
            <w:shd w:fill="D9EAF7"/>
            <w:tcMar>
              <w:top w:w="110" w:type="dxa"/>
              <w:start w:w="110" w:type="dxa"/>
              <w:bottom w:w="110" w:type="dxa"/>
              <w:end w:w="110" w:type="dxa"/>
            </w:tcMar>
            <w:vAlign w:val="center"/>
          </w:tcPr>
          <w:p>
            <w:r>
              <w:t>Control</w:t>
            </w:r>
          </w:p>
        </w:tc>
      </w:tr>
      <w:tr>
        <w:tc>
          <w:tcPr>
            <w:tcW w:type="dxa" w:w="3096"/>
            <w:tcMar>
              <w:top w:w="110" w:type="dxa"/>
              <w:start w:w="110" w:type="dxa"/>
              <w:bottom w:w="110" w:type="dxa"/>
              <w:end w:w="110" w:type="dxa"/>
            </w:tcMar>
            <w:vAlign w:val="center"/>
          </w:tcPr>
          <w:p>
            <w:r>
              <w:t>Credential stuffing</w:t>
            </w:r>
          </w:p>
        </w:tc>
        <w:tc>
          <w:tcPr>
            <w:tcW w:type="dxa" w:w="6840"/>
            <w:tcMar>
              <w:top w:w="110" w:type="dxa"/>
              <w:start w:w="110" w:type="dxa"/>
              <w:bottom w:w="110" w:type="dxa"/>
              <w:end w:w="110" w:type="dxa"/>
            </w:tcMar>
            <w:vAlign w:val="center"/>
          </w:tcPr>
          <w:p>
            <w:r>
              <w:t>Rate limits, bot/risk detection, MFA/step-up</w:t>
            </w:r>
          </w:p>
        </w:tc>
      </w:tr>
      <w:tr>
        <w:tc>
          <w:tcPr>
            <w:tcW w:type="dxa" w:w="3096"/>
            <w:tcMar>
              <w:top w:w="110" w:type="dxa"/>
              <w:start w:w="110" w:type="dxa"/>
              <w:bottom w:w="110" w:type="dxa"/>
              <w:end w:w="110" w:type="dxa"/>
            </w:tcMar>
            <w:vAlign w:val="center"/>
          </w:tcPr>
          <w:p>
            <w:r>
              <w:t>Enumeration</w:t>
            </w:r>
          </w:p>
        </w:tc>
        <w:tc>
          <w:tcPr>
            <w:tcW w:type="dxa" w:w="6840"/>
            <w:tcMar>
              <w:top w:w="110" w:type="dxa"/>
              <w:start w:w="110" w:type="dxa"/>
              <w:bottom w:w="110" w:type="dxa"/>
              <w:end w:w="110" w:type="dxa"/>
            </w:tcMar>
            <w:vAlign w:val="center"/>
          </w:tcPr>
          <w:p>
            <w:r>
              <w:t>Opaque errors, per-identity quotas, anomaly detection</w:t>
            </w:r>
          </w:p>
        </w:tc>
      </w:tr>
      <w:tr>
        <w:tc>
          <w:tcPr>
            <w:tcW w:type="dxa" w:w="3096"/>
            <w:tcMar>
              <w:top w:w="110" w:type="dxa"/>
              <w:start w:w="110" w:type="dxa"/>
              <w:bottom w:w="110" w:type="dxa"/>
              <w:end w:w="110" w:type="dxa"/>
            </w:tcMar>
            <w:vAlign w:val="center"/>
          </w:tcPr>
          <w:p>
            <w:r>
              <w:t>Mass scraping</w:t>
            </w:r>
          </w:p>
        </w:tc>
        <w:tc>
          <w:tcPr>
            <w:tcW w:type="dxa" w:w="6840"/>
            <w:tcMar>
              <w:top w:w="110" w:type="dxa"/>
              <w:start w:w="110" w:type="dxa"/>
              <w:bottom w:w="110" w:type="dxa"/>
              <w:end w:w="110" w:type="dxa"/>
            </w:tcMar>
            <w:vAlign w:val="center"/>
          </w:tcPr>
          <w:p>
            <w:r>
              <w:t>Data caps, pagination limits, purpose constraints, monitoring</w:t>
            </w:r>
          </w:p>
        </w:tc>
      </w:tr>
      <w:tr>
        <w:tc>
          <w:tcPr>
            <w:tcW w:type="dxa" w:w="3096"/>
            <w:tcMar>
              <w:top w:w="110" w:type="dxa"/>
              <w:start w:w="110" w:type="dxa"/>
              <w:bottom w:w="110" w:type="dxa"/>
              <w:end w:w="110" w:type="dxa"/>
            </w:tcMar>
            <w:vAlign w:val="center"/>
          </w:tcPr>
          <w:p>
            <w:r>
              <w:t>GraphQL resource exhaustion</w:t>
            </w:r>
          </w:p>
        </w:tc>
        <w:tc>
          <w:tcPr>
            <w:tcW w:type="dxa" w:w="6840"/>
            <w:tcMar>
              <w:top w:w="110" w:type="dxa"/>
              <w:start w:w="110" w:type="dxa"/>
              <w:bottom w:w="110" w:type="dxa"/>
              <w:end w:w="110" w:type="dxa"/>
            </w:tcMar>
            <w:vAlign w:val="center"/>
          </w:tcPr>
          <w:p>
            <w:r>
              <w:t>Depth/cost/field limits, persisted queries, timeouts</w:t>
            </w:r>
          </w:p>
        </w:tc>
      </w:tr>
      <w:tr>
        <w:tc>
          <w:tcPr>
            <w:tcW w:type="dxa" w:w="3096"/>
            <w:tcMar>
              <w:top w:w="110" w:type="dxa"/>
              <w:start w:w="110" w:type="dxa"/>
              <w:bottom w:w="110" w:type="dxa"/>
              <w:end w:w="110" w:type="dxa"/>
            </w:tcMar>
            <w:vAlign w:val="center"/>
          </w:tcPr>
          <w:p>
            <w:r>
              <w:t>Large payload attack</w:t>
            </w:r>
          </w:p>
        </w:tc>
        <w:tc>
          <w:tcPr>
            <w:tcW w:type="dxa" w:w="6840"/>
            <w:tcMar>
              <w:top w:w="110" w:type="dxa"/>
              <w:start w:w="110" w:type="dxa"/>
              <w:bottom w:w="110" w:type="dxa"/>
              <w:end w:w="110" w:type="dxa"/>
            </w:tcMar>
            <w:vAlign w:val="center"/>
          </w:tcPr>
          <w:p>
            <w:r>
              <w:t>Request/frame size limits and streaming validation</w:t>
            </w:r>
          </w:p>
        </w:tc>
      </w:tr>
      <w:tr>
        <w:tc>
          <w:tcPr>
            <w:tcW w:type="dxa" w:w="3096"/>
            <w:tcMar>
              <w:top w:w="110" w:type="dxa"/>
              <w:start w:w="110" w:type="dxa"/>
              <w:bottom w:w="110" w:type="dxa"/>
              <w:end w:w="110" w:type="dxa"/>
            </w:tcMar>
            <w:vAlign w:val="center"/>
          </w:tcPr>
          <w:p>
            <w:r>
              <w:t>Retry storm</w:t>
            </w:r>
          </w:p>
        </w:tc>
        <w:tc>
          <w:tcPr>
            <w:tcW w:type="dxa" w:w="6840"/>
            <w:tcMar>
              <w:top w:w="110" w:type="dxa"/>
              <w:start w:w="110" w:type="dxa"/>
              <w:bottom w:w="110" w:type="dxa"/>
              <w:end w:w="110" w:type="dxa"/>
            </w:tcMar>
            <w:vAlign w:val="center"/>
          </w:tcPr>
          <w:p>
            <w:r>
              <w:t>Idempotency, retry budgets, circuit breakers</w:t>
            </w:r>
          </w:p>
        </w:tc>
      </w:tr>
      <w:tr>
        <w:tc>
          <w:tcPr>
            <w:tcW w:type="dxa" w:w="3096"/>
            <w:tcMar>
              <w:top w:w="110" w:type="dxa"/>
              <w:start w:w="110" w:type="dxa"/>
              <w:bottom w:w="110" w:type="dxa"/>
              <w:end w:w="110" w:type="dxa"/>
            </w:tcMar>
            <w:vAlign w:val="center"/>
          </w:tcPr>
          <w:p>
            <w:r>
              <w:t>Webhook flood</w:t>
            </w:r>
          </w:p>
        </w:tc>
        <w:tc>
          <w:tcPr>
            <w:tcW w:type="dxa" w:w="6840"/>
            <w:tcMar>
              <w:top w:w="110" w:type="dxa"/>
              <w:start w:w="110" w:type="dxa"/>
              <w:bottom w:w="110" w:type="dxa"/>
              <w:end w:w="110" w:type="dxa"/>
            </w:tcMar>
            <w:vAlign w:val="center"/>
          </w:tcPr>
          <w:p>
            <w:r>
              <w:t>Per-partner limits, signature validation before expensive processing</w:t>
            </w:r>
          </w:p>
        </w:tc>
      </w:tr>
    </w:tbl>
    <w:p>
      <w:pPr>
        <w:pStyle w:val="Decision"/>
      </w:pPr>
      <w:r>
        <w:t>Rate limiting is an authorization and cost-control policy, not just infrastructure protection. Limits may vary by tenant contract, operation risk, query cost, and user assurance level.</w:t>
      </w:r>
    </w:p>
    <w:p>
      <w:pPr>
        <w:pStyle w:val="Heading1"/>
      </w:pPr>
      <w:r>
        <w:t>13. Reliability Versus Security Tradeoffs</w:t>
      </w:r>
    </w:p>
    <w:tbl>
      <w:tblPr>
        <w:tblW w:type="auto" w:w="0"/>
        <w:jc w:val="center"/>
        <w:tblLayout w:type="fixed"/>
        <w:tblLook w:firstColumn="1" w:firstRow="1" w:lastColumn="0" w:lastRow="0" w:noHBand="0" w:noVBand="1" w:val="04A0"/>
      </w:tblPr>
      <w:tblGrid>
        <w:gridCol w:w="2448"/>
        <w:gridCol w:w="3528"/>
        <w:gridCol w:w="3960"/>
      </w:tblGrid>
      <w:tr>
        <w:trPr>
          <w:tblHeader w:val="true"/>
        </w:trPr>
        <w:tc>
          <w:tcPr>
            <w:tcW w:type="dxa" w:w="3312"/>
            <w:shd w:fill="D9EAF7"/>
            <w:tcMar>
              <w:top w:w="110" w:type="dxa"/>
              <w:start w:w="110" w:type="dxa"/>
              <w:bottom w:w="110" w:type="dxa"/>
              <w:end w:w="110" w:type="dxa"/>
            </w:tcMar>
            <w:vAlign w:val="center"/>
          </w:tcPr>
          <w:p>
            <w:r>
              <w:t>Decision</w:t>
            </w:r>
          </w:p>
        </w:tc>
        <w:tc>
          <w:tcPr>
            <w:tcW w:type="dxa" w:w="3312"/>
            <w:shd w:fill="D9EAF7"/>
            <w:tcMar>
              <w:top w:w="110" w:type="dxa"/>
              <w:start w:w="110" w:type="dxa"/>
              <w:bottom w:w="110" w:type="dxa"/>
              <w:end w:w="110" w:type="dxa"/>
            </w:tcMar>
            <w:vAlign w:val="center"/>
          </w:tcPr>
          <w:p>
            <w:r>
              <w:t>Security benefit</w:t>
            </w:r>
          </w:p>
        </w:tc>
        <w:tc>
          <w:tcPr>
            <w:tcW w:type="dxa" w:w="3312"/>
            <w:shd w:fill="D9EAF7"/>
            <w:tcMar>
              <w:top w:w="110" w:type="dxa"/>
              <w:start w:w="110" w:type="dxa"/>
              <w:bottom w:w="110" w:type="dxa"/>
              <w:end w:w="110" w:type="dxa"/>
            </w:tcMar>
            <w:vAlign w:val="center"/>
          </w:tcPr>
          <w:p>
            <w:r>
              <w:t>Operational cost</w:t>
            </w:r>
          </w:p>
        </w:tc>
      </w:tr>
      <w:tr>
        <w:tc>
          <w:tcPr>
            <w:tcW w:type="dxa" w:w="2448"/>
            <w:tcMar>
              <w:top w:w="110" w:type="dxa"/>
              <w:start w:w="110" w:type="dxa"/>
              <w:bottom w:w="110" w:type="dxa"/>
              <w:end w:w="110" w:type="dxa"/>
            </w:tcMar>
            <w:vAlign w:val="center"/>
          </w:tcPr>
          <w:p>
            <w:r>
              <w:t>Short token lifetime</w:t>
            </w:r>
          </w:p>
        </w:tc>
        <w:tc>
          <w:tcPr>
            <w:tcW w:type="dxa" w:w="3528"/>
            <w:tcMar>
              <w:top w:w="110" w:type="dxa"/>
              <w:start w:w="110" w:type="dxa"/>
              <w:bottom w:w="110" w:type="dxa"/>
              <w:end w:w="110" w:type="dxa"/>
            </w:tcMar>
            <w:vAlign w:val="center"/>
          </w:tcPr>
          <w:p>
            <w:r>
              <w:t>Limits theft window</w:t>
            </w:r>
          </w:p>
        </w:tc>
        <w:tc>
          <w:tcPr>
            <w:tcW w:type="dxa" w:w="3960"/>
            <w:tcMar>
              <w:top w:w="110" w:type="dxa"/>
              <w:start w:w="110" w:type="dxa"/>
              <w:bottom w:w="110" w:type="dxa"/>
              <w:end w:w="110" w:type="dxa"/>
            </w:tcMar>
            <w:vAlign w:val="center"/>
          </w:tcPr>
          <w:p>
            <w:r>
              <w:t>More refresh traffic and identity dependency</w:t>
            </w:r>
          </w:p>
        </w:tc>
      </w:tr>
      <w:tr>
        <w:tc>
          <w:tcPr>
            <w:tcW w:type="dxa" w:w="2448"/>
            <w:tcMar>
              <w:top w:w="110" w:type="dxa"/>
              <w:start w:w="110" w:type="dxa"/>
              <w:bottom w:w="110" w:type="dxa"/>
              <w:end w:w="110" w:type="dxa"/>
            </w:tcMar>
            <w:vAlign w:val="center"/>
          </w:tcPr>
          <w:p>
            <w:r>
              <w:t>Central policy engine</w:t>
            </w:r>
          </w:p>
        </w:tc>
        <w:tc>
          <w:tcPr>
            <w:tcW w:type="dxa" w:w="3528"/>
            <w:tcMar>
              <w:top w:w="110" w:type="dxa"/>
              <w:start w:w="110" w:type="dxa"/>
              <w:bottom w:w="110" w:type="dxa"/>
              <w:end w:w="110" w:type="dxa"/>
            </w:tcMar>
            <w:vAlign w:val="center"/>
          </w:tcPr>
          <w:p>
            <w:r>
              <w:t>Consistent decisions</w:t>
            </w:r>
          </w:p>
        </w:tc>
        <w:tc>
          <w:tcPr>
            <w:tcW w:type="dxa" w:w="3960"/>
            <w:tcMar>
              <w:top w:w="110" w:type="dxa"/>
              <w:start w:w="110" w:type="dxa"/>
              <w:bottom w:w="110" w:type="dxa"/>
              <w:end w:w="110" w:type="dxa"/>
            </w:tcMar>
            <w:vAlign w:val="center"/>
          </w:tcPr>
          <w:p>
            <w:r>
              <w:t>Latency and availability dependency</w:t>
            </w:r>
          </w:p>
        </w:tc>
      </w:tr>
      <w:tr>
        <w:tc>
          <w:tcPr>
            <w:tcW w:type="dxa" w:w="2448"/>
            <w:tcMar>
              <w:top w:w="110" w:type="dxa"/>
              <w:start w:w="110" w:type="dxa"/>
              <w:bottom w:w="110" w:type="dxa"/>
              <w:end w:w="110" w:type="dxa"/>
            </w:tcMar>
            <w:vAlign w:val="center"/>
          </w:tcPr>
          <w:p>
            <w:r>
              <w:t>Online token introspection</w:t>
            </w:r>
          </w:p>
        </w:tc>
        <w:tc>
          <w:tcPr>
            <w:tcW w:type="dxa" w:w="3528"/>
            <w:tcMar>
              <w:top w:w="110" w:type="dxa"/>
              <w:start w:w="110" w:type="dxa"/>
              <w:bottom w:w="110" w:type="dxa"/>
              <w:end w:w="110" w:type="dxa"/>
            </w:tcMar>
            <w:vAlign w:val="center"/>
          </w:tcPr>
          <w:p>
            <w:r>
              <w:t>Fast revocation</w:t>
            </w:r>
          </w:p>
        </w:tc>
        <w:tc>
          <w:tcPr>
            <w:tcW w:type="dxa" w:w="3960"/>
            <w:tcMar>
              <w:top w:w="110" w:type="dxa"/>
              <w:start w:w="110" w:type="dxa"/>
              <w:bottom w:w="110" w:type="dxa"/>
              <w:end w:w="110" w:type="dxa"/>
            </w:tcMar>
            <w:vAlign w:val="center"/>
          </w:tcPr>
          <w:p>
            <w:r>
              <w:t>Per-request network call unless cached</w:t>
            </w:r>
          </w:p>
        </w:tc>
      </w:tr>
      <w:tr>
        <w:tc>
          <w:tcPr>
            <w:tcW w:type="dxa" w:w="2448"/>
            <w:tcMar>
              <w:top w:w="110" w:type="dxa"/>
              <w:start w:w="110" w:type="dxa"/>
              <w:bottom w:w="110" w:type="dxa"/>
              <w:end w:w="110" w:type="dxa"/>
            </w:tcMar>
            <w:vAlign w:val="center"/>
          </w:tcPr>
          <w:p>
            <w:r>
              <w:t>mTLS everywhere</w:t>
            </w:r>
          </w:p>
        </w:tc>
        <w:tc>
          <w:tcPr>
            <w:tcW w:type="dxa" w:w="3528"/>
            <w:tcMar>
              <w:top w:w="110" w:type="dxa"/>
              <w:start w:w="110" w:type="dxa"/>
              <w:bottom w:w="110" w:type="dxa"/>
              <w:end w:w="110" w:type="dxa"/>
            </w:tcMar>
            <w:vAlign w:val="center"/>
          </w:tcPr>
          <w:p>
            <w:r>
              <w:t>Strong workload authentication</w:t>
            </w:r>
          </w:p>
        </w:tc>
        <w:tc>
          <w:tcPr>
            <w:tcW w:type="dxa" w:w="3960"/>
            <w:tcMar>
              <w:top w:w="110" w:type="dxa"/>
              <w:start w:w="110" w:type="dxa"/>
              <w:bottom w:w="110" w:type="dxa"/>
              <w:end w:w="110" w:type="dxa"/>
            </w:tcMar>
            <w:vAlign w:val="center"/>
          </w:tcPr>
          <w:p>
            <w:r>
              <w:t>Certificate lifecycle and proxy complexity</w:t>
            </w:r>
          </w:p>
        </w:tc>
      </w:tr>
      <w:tr>
        <w:tc>
          <w:tcPr>
            <w:tcW w:type="dxa" w:w="2448"/>
            <w:tcMar>
              <w:top w:w="110" w:type="dxa"/>
              <w:start w:w="110" w:type="dxa"/>
              <w:bottom w:w="110" w:type="dxa"/>
              <w:end w:w="110" w:type="dxa"/>
            </w:tcMar>
            <w:vAlign w:val="center"/>
          </w:tcPr>
          <w:p>
            <w:r>
              <w:t>Field-level encryption</w:t>
            </w:r>
          </w:p>
        </w:tc>
        <w:tc>
          <w:tcPr>
            <w:tcW w:type="dxa" w:w="3528"/>
            <w:tcMar>
              <w:top w:w="110" w:type="dxa"/>
              <w:start w:w="110" w:type="dxa"/>
              <w:bottom w:w="110" w:type="dxa"/>
              <w:end w:w="110" w:type="dxa"/>
            </w:tcMar>
            <w:vAlign w:val="center"/>
          </w:tcPr>
          <w:p>
            <w:r>
              <w:t>Limits data exposure</w:t>
            </w:r>
          </w:p>
        </w:tc>
        <w:tc>
          <w:tcPr>
            <w:tcW w:type="dxa" w:w="3960"/>
            <w:tcMar>
              <w:top w:w="110" w:type="dxa"/>
              <w:start w:w="110" w:type="dxa"/>
              <w:bottom w:w="110" w:type="dxa"/>
              <w:end w:w="110" w:type="dxa"/>
            </w:tcMar>
            <w:vAlign w:val="center"/>
          </w:tcPr>
          <w:p>
            <w:r>
              <w:t>Search, analytics, and key management complexity</w:t>
            </w:r>
          </w:p>
        </w:tc>
      </w:tr>
      <w:tr>
        <w:tc>
          <w:tcPr>
            <w:tcW w:type="dxa" w:w="2448"/>
            <w:tcMar>
              <w:top w:w="110" w:type="dxa"/>
              <w:start w:w="110" w:type="dxa"/>
              <w:bottom w:w="110" w:type="dxa"/>
              <w:end w:w="110" w:type="dxa"/>
            </w:tcMar>
            <w:vAlign w:val="center"/>
          </w:tcPr>
          <w:p>
            <w:r>
              <w:t>Detailed audit</w:t>
            </w:r>
          </w:p>
        </w:tc>
        <w:tc>
          <w:tcPr>
            <w:tcW w:type="dxa" w:w="3528"/>
            <w:tcMar>
              <w:top w:w="110" w:type="dxa"/>
              <w:start w:w="110" w:type="dxa"/>
              <w:bottom w:w="110" w:type="dxa"/>
              <w:end w:w="110" w:type="dxa"/>
            </w:tcMar>
            <w:vAlign w:val="center"/>
          </w:tcPr>
          <w:p>
            <w:r>
              <w:t>Investigation evidence</w:t>
            </w:r>
          </w:p>
        </w:tc>
        <w:tc>
          <w:tcPr>
            <w:tcW w:type="dxa" w:w="3960"/>
            <w:tcMar>
              <w:top w:w="110" w:type="dxa"/>
              <w:start w:w="110" w:type="dxa"/>
              <w:bottom w:w="110" w:type="dxa"/>
              <w:end w:w="110" w:type="dxa"/>
            </w:tcMar>
            <w:vAlign w:val="center"/>
          </w:tcPr>
          <w:p>
            <w:r>
              <w:t>Storage, privacy, and query cost</w:t>
            </w:r>
          </w:p>
        </w:tc>
      </w:tr>
    </w:tbl>
    <w:p>
      <w:r>
        <w:t>Do not bypass authorization because a policy service is unavailable. Define fail-closed, fail-open, cached-decision, and degraded-mode behavior per operation risk. A restaurant-menu read and a bank transfer should not share the same failure policy.</w:t>
      </w:r>
    </w:p>
    <w:p>
      <w:pPr>
        <w:pStyle w:val="Heading1"/>
      </w:pPr>
      <w:r>
        <w:t>14. Multi-Tenant Isolation</w:t>
      </w:r>
    </w:p>
    <w:p>
      <w:pPr>
        <w:pStyle w:val="ListBullet"/>
      </w:pPr>
      <w:r>
        <w:t>Bind tenant identity to the authenticated principal or workload; never trust an arbitrary tenant header alone.</w:t>
      </w:r>
    </w:p>
    <w:p>
      <w:pPr>
        <w:pStyle w:val="ListBullet"/>
      </w:pPr>
      <w:r>
        <w:t>Apply tenant constraints in service policy and data access layers.</w:t>
      </w:r>
    </w:p>
    <w:p>
      <w:pPr>
        <w:pStyle w:val="ListBullet"/>
      </w:pPr>
      <w:r>
        <w:t>Partition caches, queues, object storage paths, and search indexes where needed.</w:t>
      </w:r>
    </w:p>
    <w:p>
      <w:pPr>
        <w:pStyle w:val="ListBullet"/>
      </w:pPr>
      <w:r>
        <w:t>Prevent cross-tenant event subscriptions and fan-out.</w:t>
      </w:r>
    </w:p>
    <w:p>
      <w:pPr>
        <w:pStyle w:val="ListBullet"/>
      </w:pPr>
      <w:r>
        <w:t>Include tenant-isolation tests in CI and penetration testing.</w:t>
      </w:r>
    </w:p>
    <w:p>
      <w:pPr>
        <w:pStyle w:val="ListBullet"/>
      </w:pPr>
      <w:r>
        <w:t>Make support and platform-administrator exceptions explicit, time-bound, and audited.</w:t>
      </w:r>
    </w:p>
    <w:p>
      <w:pPr>
        <w:pStyle w:val="Decision"/>
      </w:pPr>
      <w:r>
        <w:t>A missing tenant predicate is a data breach, not a normal bug. Use defense-in-depth such as database row-level controls, tenant-scoped repositories, and policy tests where feasible.</w:t>
      </w:r>
    </w:p>
    <w:p>
      <w:pPr>
        <w:pStyle w:val="Heading1"/>
      </w:pPr>
      <w:r>
        <w:t>15. Security Observability and Incident Readiness</w:t>
      </w:r>
    </w:p>
    <w:p>
      <w:pPr>
        <w:pStyle w:val="ListBullet"/>
      </w:pPr>
      <w:r>
        <w:t>Authentication success/failure, token validation errors, key rotation failures, and suspicious issuer/audience use.</w:t>
      </w:r>
    </w:p>
    <w:p>
      <w:pPr>
        <w:pStyle w:val="ListBullet"/>
      </w:pPr>
      <w:r>
        <w:t>Authorization allow/deny counts by policy and operation, without leaking sensitive resource names.</w:t>
      </w:r>
    </w:p>
    <w:p>
      <w:pPr>
        <w:pStyle w:val="ListBullet"/>
      </w:pPr>
      <w:r>
        <w:t>Break-glass use, support impersonation, privilege changes, and consent overrides.</w:t>
      </w:r>
    </w:p>
    <w:p>
      <w:pPr>
        <w:pStyle w:val="ListBullet"/>
      </w:pPr>
      <w:r>
        <w:t>Replay detections, signature failures, webhook anomalies, and idempotency conflicts.</w:t>
      </w:r>
    </w:p>
    <w:p>
      <w:pPr>
        <w:pStyle w:val="ListBullet"/>
      </w:pPr>
      <w:r>
        <w:t>Cross-tenant access attempts, unusual bulk reads, export generation, and high-risk transaction patterns.</w:t>
      </w:r>
    </w:p>
    <w:p>
      <w:pPr>
        <w:pStyle w:val="ListBullet"/>
      </w:pPr>
      <w:r>
        <w:t>Incident playbooks for credential compromise, signing-key exposure, consent defects, and data leakage.</w:t>
      </w:r>
    </w:p>
    <w:p>
      <w:pPr>
        <w:pStyle w:val="Heading2"/>
      </w:pPr>
      <w:r>
        <w:t>15.1 Security SLOs</w:t>
      </w:r>
    </w:p>
    <w:p>
      <w:r>
        <w:t>Security controls also need operational objectives: token-key refresh success, policy decision latency, audit delivery delay, revocation propagation time, and maximum time to disable a compromised client. Measure tail latency because policy checks sit on critical paths.</w:t>
      </w:r>
    </w:p>
    <w:p>
      <w:pPr>
        <w:pStyle w:val="Heading1"/>
      </w:pPr>
      <w:r>
        <w:t>16. Common Anti-Patterns</w:t>
      </w:r>
    </w:p>
    <w:p>
      <w:pPr>
        <w:pStyle w:val="ListBullet"/>
      </w:pPr>
      <w:r>
        <w:t>Accepting any correctly signed JWT without checking issuer, audience, expiry, and algorithm policy.</w:t>
      </w:r>
    </w:p>
    <w:p>
      <w:pPr>
        <w:pStyle w:val="ListBullet"/>
      </w:pPr>
      <w:r>
        <w:t>Using scopes as the only object-level authorization control.</w:t>
      </w:r>
    </w:p>
    <w:p>
      <w:pPr>
        <w:pStyle w:val="ListBullet"/>
      </w:pPr>
      <w:r>
        <w:t>Putting organization or tenant identifiers in request headers and trusting them directly.</w:t>
      </w:r>
    </w:p>
    <w:p>
      <w:pPr>
        <w:pStyle w:val="ListBullet"/>
      </w:pPr>
      <w:r>
        <w:t>Giving every microservice a shared administrator credential.</w:t>
      </w:r>
    </w:p>
    <w:p>
      <w:pPr>
        <w:pStyle w:val="ListBullet"/>
      </w:pPr>
      <w:r>
        <w:t>Logging access tokens, card data, full patient records, or sensitive GraphQL variables.</w:t>
      </w:r>
    </w:p>
    <w:p>
      <w:pPr>
        <w:pStyle w:val="ListBullet"/>
      </w:pPr>
      <w:r>
        <w:t>Using API keys for high-value user authorization.</w:t>
      </w:r>
    </w:p>
    <w:p>
      <w:pPr>
        <w:pStyle w:val="ListBullet"/>
      </w:pPr>
      <w:r>
        <w:t>Performing authorization only in the API gateway while internal services trust all forwarded requests.</w:t>
      </w:r>
    </w:p>
    <w:p>
      <w:pPr>
        <w:pStyle w:val="ListBullet"/>
      </w:pPr>
      <w:r>
        <w:t>Publishing regulated data broadly on event topics because the broker is “internal.”</w:t>
      </w:r>
    </w:p>
    <w:p>
      <w:pPr>
        <w:pStyle w:val="ListBullet"/>
      </w:pPr>
      <w:r>
        <w:t>Allowing long-lived streams to continue after role, consent, or assignment changes.</w:t>
      </w:r>
    </w:p>
    <w:p>
      <w:pPr>
        <w:pStyle w:val="ListBullet"/>
      </w:pPr>
      <w:r>
        <w:t>Adding break-glass without review, notification, reason codes, and expiry.</w:t>
      </w:r>
    </w:p>
    <w:p>
      <w:pPr>
        <w:pStyle w:val="Heading1"/>
      </w:pPr>
      <w:r>
        <w:t>17. Architecture Decision Checklist</w:t>
      </w:r>
    </w:p>
    <w:p>
      <w:pPr>
        <w:pStyle w:val="Heading2"/>
      </w:pPr>
      <w:r>
        <w:t>Identity</w:t>
      </w:r>
    </w:p>
    <w:p>
      <w:pPr>
        <w:pStyle w:val="ListBullet"/>
      </w:pPr>
      <w:r>
        <w:t>Who is the human, client, and workload?</w:t>
      </w:r>
    </w:p>
    <w:p>
      <w:pPr>
        <w:pStyle w:val="ListBullet"/>
      </w:pPr>
      <w:r>
        <w:t>What assurance level is required?</w:t>
      </w:r>
    </w:p>
    <w:p>
      <w:pPr>
        <w:pStyle w:val="ListBullet"/>
      </w:pPr>
      <w:r>
        <w:t>How are credentials issued, rotated, revoked, and recovered?</w:t>
      </w:r>
    </w:p>
    <w:p>
      <w:pPr>
        <w:pStyle w:val="Heading2"/>
      </w:pPr>
      <w:r>
        <w:t>Authorization</w:t>
      </w:r>
    </w:p>
    <w:p>
      <w:pPr>
        <w:pStyle w:val="ListBullet"/>
      </w:pPr>
      <w:r>
        <w:t>What operation, resource, field, tenant, and relationship are involved?</w:t>
      </w:r>
    </w:p>
    <w:p>
      <w:pPr>
        <w:pStyle w:val="ListBullet"/>
      </w:pPr>
      <w:r>
        <w:t>Which policy data must be current?</w:t>
      </w:r>
    </w:p>
    <w:p>
      <w:pPr>
        <w:pStyle w:val="ListBullet"/>
      </w:pPr>
      <w:r>
        <w:t>Where is the decision enforced and audited?</w:t>
      </w:r>
    </w:p>
    <w:p>
      <w:pPr>
        <w:pStyle w:val="Heading2"/>
      </w:pPr>
      <w:r>
        <w:t>Privacy and consent</w:t>
      </w:r>
    </w:p>
    <w:p>
      <w:pPr>
        <w:pStyle w:val="ListBullet"/>
      </w:pPr>
      <w:r>
        <w:t>What is the minimum data required?</w:t>
      </w:r>
    </w:p>
    <w:p>
      <w:pPr>
        <w:pStyle w:val="ListBullet"/>
      </w:pPr>
      <w:r>
        <w:t>What purpose and legal/consent basis applies?</w:t>
      </w:r>
    </w:p>
    <w:p>
      <w:pPr>
        <w:pStyle w:val="ListBullet"/>
      </w:pPr>
      <w:r>
        <w:t>How are withdrawal, retention, and secondary use handled?</w:t>
      </w:r>
    </w:p>
    <w:p>
      <w:pPr>
        <w:pStyle w:val="Heading2"/>
      </w:pPr>
      <w:r>
        <w:t>API style</w:t>
      </w:r>
    </w:p>
    <w:p>
      <w:pPr>
        <w:pStyle w:val="ListBullet"/>
      </w:pPr>
      <w:r>
        <w:t>How are REST objects, GraphQL fields, gRPC methods, events, webhooks, and streams protected?</w:t>
      </w:r>
    </w:p>
    <w:p>
      <w:pPr>
        <w:pStyle w:val="ListBullet"/>
      </w:pPr>
      <w:r>
        <w:t>Can authorization change during a long-lived interaction?</w:t>
      </w:r>
    </w:p>
    <w:p>
      <w:pPr>
        <w:pStyle w:val="Heading2"/>
      </w:pPr>
      <w:r>
        <w:t>High-risk actions</w:t>
      </w:r>
    </w:p>
    <w:p>
      <w:pPr>
        <w:pStyle w:val="ListBullet"/>
      </w:pPr>
      <w:r>
        <w:t>Is idempotency, replay protection, step-up, dual approval, or transaction signing required?</w:t>
      </w:r>
    </w:p>
    <w:p>
      <w:pPr>
        <w:pStyle w:val="ListBullet"/>
      </w:pPr>
      <w:r>
        <w:t>What evidence is needed for disputes?</w:t>
      </w:r>
    </w:p>
    <w:p>
      <w:pPr>
        <w:pStyle w:val="Heading2"/>
      </w:pPr>
      <w:r>
        <w:t>Operations</w:t>
      </w:r>
    </w:p>
    <w:p>
      <w:pPr>
        <w:pStyle w:val="ListBullet"/>
      </w:pPr>
      <w:r>
        <w:t>What happens when identity, policy, key, audit, or consent systems fail?</w:t>
      </w:r>
    </w:p>
    <w:p>
      <w:pPr>
        <w:pStyle w:val="ListBullet"/>
      </w:pPr>
      <w:r>
        <w:t>Which security metrics and alerts prove the controls operate correctly?</w:t>
      </w:r>
    </w:p>
    <w:p>
      <w:pPr>
        <w:pStyle w:val="Heading1"/>
      </w:pPr>
      <w:r>
        <w:t>18. Review Exercises</w:t>
      </w:r>
    </w:p>
    <w:p>
      <w:pPr>
        <w:pStyle w:val="Heading2"/>
      </w:pPr>
      <w:r>
        <w:t>Exercise 1: Food Delivery Support Access</w:t>
      </w:r>
    </w:p>
    <w:p>
      <w:r>
        <w:t>Design a support-agent API that can view an order only when a valid case exists. Define masking, reason codes, impersonation, approval thresholds, audit fields, and what happens when the case closes.</w:t>
      </w:r>
    </w:p>
    <w:p>
      <w:pPr>
        <w:pStyle w:val="Heading2"/>
      </w:pPr>
      <w:r>
        <w:t>Exercise 2: Healthcare Break-Glass</w:t>
      </w:r>
    </w:p>
    <w:p>
      <w:r>
        <w:t>Design emergency access to patient medications and allergies. Include authentication assurance, purpose, duration, field restrictions, review, notification, downtime behavior, and audit evidence.</w:t>
      </w:r>
    </w:p>
    <w:p>
      <w:pPr>
        <w:pStyle w:val="Heading2"/>
      </w:pPr>
      <w:r>
        <w:t>Exercise 3: Financial Transfer</w:t>
      </w:r>
    </w:p>
    <w:p>
      <w:r>
        <w:t>Design a high-value transfer API with delegated access, proof-of-possession, idempotency, replay prevention, step-up authentication, fraud review, and dispute evidence. Explain all failure responses.</w:t>
      </w:r>
    </w:p>
    <w:p>
      <w:pPr>
        <w:pStyle w:val="Heading2"/>
      </w:pPr>
      <w:r>
        <w:t>Exercise 4: Cross-Tenant Event Leak</w:t>
      </w:r>
    </w:p>
    <w:p>
      <w:r>
        <w:t>A consumer receives events for another tenant. Propose immediate containment, evidence collection, topic and ACL redesign, payload minimization, automated tests, and long-term monitoring.</w:t>
      </w:r>
    </w:p>
    <w:p>
      <w:pPr>
        <w:pStyle w:val="Heading1"/>
      </w:pPr>
      <w:r>
        <w:t>19. Final Architect Summary</w:t>
      </w:r>
    </w:p>
    <w:p>
      <w:r>
        <w:t>Secure API design is the consistent enforcement of identity, resource relationships, business intent, privacy constraints, and evidence across every communication style. The best design does not maximize the number of controls; it applies the right assurance to the risk while remaining operable, observable, and understandable.</w:t>
      </w:r>
    </w:p>
    <w:tbl>
      <w:tblPr>
        <w:tblW w:type="auto" w:w="0"/>
        <w:jc w:val="center"/>
        <w:tblLayout w:type="fixed"/>
        <w:tblLook w:firstColumn="1" w:firstRow="1" w:lastColumn="0" w:lastRow="0" w:noHBand="0" w:noVBand="1" w:val="04A0"/>
      </w:tblPr>
      <w:tblGrid>
        <w:gridCol w:w="2232"/>
        <w:gridCol w:w="7704"/>
      </w:tblGrid>
      <w:tr>
        <w:trPr>
          <w:tblHeader w:val="true"/>
        </w:trPr>
        <w:tc>
          <w:tcPr>
            <w:tcW w:type="dxa" w:w="4968"/>
            <w:shd w:fill="D9EAF7"/>
            <w:tcMar>
              <w:top w:w="110" w:type="dxa"/>
              <w:start w:w="110" w:type="dxa"/>
              <w:bottom w:w="110" w:type="dxa"/>
              <w:end w:w="110" w:type="dxa"/>
            </w:tcMar>
            <w:vAlign w:val="center"/>
          </w:tcPr>
          <w:p>
            <w:r>
              <w:t>Domain</w:t>
            </w:r>
          </w:p>
        </w:tc>
        <w:tc>
          <w:tcPr>
            <w:tcW w:type="dxa" w:w="4968"/>
            <w:shd w:fill="D9EAF7"/>
            <w:tcMar>
              <w:top w:w="110" w:type="dxa"/>
              <w:start w:w="110" w:type="dxa"/>
              <w:bottom w:w="110" w:type="dxa"/>
              <w:end w:w="110" w:type="dxa"/>
            </w:tcMar>
            <w:vAlign w:val="center"/>
          </w:tcPr>
          <w:p>
            <w:r>
              <w:t>Critical security emphasis</w:t>
            </w:r>
          </w:p>
        </w:tc>
      </w:tr>
      <w:tr>
        <w:tc>
          <w:tcPr>
            <w:tcW w:type="dxa" w:w="2232"/>
            <w:tcMar>
              <w:top w:w="110" w:type="dxa"/>
              <w:start w:w="110" w:type="dxa"/>
              <w:bottom w:w="110" w:type="dxa"/>
              <w:end w:w="110" w:type="dxa"/>
            </w:tcMar>
            <w:vAlign w:val="center"/>
          </w:tcPr>
          <w:p>
            <w:r>
              <w:t>Food delivery</w:t>
            </w:r>
          </w:p>
        </w:tc>
        <w:tc>
          <w:tcPr>
            <w:tcW w:type="dxa" w:w="7704"/>
            <w:tcMar>
              <w:top w:w="110" w:type="dxa"/>
              <w:start w:w="110" w:type="dxa"/>
              <w:bottom w:w="110" w:type="dxa"/>
              <w:end w:w="110" w:type="dxa"/>
            </w:tcMar>
            <w:vAlign w:val="center"/>
          </w:tcPr>
          <w:p>
            <w:r>
              <w:t>Ownership, assignment windows, support access, payment tokenization, location privacy</w:t>
            </w:r>
          </w:p>
        </w:tc>
      </w:tr>
      <w:tr>
        <w:tc>
          <w:tcPr>
            <w:tcW w:type="dxa" w:w="2232"/>
            <w:tcMar>
              <w:top w:w="110" w:type="dxa"/>
              <w:start w:w="110" w:type="dxa"/>
              <w:bottom w:w="110" w:type="dxa"/>
              <w:end w:w="110" w:type="dxa"/>
            </w:tcMar>
            <w:vAlign w:val="center"/>
          </w:tcPr>
          <w:p>
            <w:r>
              <w:t>Healthcare</w:t>
            </w:r>
          </w:p>
        </w:tc>
        <w:tc>
          <w:tcPr>
            <w:tcW w:type="dxa" w:w="7704"/>
            <w:tcMar>
              <w:top w:w="110" w:type="dxa"/>
              <w:start w:w="110" w:type="dxa"/>
              <w:bottom w:w="110" w:type="dxa"/>
              <w:end w:w="110" w:type="dxa"/>
            </w:tcMar>
            <w:vAlign w:val="center"/>
          </w:tcPr>
          <w:p>
            <w:r>
              <w:t>Care relationship, consent, purpose of use, minimum necessary, provenance, break-glass audit</w:t>
            </w:r>
          </w:p>
        </w:tc>
      </w:tr>
      <w:tr>
        <w:tc>
          <w:tcPr>
            <w:tcW w:type="dxa" w:w="2232"/>
            <w:tcMar>
              <w:top w:w="110" w:type="dxa"/>
              <w:start w:w="110" w:type="dxa"/>
              <w:bottom w:w="110" w:type="dxa"/>
              <w:end w:w="110" w:type="dxa"/>
            </w:tcMar>
            <w:vAlign w:val="center"/>
          </w:tcPr>
          <w:p>
            <w:r>
              <w:t>Financial</w:t>
            </w:r>
          </w:p>
        </w:tc>
        <w:tc>
          <w:tcPr>
            <w:tcW w:type="dxa" w:w="7704"/>
            <w:tcMar>
              <w:top w:w="110" w:type="dxa"/>
              <w:start w:w="110" w:type="dxa"/>
              <w:bottom w:w="110" w:type="dxa"/>
              <w:end w:w="110" w:type="dxa"/>
            </w:tcMar>
            <w:vAlign w:val="center"/>
          </w:tcPr>
          <w:p>
            <w:r>
              <w:t>Sender-constrained authorization, replay protection, transaction approval, fraud controls, immutable evidence</w:t>
            </w:r>
          </w:p>
        </w:tc>
      </w:tr>
    </w:tbl>
    <w:sectPr w:rsidR="00FC693F" w:rsidRPr="0006063C" w:rsidSect="00034616">
      <w:footerReference w:type="default" r:id="rId9"/>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ptos Display" w:hAnsi="Aptos Display"/>
      <w:b w:val="0"/>
      <w:i/>
      <w:iCs/>
      <w:color w:val="4F6B82"/>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ind w:left="259" w:right="259"/>
    </w:pPr>
    <w:rPr>
      <w:rFonts w:ascii="Consolas" w:hAnsi="Consolas"/>
      <w:sz w:val="17"/>
    </w:rPr>
  </w:style>
  <w:style w:type="paragraph" w:customStyle="1" w:styleId="Callout">
    <w:name w:val="Callout"/>
    <w:pPr>
      <w:spacing w:before="100" w:after="140"/>
      <w:ind w:left="259" w:right="259"/>
    </w:pPr>
    <w:rPr>
      <w:rFonts w:ascii="Aptos" w:hAnsi="Aptos"/>
      <w:sz w:val="20"/>
    </w:rPr>
  </w:style>
  <w:style w:type="paragraph" w:customStyle="1" w:styleId="Decision">
    <w:name w:val="Decision"/>
    <w:pPr>
      <w:spacing w:before="100" w:after="140"/>
      <w:ind w:left="259" w:right="259"/>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