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0F6B78"/>
          <w:sz w:val="24"/>
        </w:rPr>
        <w:t>API DESIGN SERIES</w:t>
      </w:r>
    </w:p>
    <w:p>
      <w:pPr>
        <w:spacing w:before="240"/>
        <w:jc w:val="center"/>
      </w:pPr>
      <w:r>
        <w:rPr>
          <w:rFonts w:ascii="Aptos Display" w:hAnsi="Aptos Display"/>
          <w:color w:val="667085"/>
          <w:sz w:val="36"/>
        </w:rPr>
        <w:t>Document 9</w:t>
      </w:r>
    </w:p>
    <w:p>
      <w:pPr>
        <w:spacing w:before="160"/>
        <w:jc w:val="center"/>
      </w:pPr>
      <w:r>
        <w:rPr>
          <w:rFonts w:ascii="Aptos Display" w:hAnsi="Aptos Display"/>
          <w:b/>
          <w:color w:val="17365D"/>
          <w:sz w:val="58"/>
        </w:rPr>
        <w:t>End-to-End Domain Case Studies</w:t>
      </w:r>
    </w:p>
    <w:p>
      <w:pPr>
        <w:spacing w:before="280"/>
        <w:jc w:val="center"/>
      </w:pPr>
      <w:r>
        <w:rPr>
          <w:rFonts w:ascii="Aptos" w:hAnsi="Aptos"/>
          <w:color w:val="0F6B78"/>
          <w:sz w:val="27"/>
        </w:rPr>
        <w:t>Selecting and combining API styles across complete production architectures</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Architect outcome</w:t>
            </w:r>
          </w:p>
          <w:p>
            <w:pPr>
              <w:spacing w:after="0" w:line="259" w:lineRule="auto"/>
            </w:pPr>
            <w:r>
              <w:rPr>
                <w:rFonts w:ascii="Aptos" w:hAnsi="Aptos"/>
                <w:color w:val="1F2937"/>
                <w:sz w:val="19"/>
              </w:rPr>
              <w:t>After this document, you should be able to turn business workflows into API boundaries, choose REST, GraphQL, gRPC, events, streaming, webhooks, and bulk interfaces per interaction, defend consistency and security decisions, estimate scale, and explain failure handling end to end.</w:t>
            </w:r>
          </w:p>
        </w:tc>
      </w:tr>
    </w:tbl>
    <w:p>
      <w:pPr>
        <w:spacing w:after="40"/>
      </w:pPr>
    </w:p>
    <w:p>
      <w:pPr>
        <w:spacing w:before="720"/>
        <w:jc w:val="center"/>
      </w:pPr>
      <w:r>
        <w:rPr>
          <w:rFonts w:ascii="Aptos" w:hAnsi="Aptos"/>
          <w:i/>
          <w:color w:val="667085"/>
          <w:sz w:val="21"/>
        </w:rPr>
        <w:t>Case studies: food delivery | healthcare platform | financial payments</w:t>
      </w:r>
    </w:p>
    <w:p>
      <w:r>
        <w:br w:type="page"/>
      </w:r>
    </w:p>
    <w:p>
      <w:pPr>
        <w:pStyle w:val="Heading1"/>
        <w:keepNext/>
      </w:pPr>
      <w:r>
        <w:t>1. How to Design an End-to-End API Architecture</w:t>
      </w:r>
    </w:p>
    <w:p>
      <w:pPr>
        <w:spacing w:after="120" w:line="269" w:lineRule="auto"/>
      </w:pPr>
      <w:r>
        <w:rPr>
          <w:rFonts w:ascii="Aptos" w:hAnsi="Aptos"/>
          <w:color w:val="1F2937"/>
          <w:sz w:val="21"/>
        </w:rPr>
        <w:t>A complete architecture is not selected by choosing one protocol. It is produced by decomposing every workflow into queries, commands, events, streams, bulk transfers, and external notifications, then assigning the least complex communication style that meets correctness, latency, interoperability, security, and cost requirements.</w:t>
      </w:r>
    </w:p>
    <w:p>
      <w:pPr>
        <w:pStyle w:val="Heading2"/>
        <w:keepNext/>
      </w:pPr>
      <w:r>
        <w:t>1.1 The workflow-to-interface method</w:t>
      </w:r>
    </w:p>
    <w:p>
      <w:pPr>
        <w:pStyle w:val="ListNumber"/>
        <w:spacing w:after="60"/>
      </w:pPr>
      <w:r>
        <w:rPr>
          <w:rFonts w:ascii="Aptos" w:hAnsi="Aptos"/>
          <w:color w:val="1F2937"/>
          <w:sz w:val="20"/>
        </w:rPr>
        <w:t>Map actors, trust boundaries, business states, invariants, and failure consequences.</w:t>
      </w:r>
    </w:p>
    <w:p>
      <w:pPr>
        <w:pStyle w:val="ListNumber"/>
        <w:spacing w:after="60"/>
      </w:pPr>
      <w:r>
        <w:rPr>
          <w:rFonts w:ascii="Aptos" w:hAnsi="Aptos"/>
          <w:color w:val="1F2937"/>
          <w:sz w:val="20"/>
        </w:rPr>
        <w:t>Classify each interaction as query, command, event, stream, callback, or bulk transfer.</w:t>
      </w:r>
    </w:p>
    <w:p>
      <w:pPr>
        <w:pStyle w:val="ListNumber"/>
        <w:spacing w:after="60"/>
      </w:pPr>
      <w:r>
        <w:rPr>
          <w:rFonts w:ascii="Aptos" w:hAnsi="Aptos"/>
          <w:color w:val="1F2937"/>
          <w:sz w:val="20"/>
        </w:rPr>
        <w:t>Define the authoritative service and transactional boundary for every state change.</w:t>
      </w:r>
    </w:p>
    <w:p>
      <w:pPr>
        <w:pStyle w:val="ListNumber"/>
        <w:spacing w:after="60"/>
      </w:pPr>
      <w:r>
        <w:rPr>
          <w:rFonts w:ascii="Aptos" w:hAnsi="Aptos"/>
          <w:color w:val="1F2937"/>
          <w:sz w:val="20"/>
        </w:rPr>
        <w:t>Choose consistency, latency, durability, ordering, and retry requirements before choosing technology.</w:t>
      </w:r>
    </w:p>
    <w:p>
      <w:pPr>
        <w:pStyle w:val="ListNumber"/>
        <w:spacing w:after="60"/>
      </w:pPr>
      <w:r>
        <w:rPr>
          <w:rFonts w:ascii="Aptos" w:hAnsi="Aptos"/>
          <w:color w:val="1F2937"/>
          <w:sz w:val="20"/>
        </w:rPr>
        <w:t>Design the contract, error outcomes, idempotency, authorization, and observability.</w:t>
      </w:r>
    </w:p>
    <w:p>
      <w:pPr>
        <w:pStyle w:val="ListNumber"/>
        <w:spacing w:after="60"/>
      </w:pPr>
      <w:r>
        <w:rPr>
          <w:rFonts w:ascii="Aptos" w:hAnsi="Aptos"/>
          <w:color w:val="1F2937"/>
          <w:sz w:val="20"/>
        </w:rPr>
        <w:t>Estimate peak and internal load, then validate with realistic failure and capacity tests.</w:t>
      </w:r>
    </w:p>
    <w:p>
      <w:pPr>
        <w:pStyle w:val="Heading2"/>
        <w:keepNext/>
      </w:pPr>
      <w:r>
        <w:t>1.2 Selection summary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Interaction</w:t>
            </w:r>
          </w:p>
        </w:tc>
        <w:tc>
          <w:tcPr>
            <w:tcW w:type="dxa" w:w="2952"/>
            <w:vAlign w:val="center"/>
            <w:tcMar>
              <w:top w:w="110" w:type="dxa"/>
              <w:bottom w:w="110" w:type="dxa"/>
              <w:start w:w="120" w:type="dxa"/>
              <w:end w:w="120" w:type="dxa"/>
            </w:tcMar>
            <w:shd w:fill="17365D"/>
          </w:tcPr>
          <w:p>
            <w:pPr>
              <w:jc w:val="center"/>
            </w:pPr>
            <w:r/>
            <w:r>
              <w:rPr>
                <w:rFonts w:ascii="Aptos" w:hAnsi="Aptos"/>
                <w:b/>
                <w:color w:val="FFFFFF"/>
                <w:sz w:val="18"/>
              </w:rPr>
              <w:t>Typical choice</w:t>
            </w:r>
          </w:p>
        </w:tc>
        <w:tc>
          <w:tcPr>
            <w:tcW w:type="dxa" w:w="4536"/>
            <w:vAlign w:val="center"/>
            <w:tcMar>
              <w:top w:w="110" w:type="dxa"/>
              <w:bottom w:w="110" w:type="dxa"/>
              <w:start w:w="120" w:type="dxa"/>
              <w:end w:w="120" w:type="dxa"/>
            </w:tcMar>
            <w:shd w:fill="17365D"/>
          </w:tcPr>
          <w:p>
            <w:pPr>
              <w:jc w:val="center"/>
            </w:pPr>
            <w:r/>
            <w:r>
              <w:rPr>
                <w:rFonts w:ascii="Aptos" w:hAnsi="Aptos"/>
                <w:b/>
                <w:color w:val="FFFFFF"/>
                <w:sz w:val="18"/>
              </w:rPr>
              <w:t>Reason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External resource query</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REST</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Broad compatibility, caching, debuggability</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Frontend composition</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GraphQL or BFF</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Client-specific aggregation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Internal fixed RPC</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gRPC</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Typed and efficient controlled communication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Long-running workflow</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Command + events</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Temporal decoupling and recovery</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Client status feed</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SSE or WebSocket</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Low-latency updates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Device telemetry</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MQTT, streaming gRPC, or ingestion API</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Continuous high-volume data</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Partner callback</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Webhook</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Cross-organization async notification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Large dataset/file</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Async job + object storage</w:t>
            </w:r>
          </w:p>
        </w:tc>
        <w:tc>
          <w:tcPr>
            <w:tcW w:type="dxa" w:w="4536"/>
            <w:vAlign w:val="center"/>
            <w:tcMar>
              <w:top w:w="110" w:type="dxa"/>
              <w:bottom w:w="110" w:type="dxa"/>
              <w:start w:w="120" w:type="dxa"/>
              <w:end w:w="120" w:type="dxa"/>
            </w:tcMar>
          </w:tcPr>
          <w:p>
            <w:pPr>
              <w:jc w:val="left"/>
            </w:pPr>
            <w:r/>
            <w:r>
              <w:rPr>
                <w:rFonts w:ascii="Aptos" w:hAnsi="Aptos"/>
                <w:b w:val="0"/>
                <w:color w:val="1F2937"/>
                <w:sz w:val="18"/>
              </w:rPr>
              <w:t>Avoid large synchronous payloads</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Decision rule</w:t>
            </w:r>
          </w:p>
          <w:p>
            <w:pPr>
              <w:spacing w:after="0" w:line="259" w:lineRule="auto"/>
            </w:pPr>
            <w:r>
              <w:rPr>
                <w:rFonts w:ascii="Aptos" w:hAnsi="Aptos"/>
                <w:color w:val="1F2937"/>
                <w:sz w:val="19"/>
              </w:rPr>
              <w:t>Use multiple API styles only when they solve materially different interaction problems. Every additional style adds platform, security, testing, and operational cost.</w:t>
            </w:r>
          </w:p>
        </w:tc>
      </w:tr>
    </w:tbl>
    <w:p>
      <w:pPr>
        <w:spacing w:after="40"/>
      </w:pPr>
    </w:p>
    <w:p>
      <w:pPr>
        <w:pStyle w:val="Heading1"/>
        <w:keepNext/>
      </w:pPr>
      <w:r>
        <w:t>2. Case Study A: Food Delivery Platform</w:t>
      </w:r>
    </w:p>
    <w:p>
      <w:pPr>
        <w:pStyle w:val="Heading2"/>
        <w:keepNext/>
      </w:pPr>
      <w:r>
        <w:t>2.1 Business capabilities and actors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vAlign w:val="center"/>
            <w:tcMar>
              <w:top w:w="110" w:type="dxa"/>
              <w:bottom w:w="110" w:type="dxa"/>
              <w:start w:w="120" w:type="dxa"/>
              <w:end w:w="120" w:type="dxa"/>
            </w:tcMar>
            <w:shd w:fill="17365D"/>
          </w:tcPr>
          <w:p>
            <w:pPr>
              <w:jc w:val="center"/>
            </w:pPr>
            <w:r/>
            <w:r>
              <w:rPr>
                <w:rFonts w:ascii="Aptos" w:hAnsi="Aptos"/>
                <w:b/>
                <w:color w:val="FFFFFF"/>
                <w:sz w:val="18"/>
              </w:rPr>
              <w:t>Actor</w:t>
            </w:r>
          </w:p>
        </w:tc>
        <w:tc>
          <w:tcPr>
            <w:tcW w:type="dxa" w:w="4032"/>
            <w:vAlign w:val="center"/>
            <w:tcMar>
              <w:top w:w="110" w:type="dxa"/>
              <w:bottom w:w="110" w:type="dxa"/>
              <w:start w:w="120" w:type="dxa"/>
              <w:end w:w="120" w:type="dxa"/>
            </w:tcMar>
            <w:shd w:fill="17365D"/>
          </w:tcPr>
          <w:p>
            <w:pPr>
              <w:jc w:val="center"/>
            </w:pPr>
            <w:r/>
            <w:r>
              <w:rPr>
                <w:rFonts w:ascii="Aptos" w:hAnsi="Aptos"/>
                <w:b/>
                <w:color w:val="FFFFFF"/>
                <w:sz w:val="18"/>
              </w:rPr>
              <w:t>Primary needs</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Risk if wrong</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Customer</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Browse, order, pay, track, cancel</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Duplicate order or wrong charge</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Restaurant</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Manage menu, accept, prepare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Missed order or stale availability</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Driver</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Receive jobs, send location, update state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Unsafe assignment or lost tracking</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Support agent</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Investigate and compensate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Excess privilege or incorrect refund</w:t>
            </w:r>
          </w:p>
        </w:tc>
      </w:tr>
      <w:tr>
        <w:tc>
          <w:tcPr>
            <w:tcW w:type="dxa" w:w="1728"/>
            <w:vAlign w:val="center"/>
            <w:tcMar>
              <w:top w:w="110" w:type="dxa"/>
              <w:bottom w:w="110" w:type="dxa"/>
              <w:start w:w="120" w:type="dxa"/>
              <w:end w:w="120" w:type="dxa"/>
            </w:tcMar>
          </w:tcPr>
          <w:p>
            <w:pPr>
              <w:jc w:val="left"/>
            </w:pPr>
            <w:r/>
            <w:r>
              <w:rPr>
                <w:rFonts w:ascii="Aptos" w:hAnsi="Aptos"/>
                <w:b w:val="0"/>
                <w:color w:val="1F2937"/>
                <w:sz w:val="18"/>
              </w:rPr>
              <w:t>Partner/payment provider</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Authorize and settle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Financial loss and reconciliation gap</w:t>
            </w:r>
          </w:p>
        </w:tc>
      </w:tr>
    </w:tbl>
    <w:p>
      <w:pPr>
        <w:spacing w:after="40"/>
      </w:pPr>
    </w:p>
    <w:p>
      <w:pPr>
        <w:pStyle w:val="Heading2"/>
        <w:keepNext/>
      </w:pPr>
      <w:r>
        <w:t>2.2 Architecture</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Mobile/Web clients</w:t>
              <w:br/>
            </w:r>
            <w:r>
              <w:rPr>
                <w:rFonts w:ascii="Consolas" w:hAnsi="Consolas"/>
                <w:color w:val="253858"/>
                <w:sz w:val="16"/>
              </w:rPr>
              <w:t xml:space="preserve">      |</w:t>
              <w:br/>
            </w:r>
            <w:r>
              <w:rPr>
                <w:rFonts w:ascii="Consolas" w:hAnsi="Consolas"/>
                <w:color w:val="253858"/>
                <w:sz w:val="16"/>
              </w:rPr>
              <w:t xml:space="preserve"> CDN / WAF / API Gateway</w:t>
              <w:br/>
            </w:r>
            <w:r>
              <w:rPr>
                <w:rFonts w:ascii="Consolas" w:hAnsi="Consolas"/>
                <w:color w:val="253858"/>
                <w:sz w:val="16"/>
              </w:rPr>
              <w:t xml:space="preserve">      |</w:t>
              <w:br/>
            </w:r>
            <w:r>
              <w:rPr>
                <w:rFonts w:ascii="Consolas" w:hAnsi="Consolas"/>
                <w:color w:val="253858"/>
                <w:sz w:val="16"/>
              </w:rPr>
              <w:t xml:space="preserve"> REST + GraphQL/BFF -------------------- SSE/WebSocket Gateway</w:t>
              <w:br/>
            </w:r>
            <w:r>
              <w:rPr>
                <w:rFonts w:ascii="Consolas" w:hAnsi="Consolas"/>
                <w:color w:val="253858"/>
                <w:sz w:val="16"/>
              </w:rPr>
              <w:t xml:space="preserve">      |                                         |</w:t>
              <w:br/>
            </w:r>
            <w:r>
              <w:rPr>
                <w:rFonts w:ascii="Consolas" w:hAnsi="Consolas"/>
                <w:color w:val="253858"/>
                <w:sz w:val="16"/>
              </w:rPr>
              <w:t xml:space="preserve"> Order | Catalog | Customer | Delivery     Live order/location views</w:t>
              <w:br/>
            </w:r>
            <w:r>
              <w:rPr>
                <w:rFonts w:ascii="Consolas" w:hAnsi="Consolas"/>
                <w:color w:val="253858"/>
                <w:sz w:val="16"/>
              </w:rPr>
              <w:t xml:space="preserve">      |       |        |         |</w:t>
              <w:br/>
            </w:r>
            <w:r>
              <w:rPr>
                <w:rFonts w:ascii="Consolas" w:hAnsi="Consolas"/>
                <w:color w:val="253858"/>
                <w:sz w:val="16"/>
              </w:rPr>
              <w:t xml:space="preserve">   gRPC for selected internal fixed calls</w:t>
              <w:br/>
            </w:r>
            <w:r>
              <w:rPr>
                <w:rFonts w:ascii="Consolas" w:hAnsi="Consolas"/>
                <w:color w:val="253858"/>
                <w:sz w:val="16"/>
              </w:rPr>
              <w:t xml:space="preserve">      |</w:t>
              <w:br/>
            </w:r>
            <w:r>
              <w:rPr>
                <w:rFonts w:ascii="Consolas" w:hAnsi="Consolas"/>
                <w:color w:val="253858"/>
                <w:sz w:val="16"/>
              </w:rPr>
              <w:t xml:space="preserve"> Event broker: OrderCreated, PaymentAuthorized, RestaurantAccepted,</w:t>
              <w:br/>
            </w:r>
            <w:r>
              <w:rPr>
                <w:rFonts w:ascii="Consolas" w:hAnsi="Consolas"/>
                <w:color w:val="253858"/>
                <w:sz w:val="16"/>
              </w:rPr>
              <w:t xml:space="preserve">               DriverAssigned, OrderPickedUp, OrderDelivered</w:t>
              <w:br/>
            </w:r>
            <w:r>
              <w:rPr>
                <w:rFonts w:ascii="Consolas" w:hAnsi="Consolas"/>
                <w:color w:val="253858"/>
                <w:sz w:val="16"/>
              </w:rPr>
              <w:t xml:space="preserve">      |</w:t>
              <w:br/>
            </w:r>
            <w:r>
              <w:rPr>
                <w:rFonts w:ascii="Consolas" w:hAnsi="Consolas"/>
                <w:color w:val="253858"/>
                <w:sz w:val="16"/>
              </w:rPr>
              <w:t xml:space="preserve"> Payment provider webhooks + object storage for receipts/exports</w:t>
            </w:r>
          </w:p>
        </w:tc>
      </w:tr>
    </w:tbl>
    <w:p>
      <w:pPr>
        <w:spacing w:after="40"/>
      </w:pPr>
    </w:p>
    <w:p>
      <w:pPr>
        <w:pStyle w:val="Heading2"/>
        <w:keepNext/>
      </w:pPr>
      <w:r>
        <w:t>2.3 Browse restaurants and menus</w:t>
      </w:r>
    </w:p>
    <w:p>
      <w:pPr>
        <w:spacing w:after="120" w:line="269" w:lineRule="auto"/>
      </w:pPr>
      <w:r>
        <w:rPr>
          <w:rFonts w:ascii="Aptos" w:hAnsi="Aptos"/>
          <w:color w:val="1F2937"/>
          <w:sz w:val="21"/>
        </w:rPr>
        <w:t>Restaurant lists and menus are read-heavy and change much less frequently than they are read. REST plus CDN caching is the default. A GraphQL or BFF layer is justified when the home screen combines recommendations, offers, addresses, current orders, and delivery estimates from several domains.</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GET /restaurants?lat=19.0760&amp;lon=72.8777&amp;cuisine=indian&amp;limit=20</w:t>
              <w:br/>
            </w:r>
            <w:r>
              <w:rPr>
                <w:rFonts w:ascii="Consolas" w:hAnsi="Consolas"/>
                <w:color w:val="253858"/>
                <w:sz w:val="16"/>
              </w:rPr>
              <w:t>Cache-Control: public, max-age=60, stale-while-revalidate=30</w:t>
              <w:br/>
            </w:r>
            <w:r>
              <w:rPr>
                <w:rFonts w:ascii="Consolas" w:hAnsi="Consolas"/>
                <w:color w:val="253858"/>
                <w:sz w:val="16"/>
              </w:rPr>
              <w:br/>
            </w:r>
            <w:r>
              <w:rPr>
                <w:rFonts w:ascii="Consolas" w:hAnsi="Consolas"/>
                <w:color w:val="253858"/>
                <w:sz w:val="16"/>
              </w:rPr>
              <w:t>GET /restaurants/r-42/menu</w:t>
              <w:br/>
            </w:r>
            <w:r>
              <w:rPr>
                <w:rFonts w:ascii="Consolas" w:hAnsi="Consolas"/>
                <w:color w:val="253858"/>
                <w:sz w:val="16"/>
              </w:rPr>
              <w:t>ETag: "menu-r42-v193"</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Tradeoff</w:t>
            </w:r>
          </w:p>
          <w:p>
            <w:pPr>
              <w:spacing w:after="0" w:line="259" w:lineRule="auto"/>
            </w:pPr>
            <w:r>
              <w:rPr>
                <w:rFonts w:ascii="Aptos" w:hAnsi="Aptos"/>
                <w:color w:val="1F2937"/>
                <w:sz w:val="19"/>
              </w:rPr>
              <w:t>Do not expose seven resource calls directly to the mobile application merely to remain “pure REST.” Use a bounded composition endpoint or GraphQL when it materially improves latency and client simplicity.</w:t>
            </w:r>
          </w:p>
        </w:tc>
      </w:tr>
    </w:tbl>
    <w:p>
      <w:pPr>
        <w:spacing w:after="40"/>
      </w:pPr>
    </w:p>
    <w:p>
      <w:pPr>
        <w:pStyle w:val="Heading2"/>
        <w:keepNext/>
      </w:pPr>
      <w:r>
        <w:t>2.4 Place an order: synchronous acceptance, asynchronous workflow</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/orders</w:t>
              <w:br/>
            </w:r>
            <w:r>
              <w:rPr>
                <w:rFonts w:ascii="Consolas" w:hAnsi="Consolas"/>
                <w:color w:val="253858"/>
                <w:sz w:val="16"/>
              </w:rPr>
              <w:t>Idempotency-Key: 9bf4b7e4-...</w:t>
              <w:br/>
            </w:r>
            <w:r>
              <w:rPr>
                <w:rFonts w:ascii="Consolas" w:hAnsi="Consolas"/>
                <w:color w:val="253858"/>
                <w:sz w:val="16"/>
              </w:rPr>
              <w:br/>
            </w:r>
            <w:r>
              <w:rPr>
                <w:rFonts w:ascii="Consolas" w:hAnsi="Consolas"/>
                <w:color w:val="253858"/>
                <w:sz w:val="16"/>
              </w:rPr>
              <w:t>{</w:t>
              <w:br/>
            </w:r>
            <w:r>
              <w:rPr>
                <w:rFonts w:ascii="Consolas" w:hAnsi="Consolas"/>
                <w:color w:val="253858"/>
                <w:sz w:val="16"/>
              </w:rPr>
              <w:t xml:space="preserve">  "restaurantId": "r-42",</w:t>
              <w:br/>
            </w:r>
            <w:r>
              <w:rPr>
                <w:rFonts w:ascii="Consolas" w:hAnsi="Consolas"/>
                <w:color w:val="253858"/>
                <w:sz w:val="16"/>
              </w:rPr>
              <w:t xml:space="preserve">  "items": [{"menuItemId": "m-8", "quantity": 2}],</w:t>
              <w:br/>
            </w:r>
            <w:r>
              <w:rPr>
                <w:rFonts w:ascii="Consolas" w:hAnsi="Consolas"/>
                <w:color w:val="253858"/>
                <w:sz w:val="16"/>
              </w:rPr>
              <w:t xml:space="preserve">  "deliveryAddressId": "addr-9",</w:t>
              <w:br/>
            </w:r>
            <w:r>
              <w:rPr>
                <w:rFonts w:ascii="Consolas" w:hAnsi="Consolas"/>
                <w:color w:val="253858"/>
                <w:sz w:val="16"/>
              </w:rPr>
              <w:t xml:space="preserve">  "paymentMethodId": "pm-2"</w:t>
              <w:br/>
            </w:r>
            <w:r>
              <w:rPr>
                <w:rFonts w:ascii="Consolas" w:hAnsi="Consolas"/>
                <w:color w:val="253858"/>
                <w:sz w:val="16"/>
              </w:rPr>
              <w:t>}</w:t>
              <w:br/>
            </w:r>
            <w:r>
              <w:rPr>
                <w:rFonts w:ascii="Consolas" w:hAnsi="Consolas"/>
                <w:color w:val="253858"/>
                <w:sz w:val="16"/>
              </w:rPr>
              <w:br/>
            </w:r>
            <w:r>
              <w:rPr>
                <w:rFonts w:ascii="Consolas" w:hAnsi="Consolas"/>
                <w:color w:val="253858"/>
                <w:sz w:val="16"/>
              </w:rPr>
              <w:t>201 Created</w:t>
              <w:br/>
            </w:r>
            <w:r>
              <w:rPr>
                <w:rFonts w:ascii="Consolas" w:hAnsi="Consolas"/>
                <w:color w:val="253858"/>
                <w:sz w:val="16"/>
              </w:rPr>
              <w:t>Location: /orders/o-781</w:t>
              <w:br/>
            </w:r>
            <w:r>
              <w:rPr>
                <w:rFonts w:ascii="Consolas" w:hAnsi="Consolas"/>
                <w:color w:val="253858"/>
                <w:sz w:val="16"/>
              </w:rPr>
              <w:t>{"id":"o-781","status":"PENDING_PAYMENT","version":1}</w:t>
            </w:r>
          </w:p>
        </w:tc>
      </w:tr>
    </w:tbl>
    <w:p>
      <w:pPr>
        <w:spacing w:after="40"/>
      </w:pPr>
    </w:p>
    <w:p>
      <w:pPr>
        <w:spacing w:after="120" w:line="269" w:lineRule="auto"/>
      </w:pPr>
      <w:r>
        <w:rPr>
          <w:rFonts w:ascii="Aptos" w:hAnsi="Aptos"/>
          <w:color w:val="1F2937"/>
          <w:sz w:val="21"/>
        </w:rPr>
        <w:t>The order service validates the command, stores the order and outbox record in one transaction, and publishes OrderCreated. Payment, restaurant, delivery, notification, and analytics processing are not one HTTP transaction.</w:t>
      </w:r>
    </w:p>
    <w:p>
      <w:pPr>
        <w:pStyle w:val="Heading3"/>
        <w:keepNext/>
      </w:pPr>
      <w:r>
        <w:t>Core invariants</w:t>
      </w:r>
    </w:p>
    <w:p>
      <w:pPr>
        <w:pStyle w:val="ListBullet"/>
        <w:spacing w:after="60"/>
      </w:pPr>
      <w:r>
        <w:rPr>
          <w:rFonts w:ascii="Aptos" w:hAnsi="Aptos"/>
          <w:color w:val="1F2937"/>
          <w:sz w:val="20"/>
        </w:rPr>
        <w:t>The same idempotency key and request fingerprint produce one order.</w:t>
      </w:r>
    </w:p>
    <w:p>
      <w:pPr>
        <w:pStyle w:val="ListBullet"/>
        <w:spacing w:after="60"/>
      </w:pPr>
      <w:r>
        <w:rPr>
          <w:rFonts w:ascii="Aptos" w:hAnsi="Aptos"/>
          <w:color w:val="1F2937"/>
          <w:sz w:val="20"/>
        </w:rPr>
        <w:t>Price, tax, delivery fee, and restaurant/menu versions are captured at ordering time.</w:t>
      </w:r>
    </w:p>
    <w:p>
      <w:pPr>
        <w:pStyle w:val="ListBullet"/>
        <w:spacing w:after="60"/>
      </w:pPr>
      <w:r>
        <w:rPr>
          <w:rFonts w:ascii="Aptos" w:hAnsi="Aptos"/>
          <w:color w:val="1F2937"/>
          <w:sz w:val="20"/>
        </w:rPr>
        <w:t>Only valid state transitions are accepted; clients cannot assign arbitrary status values.</w:t>
      </w:r>
    </w:p>
    <w:p>
      <w:pPr>
        <w:pStyle w:val="ListBullet"/>
        <w:spacing w:after="60"/>
      </w:pPr>
      <w:r>
        <w:rPr>
          <w:rFonts w:ascii="Aptos" w:hAnsi="Aptos"/>
          <w:color w:val="1F2937"/>
          <w:sz w:val="20"/>
        </w:rPr>
        <w:t>A successful business operation is never inferred solely from a client timeout.</w:t>
      </w:r>
    </w:p>
    <w:p>
      <w:pPr>
        <w:pStyle w:val="Heading2"/>
        <w:keepNext/>
      </w:pPr>
      <w:r>
        <w:t>2.5 Saga and compensation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Step</w:t>
            </w:r>
          </w:p>
        </w:tc>
        <w:tc>
          <w:tcPr>
            <w:tcW w:type="dxa" w:w="3096"/>
            <w:vAlign w:val="center"/>
            <w:tcMar>
              <w:top w:w="110" w:type="dxa"/>
              <w:bottom w:w="110" w:type="dxa"/>
              <w:start w:w="120" w:type="dxa"/>
              <w:end w:w="120" w:type="dxa"/>
            </w:tcMar>
            <w:shd w:fill="17365D"/>
          </w:tcPr>
          <w:p>
            <w:pPr>
              <w:jc w:val="center"/>
            </w:pPr>
            <w:r/>
            <w:r>
              <w:rPr>
                <w:rFonts w:ascii="Aptos" w:hAnsi="Aptos"/>
                <w:b/>
                <w:color w:val="FFFFFF"/>
                <w:sz w:val="18"/>
              </w:rPr>
              <w:t>Success event</w:t>
            </w:r>
          </w:p>
        </w:tc>
        <w:tc>
          <w:tcPr>
            <w:tcW w:type="dxa" w:w="4320"/>
            <w:vAlign w:val="center"/>
            <w:tcMar>
              <w:top w:w="110" w:type="dxa"/>
              <w:bottom w:w="110" w:type="dxa"/>
              <w:start w:w="120" w:type="dxa"/>
              <w:end w:w="120" w:type="dxa"/>
            </w:tcMar>
            <w:shd w:fill="17365D"/>
          </w:tcPr>
          <w:p>
            <w:pPr>
              <w:jc w:val="center"/>
            </w:pPr>
            <w:r/>
            <w:r>
              <w:rPr>
                <w:rFonts w:ascii="Aptos" w:hAnsi="Aptos"/>
                <w:b/>
                <w:color w:val="FFFFFF"/>
                <w:sz w:val="18"/>
              </w:rPr>
              <w:t>Failure/compensation</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Create order</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OrderCreated</w:t>
            </w:r>
          </w:p>
        </w:tc>
        <w:tc>
          <w:tcPr>
            <w:tcW w:type="dxa" w:w="4320"/>
            <w:vAlign w:val="center"/>
            <w:tcMar>
              <w:top w:w="110" w:type="dxa"/>
              <w:bottom w:w="110" w:type="dxa"/>
              <w:start w:w="120" w:type="dxa"/>
              <w:end w:w="120" w:type="dxa"/>
            </w:tcMar>
          </w:tcPr>
          <w:p>
            <w:pPr>
              <w:jc w:val="left"/>
            </w:pPr>
            <w:r/>
            <w:r>
              <w:rPr>
                <w:rFonts w:ascii="Aptos" w:hAnsi="Aptos"/>
                <w:b w:val="0"/>
                <w:color w:val="1F2937"/>
                <w:sz w:val="18"/>
              </w:rPr>
              <w:t>Reject before workflow starts</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Authorize payment</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PaymentAuthorized</w:t>
            </w:r>
          </w:p>
        </w:tc>
        <w:tc>
          <w:tcPr>
            <w:tcW w:type="dxa" w:w="4320"/>
            <w:vAlign w:val="center"/>
            <w:tcMar>
              <w:top w:w="110" w:type="dxa"/>
              <w:bottom w:w="110" w:type="dxa"/>
              <w:start w:w="120" w:type="dxa"/>
              <w:end w:w="120" w:type="dxa"/>
            </w:tcMar>
          </w:tcPr>
          <w:p>
            <w:pPr>
              <w:jc w:val="left"/>
            </w:pPr>
            <w:r/>
            <w:r>
              <w:rPr>
                <w:rFonts w:ascii="Aptos" w:hAnsi="Aptos"/>
                <w:b w:val="0"/>
                <w:color w:val="1F2937"/>
                <w:sz w:val="18"/>
              </w:rPr>
              <w:t>PaymentDeclined -&gt; reject order</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Restaurant acceptance</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RestaurantAccepted</w:t>
            </w:r>
          </w:p>
        </w:tc>
        <w:tc>
          <w:tcPr>
            <w:tcW w:type="dxa" w:w="4320"/>
            <w:vAlign w:val="center"/>
            <w:tcMar>
              <w:top w:w="110" w:type="dxa"/>
              <w:bottom w:w="110" w:type="dxa"/>
              <w:start w:w="120" w:type="dxa"/>
              <w:end w:w="120" w:type="dxa"/>
            </w:tcMar>
          </w:tcPr>
          <w:p>
            <w:pPr>
              <w:jc w:val="left"/>
            </w:pPr>
            <w:r/>
            <w:r>
              <w:rPr>
                <w:rFonts w:ascii="Aptos" w:hAnsi="Aptos"/>
                <w:b w:val="0"/>
                <w:color w:val="1F2937"/>
                <w:sz w:val="18"/>
              </w:rPr>
              <w:t>Rejected/timeout -&gt; void authorization</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Assign driver</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DriverAssigned</w:t>
            </w:r>
          </w:p>
        </w:tc>
        <w:tc>
          <w:tcPr>
            <w:tcW w:type="dxa" w:w="4320"/>
            <w:vAlign w:val="center"/>
            <w:tcMar>
              <w:top w:w="110" w:type="dxa"/>
              <w:bottom w:w="110" w:type="dxa"/>
              <w:start w:w="120" w:type="dxa"/>
              <w:end w:w="120" w:type="dxa"/>
            </w:tcMar>
          </w:tcPr>
          <w:p>
            <w:pPr>
              <w:jc w:val="left"/>
            </w:pPr>
            <w:r/>
            <w:r>
              <w:rPr>
                <w:rFonts w:ascii="Aptos" w:hAnsi="Aptos"/>
                <w:b w:val="0"/>
                <w:color w:val="1F2937"/>
                <w:sz w:val="18"/>
              </w:rPr>
              <w:t>Retry, expand radius, or cancel by policy</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Complete delivery</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OrderDelivered</w:t>
            </w:r>
          </w:p>
        </w:tc>
        <w:tc>
          <w:tcPr>
            <w:tcW w:type="dxa" w:w="4320"/>
            <w:vAlign w:val="center"/>
            <w:tcMar>
              <w:top w:w="110" w:type="dxa"/>
              <w:bottom w:w="110" w:type="dxa"/>
              <w:start w:w="120" w:type="dxa"/>
              <w:end w:w="120" w:type="dxa"/>
            </w:tcMar>
          </w:tcPr>
          <w:p>
            <w:pPr>
              <w:jc w:val="left"/>
            </w:pPr>
            <w:r/>
            <w:r>
              <w:rPr>
                <w:rFonts w:ascii="Aptos" w:hAnsi="Aptos"/>
                <w:b w:val="0"/>
                <w:color w:val="1F2937"/>
                <w:sz w:val="18"/>
              </w:rPr>
              <w:t>Capture/settle and close workflow</w:t>
            </w:r>
          </w:p>
        </w:tc>
      </w:tr>
    </w:tbl>
    <w:p>
      <w:pPr>
        <w:spacing w:after="40"/>
      </w:pPr>
    </w:p>
    <w:p>
      <w:pPr>
        <w:spacing w:after="120" w:line="269" w:lineRule="auto"/>
      </w:pPr>
      <w:r>
        <w:rPr>
          <w:rFonts w:ascii="Aptos" w:hAnsi="Aptos"/>
          <w:color w:val="1F2937"/>
          <w:sz w:val="21"/>
        </w:rPr>
        <w:t>Use orchestration when the workflow has deadlines, compensation, customer-visible progress, and complex exception handling. Choreography is acceptable for independent side effects such as analytics and non-critical notifications.</w:t>
      </w:r>
    </w:p>
    <w:p>
      <w:pPr>
        <w:pStyle w:val="Heading2"/>
        <w:keepNext/>
      </w:pPr>
      <w:r>
        <w:t>2.6 Driver location and order tracking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Flow</w:t>
            </w:r>
          </w:p>
        </w:tc>
        <w:tc>
          <w:tcPr>
            <w:tcW w:type="dxa" w:w="3240"/>
            <w:vAlign w:val="center"/>
            <w:tcMar>
              <w:top w:w="110" w:type="dxa"/>
              <w:bottom w:w="110" w:type="dxa"/>
              <w:start w:w="120" w:type="dxa"/>
              <w:end w:w="120" w:type="dxa"/>
            </w:tcMar>
            <w:shd w:fill="17365D"/>
          </w:tcPr>
          <w:p>
            <w:pPr>
              <w:jc w:val="center"/>
            </w:pPr>
            <w:r/>
            <w:r>
              <w:rPr>
                <w:rFonts w:ascii="Aptos" w:hAnsi="Aptos"/>
                <w:b/>
                <w:color w:val="FFFFFF"/>
                <w:sz w:val="18"/>
              </w:rPr>
              <w:t>Recommended interface</w:t>
            </w:r>
          </w:p>
        </w:tc>
        <w:tc>
          <w:tcPr>
            <w:tcW w:type="dxa" w:w="4176"/>
            <w:vAlign w:val="center"/>
            <w:tcMar>
              <w:top w:w="110" w:type="dxa"/>
              <w:bottom w:w="110" w:type="dxa"/>
              <w:start w:w="120" w:type="dxa"/>
              <w:end w:w="120" w:type="dxa"/>
            </w:tcMar>
            <w:shd w:fill="17365D"/>
          </w:tcPr>
          <w:p>
            <w:pPr>
              <w:jc w:val="center"/>
            </w:pPr>
            <w:r/>
            <w:r>
              <w:rPr>
                <w:rFonts w:ascii="Aptos" w:hAnsi="Aptos"/>
                <w:b/>
                <w:color w:val="FFFFFF"/>
                <w:sz w:val="18"/>
              </w:rPr>
              <w:t>Reason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Driver -&gt; platform</w:t>
            </w:r>
          </w:p>
        </w:tc>
        <w:tc>
          <w:tcPr>
            <w:tcW w:type="dxa" w:w="3240"/>
            <w:vAlign w:val="center"/>
            <w:tcMar>
              <w:top w:w="110" w:type="dxa"/>
              <w:bottom w:w="110" w:type="dxa"/>
              <w:start w:w="120" w:type="dxa"/>
              <w:end w:w="120" w:type="dxa"/>
            </w:tcMar>
          </w:tcPr>
          <w:p>
            <w:pPr>
              <w:jc w:val="left"/>
            </w:pPr>
            <w:r/>
            <w:r>
              <w:rPr>
                <w:rFonts w:ascii="Aptos" w:hAnsi="Aptos"/>
                <w:b w:val="0"/>
                <w:color w:val="1F2937"/>
                <w:sz w:val="18"/>
              </w:rPr>
              <w:t>WebSocket, MQTT, or batched HTTPS</w:t>
            </w:r>
          </w:p>
        </w:tc>
        <w:tc>
          <w:tcPr>
            <w:tcW w:type="dxa" w:w="4176"/>
            <w:vAlign w:val="center"/>
            <w:tcMar>
              <w:top w:w="110" w:type="dxa"/>
              <w:bottom w:w="110" w:type="dxa"/>
              <w:start w:w="120" w:type="dxa"/>
              <w:end w:w="120" w:type="dxa"/>
            </w:tcMar>
          </w:tcPr>
          <w:p>
            <w:pPr>
              <w:jc w:val="left"/>
            </w:pPr>
            <w:r/>
            <w:r>
              <w:rPr>
                <w:rFonts w:ascii="Aptos" w:hAnsi="Aptos"/>
                <w:b w:val="0"/>
                <w:color w:val="1F2937"/>
                <w:sz w:val="18"/>
              </w:rPr>
              <w:t>Frequent telemetry and mobile constraints</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Platform -&gt; customer</w:t>
            </w:r>
          </w:p>
        </w:tc>
        <w:tc>
          <w:tcPr>
            <w:tcW w:type="dxa" w:w="3240"/>
            <w:vAlign w:val="center"/>
            <w:tcMar>
              <w:top w:w="110" w:type="dxa"/>
              <w:bottom w:w="110" w:type="dxa"/>
              <w:start w:w="120" w:type="dxa"/>
              <w:end w:w="120" w:type="dxa"/>
            </w:tcMar>
          </w:tcPr>
          <w:p>
            <w:pPr>
              <w:jc w:val="center"/>
            </w:pPr>
            <w:r/>
            <w:r>
              <w:rPr>
                <w:rFonts w:ascii="Aptos" w:hAnsi="Aptos"/>
                <w:b w:val="0"/>
                <w:color w:val="1F2937"/>
                <w:sz w:val="18"/>
              </w:rPr>
              <w:t>SSE or WebSocket</w:t>
            </w:r>
          </w:p>
        </w:tc>
        <w:tc>
          <w:tcPr>
            <w:tcW w:type="dxa" w:w="4176"/>
            <w:vAlign w:val="center"/>
            <w:tcMar>
              <w:top w:w="110" w:type="dxa"/>
              <w:bottom w:w="110" w:type="dxa"/>
              <w:start w:w="120" w:type="dxa"/>
              <w:end w:w="120" w:type="dxa"/>
            </w:tcMar>
          </w:tcPr>
          <w:p>
            <w:pPr>
              <w:jc w:val="left"/>
            </w:pPr>
            <w:r/>
            <w:r>
              <w:rPr>
                <w:rFonts w:ascii="Aptos" w:hAnsi="Aptos"/>
                <w:b w:val="0"/>
                <w:color w:val="1F2937"/>
                <w:sz w:val="18"/>
              </w:rPr>
              <w:t>Low-latency one-way or bidirectional updates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Historical route</w:t>
            </w:r>
          </w:p>
        </w:tc>
        <w:tc>
          <w:tcPr>
            <w:tcW w:type="dxa" w:w="3240"/>
            <w:vAlign w:val="center"/>
            <w:tcMar>
              <w:top w:w="110" w:type="dxa"/>
              <w:bottom w:w="110" w:type="dxa"/>
              <w:start w:w="120" w:type="dxa"/>
              <w:end w:w="120" w:type="dxa"/>
            </w:tcMar>
          </w:tcPr>
          <w:p>
            <w:pPr>
              <w:jc w:val="center"/>
            </w:pPr>
            <w:r/>
            <w:r>
              <w:rPr>
                <w:rFonts w:ascii="Aptos" w:hAnsi="Aptos"/>
                <w:b w:val="0"/>
                <w:color w:val="1F2937"/>
                <w:sz w:val="18"/>
              </w:rPr>
              <w:t>REST</w:t>
            </w:r>
          </w:p>
        </w:tc>
        <w:tc>
          <w:tcPr>
            <w:tcW w:type="dxa" w:w="4176"/>
            <w:vAlign w:val="center"/>
            <w:tcMar>
              <w:top w:w="110" w:type="dxa"/>
              <w:bottom w:w="110" w:type="dxa"/>
              <w:start w:w="120" w:type="dxa"/>
              <w:end w:w="120" w:type="dxa"/>
            </w:tcMar>
          </w:tcPr>
          <w:p>
            <w:pPr>
              <w:jc w:val="left"/>
            </w:pPr>
            <w:r/>
            <w:r>
              <w:rPr>
                <w:rFonts w:ascii="Aptos" w:hAnsi="Aptos"/>
                <w:b w:val="0"/>
                <w:color w:val="1F2937"/>
                <w:sz w:val="18"/>
              </w:rPr>
              <w:t>Bounded retrieval and audit</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Durable internal location stream</w:t>
            </w:r>
          </w:p>
        </w:tc>
        <w:tc>
          <w:tcPr>
            <w:tcW w:type="dxa" w:w="3240"/>
            <w:vAlign w:val="center"/>
            <w:tcMar>
              <w:top w:w="110" w:type="dxa"/>
              <w:bottom w:w="110" w:type="dxa"/>
              <w:start w:w="120" w:type="dxa"/>
              <w:end w:w="120" w:type="dxa"/>
            </w:tcMar>
          </w:tcPr>
          <w:p>
            <w:pPr>
              <w:jc w:val="left"/>
            </w:pPr>
            <w:r/>
            <w:r>
              <w:rPr>
                <w:rFonts w:ascii="Aptos" w:hAnsi="Aptos"/>
                <w:b w:val="0"/>
                <w:color w:val="1F2937"/>
                <w:sz w:val="18"/>
              </w:rPr>
              <w:t>Event/stream platform</w:t>
            </w:r>
          </w:p>
        </w:tc>
        <w:tc>
          <w:tcPr>
            <w:tcW w:type="dxa" w:w="4176"/>
            <w:vAlign w:val="center"/>
            <w:tcMar>
              <w:top w:w="110" w:type="dxa"/>
              <w:bottom w:w="110" w:type="dxa"/>
              <w:start w:w="120" w:type="dxa"/>
              <w:end w:w="120" w:type="dxa"/>
            </w:tcMar>
          </w:tcPr>
          <w:p>
            <w:pPr>
              <w:jc w:val="left"/>
            </w:pPr>
            <w:r/>
            <w:r>
              <w:rPr>
                <w:rFonts w:ascii="Aptos" w:hAnsi="Aptos"/>
                <w:b w:val="0"/>
                <w:color w:val="1F2937"/>
                <w:sz w:val="18"/>
              </w:rPr>
              <w:t>Fan-out and processing</w:t>
            </w:r>
          </w:p>
        </w:tc>
      </w:tr>
    </w:tbl>
    <w:p>
      <w:pPr>
        <w:spacing w:after="40"/>
      </w:pPr>
    </w:p>
    <w:p>
      <w:pPr>
        <w:spacing w:after="120" w:line="269" w:lineRule="auto"/>
      </w:pPr>
      <w:r>
        <w:rPr>
          <w:rFonts w:ascii="Aptos" w:hAnsi="Aptos"/>
          <w:color w:val="1F2937"/>
          <w:sz w:val="21"/>
        </w:rPr>
        <w:t>Location messages require sequence numbers, timestamps, accuracy, device identity, and a policy for late or out-of-order points. The latest position belongs in a low-latency store; long-term history belongs in a storage tier designed for telemetry rather than the transactional order database.</w:t>
      </w:r>
    </w:p>
    <w:p>
      <w:pPr>
        <w:pStyle w:val="Heading2"/>
        <w:keepNext/>
      </w:pPr>
      <w:r>
        <w:t>2.7 Scale and failure design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vAlign w:val="center"/>
            <w:tcMar>
              <w:top w:w="110" w:type="dxa"/>
              <w:bottom w:w="110" w:type="dxa"/>
              <w:start w:w="120" w:type="dxa"/>
              <w:end w:w="120" w:type="dxa"/>
            </w:tcMar>
            <w:shd w:fill="17365D"/>
          </w:tcPr>
          <w:p>
            <w:pPr>
              <w:jc w:val="center"/>
            </w:pPr>
            <w:r/>
            <w:r>
              <w:rPr>
                <w:rFonts w:ascii="Aptos" w:hAnsi="Aptos"/>
                <w:b/>
                <w:color w:val="FFFFFF"/>
                <w:sz w:val="18"/>
              </w:rPr>
              <w:t>Concern</w:t>
            </w:r>
          </w:p>
        </w:tc>
        <w:tc>
          <w:tcPr>
            <w:tcW w:type="dxa" w:w="6696"/>
            <w:vAlign w:val="center"/>
            <w:tcMar>
              <w:top w:w="110" w:type="dxa"/>
              <w:bottom w:w="110" w:type="dxa"/>
              <w:start w:w="120" w:type="dxa"/>
              <w:end w:w="120" w:type="dxa"/>
            </w:tcMar>
            <w:shd w:fill="17365D"/>
          </w:tcPr>
          <w:p>
            <w:pPr>
              <w:jc w:val="center"/>
            </w:pPr>
            <w:r/>
            <w:r>
              <w:rPr>
                <w:rFonts w:ascii="Aptos" w:hAnsi="Aptos"/>
                <w:b/>
                <w:color w:val="FFFFFF"/>
                <w:sz w:val="18"/>
              </w:rPr>
              <w:t>Design response</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Lunch/dinner burst</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Autoscale on request rate and queue lag; prewarm capacity</w:t>
            </w:r>
          </w:p>
        </w:tc>
      </w:tr>
      <w:tr>
        <w:tc>
          <w:tcPr>
            <w:tcW w:type="dxa" w:w="2880"/>
            <w:vAlign w:val="center"/>
            <w:tcMar>
              <w:top w:w="110" w:type="dxa"/>
              <w:bottom w:w="110" w:type="dxa"/>
              <w:start w:w="120" w:type="dxa"/>
              <w:end w:w="120" w:type="dxa"/>
            </w:tcMar>
          </w:tcPr>
          <w:p>
            <w:pPr>
              <w:jc w:val="center"/>
            </w:pPr>
            <w:r/>
            <w:r>
              <w:rPr>
                <w:rFonts w:ascii="Aptos" w:hAnsi="Aptos"/>
                <w:b w:val="0"/>
                <w:color w:val="1F2937"/>
                <w:sz w:val="18"/>
              </w:rPr>
              <w:t>Hot restaurants</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Cache menus; partition work; protect restaurant integration</w:t>
            </w:r>
          </w:p>
        </w:tc>
      </w:tr>
      <w:tr>
        <w:tc>
          <w:tcPr>
            <w:tcW w:type="dxa" w:w="2880"/>
            <w:vAlign w:val="center"/>
            <w:tcMar>
              <w:top w:w="110" w:type="dxa"/>
              <w:bottom w:w="110" w:type="dxa"/>
              <w:start w:w="120" w:type="dxa"/>
              <w:end w:w="120" w:type="dxa"/>
            </w:tcMar>
          </w:tcPr>
          <w:p>
            <w:pPr>
              <w:jc w:val="center"/>
            </w:pPr>
            <w:r/>
            <w:r>
              <w:rPr>
                <w:rFonts w:ascii="Aptos" w:hAnsi="Aptos"/>
                <w:b w:val="0"/>
                <w:color w:val="1F2937"/>
                <w:sz w:val="18"/>
              </w:rPr>
              <w:t>Payment timeout</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Idempotent request, bounded retry, reconciliation</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Notification outage</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Do not fail order; durable retry queue</w:t>
            </w:r>
          </w:p>
        </w:tc>
      </w:tr>
      <w:tr>
        <w:tc>
          <w:tcPr>
            <w:tcW w:type="dxa" w:w="2880"/>
            <w:vAlign w:val="center"/>
            <w:tcMar>
              <w:top w:w="110" w:type="dxa"/>
              <w:bottom w:w="110" w:type="dxa"/>
              <w:start w:w="120" w:type="dxa"/>
              <w:end w:w="120" w:type="dxa"/>
            </w:tcMar>
          </w:tcPr>
          <w:p>
            <w:pPr>
              <w:jc w:val="center"/>
            </w:pPr>
            <w:r/>
            <w:r>
              <w:rPr>
                <w:rFonts w:ascii="Aptos" w:hAnsi="Aptos"/>
                <w:b w:val="0"/>
                <w:color w:val="1F2937"/>
                <w:sz w:val="18"/>
              </w:rPr>
              <w:t>Location fan-out</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Regional gateways, bounded buffers, sampling</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Database pressure</w:t>
            </w:r>
          </w:p>
        </w:tc>
        <w:tc>
          <w:tcPr>
            <w:tcW w:type="dxa" w:w="6696"/>
            <w:vAlign w:val="center"/>
            <w:tcMar>
              <w:top w:w="110" w:type="dxa"/>
              <w:bottom w:w="110" w:type="dxa"/>
              <w:start w:w="120" w:type="dxa"/>
              <w:end w:w="120" w:type="dxa"/>
            </w:tcMar>
          </w:tcPr>
          <w:p>
            <w:pPr>
              <w:jc w:val="left"/>
            </w:pPr>
            <w:r/>
            <w:r>
              <w:rPr>
                <w:rFonts w:ascii="Aptos" w:hAnsi="Aptos"/>
                <w:b w:val="0"/>
                <w:color w:val="1F2937"/>
                <w:sz w:val="18"/>
              </w:rPr>
              <w:t>Indexed access paths, read models, connection limits</w:t>
            </w:r>
          </w:p>
        </w:tc>
      </w:tr>
    </w:tbl>
    <w:p>
      <w:pPr>
        <w:spacing w:after="40"/>
      </w:pPr>
    </w:p>
    <w:p>
      <w:pPr>
        <w:pStyle w:val="Heading1"/>
        <w:keepNext/>
      </w:pPr>
      <w:r>
        <w:t>3. Case Study B: Healthcare Application Platform</w:t>
      </w:r>
    </w:p>
    <w:p>
      <w:pPr>
        <w:pStyle w:val="Heading2"/>
        <w:keepNext/>
      </w:pPr>
      <w:r>
        <w:t>3.1 Architectural priorities</w:t>
      </w:r>
    </w:p>
    <w:p>
      <w:pPr>
        <w:spacing w:after="120" w:line="269" w:lineRule="auto"/>
      </w:pPr>
      <w:r>
        <w:rPr>
          <w:rFonts w:ascii="Aptos" w:hAnsi="Aptos"/>
          <w:color w:val="1F2937"/>
          <w:sz w:val="21"/>
        </w:rPr>
        <w:t>Healthcare APIs optimize not only for availability and performance but also for interoperability, patient identity, terminology, provenance, consent, minimum-necessary access, auditability, and safe handling of stale or incomplete clinical data.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vAlign w:val="center"/>
            <w:tcMar>
              <w:top w:w="110" w:type="dxa"/>
              <w:bottom w:w="110" w:type="dxa"/>
              <w:start w:w="120" w:type="dxa"/>
              <w:end w:w="120" w:type="dxa"/>
            </w:tcMar>
            <w:shd w:fill="17365D"/>
          </w:tcPr>
          <w:p>
            <w:pPr>
              <w:jc w:val="center"/>
            </w:pPr>
            <w:r/>
            <w:r>
              <w:rPr>
                <w:rFonts w:ascii="Aptos" w:hAnsi="Aptos"/>
                <w:b/>
                <w:color w:val="FFFFFF"/>
                <w:sz w:val="18"/>
              </w:rPr>
              <w:t>Workflow</w:t>
            </w:r>
          </w:p>
        </w:tc>
        <w:tc>
          <w:tcPr>
            <w:tcW w:type="dxa" w:w="3096"/>
            <w:vAlign w:val="center"/>
            <w:tcMar>
              <w:top w:w="110" w:type="dxa"/>
              <w:bottom w:w="110" w:type="dxa"/>
              <w:start w:w="120" w:type="dxa"/>
              <w:end w:w="120" w:type="dxa"/>
            </w:tcMar>
            <w:shd w:fill="17365D"/>
          </w:tcPr>
          <w:p>
            <w:pPr>
              <w:jc w:val="center"/>
            </w:pPr>
            <w:r/>
            <w:r>
              <w:rPr>
                <w:rFonts w:ascii="Aptos" w:hAnsi="Aptos"/>
                <w:b/>
                <w:color w:val="FFFFFF"/>
                <w:sz w:val="18"/>
              </w:rPr>
              <w:t>Interface</w:t>
            </w:r>
          </w:p>
        </w:tc>
        <w:tc>
          <w:tcPr>
            <w:tcW w:type="dxa" w:w="4104"/>
            <w:vAlign w:val="center"/>
            <w:tcMar>
              <w:top w:w="110" w:type="dxa"/>
              <w:bottom w:w="110" w:type="dxa"/>
              <w:start w:w="120" w:type="dxa"/>
              <w:end w:w="120" w:type="dxa"/>
            </w:tcMar>
            <w:shd w:fill="17365D"/>
          </w:tcPr>
          <w:p>
            <w:pPr>
              <w:jc w:val="center"/>
            </w:pPr>
            <w:r/>
            <w:r>
              <w:rPr>
                <w:rFonts w:ascii="Aptos" w:hAnsi="Aptos"/>
                <w:b/>
                <w:color w:val="FFFFFF"/>
                <w:sz w:val="18"/>
              </w:rPr>
              <w:t>Primary reason</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External clinical exchange</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FHIR REST</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Standards-based interoperability</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Clinician application composition</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FHIR REST or controlled GraphQL/BFF</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Efficient clinical view</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Internal clinical decision support</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gRPC or REST</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Fixed typed computation</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Clinical notifications</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Durable events/subscriptions</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Asynchronous change propagation</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Device telemetry</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Streaming ingestion</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High-frequency measurements</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Population export</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Async bulk export</w:t>
            </w:r>
          </w:p>
        </w:tc>
        <w:tc>
          <w:tcPr>
            <w:tcW w:type="dxa" w:w="4104"/>
            <w:vAlign w:val="center"/>
            <w:tcMar>
              <w:top w:w="110" w:type="dxa"/>
              <w:bottom w:w="110" w:type="dxa"/>
              <w:start w:w="120" w:type="dxa"/>
              <w:end w:w="120" w:type="dxa"/>
            </w:tcMar>
          </w:tcPr>
          <w:p>
            <w:pPr>
              <w:jc w:val="center"/>
            </w:pPr>
            <w:r/>
            <w:r>
              <w:rPr>
                <w:rFonts w:ascii="Aptos" w:hAnsi="Aptos"/>
                <w:b w:val="0"/>
                <w:color w:val="1F2937"/>
                <w:sz w:val="18"/>
              </w:rPr>
              <w:t>Large datasets</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Document exchange</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Document/file workflow</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Signed or large artifacts</w:t>
            </w:r>
          </w:p>
        </w:tc>
      </w:tr>
    </w:tbl>
    <w:p>
      <w:pPr>
        <w:spacing w:after="40"/>
      </w:pPr>
    </w:p>
    <w:p>
      <w:pPr>
        <w:pStyle w:val="Heading2"/>
        <w:keepNext/>
      </w:pPr>
      <w:r>
        <w:t>3.2 Patient summary API</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GET /fhir/Patient/p-123</w:t>
              <w:br/>
            </w:r>
            <w:r>
              <w:rPr>
                <w:rFonts w:ascii="Consolas" w:hAnsi="Consolas"/>
                <w:color w:val="253858"/>
                <w:sz w:val="16"/>
              </w:rPr>
              <w:t>GET /fhir/AllergyIntolerance?patient=p-123&amp;clinical-status=active</w:t>
              <w:br/>
            </w:r>
            <w:r>
              <w:rPr>
                <w:rFonts w:ascii="Consolas" w:hAnsi="Consolas"/>
                <w:color w:val="253858"/>
                <w:sz w:val="16"/>
              </w:rPr>
              <w:t>GET /fhir/MedicationRequest?subject=p-123&amp;status=active</w:t>
              <w:br/>
            </w:r>
            <w:r>
              <w:rPr>
                <w:rFonts w:ascii="Consolas" w:hAnsi="Consolas"/>
                <w:color w:val="253858"/>
                <w:sz w:val="16"/>
              </w:rPr>
              <w:t>GET /fhir/Observation?subject=p-123&amp;category=laboratory&amp;_sort=-date&amp;_count=50</w:t>
            </w:r>
          </w:p>
        </w:tc>
      </w:tr>
    </w:tbl>
    <w:p>
      <w:pPr>
        <w:spacing w:after="40"/>
      </w:pPr>
    </w:p>
    <w:p>
      <w:pPr>
        <w:spacing w:after="120" w:line="269" w:lineRule="auto"/>
      </w:pPr>
      <w:r>
        <w:rPr>
          <w:rFonts w:ascii="Aptos" w:hAnsi="Aptos"/>
          <w:color w:val="1F2937"/>
          <w:sz w:val="21"/>
        </w:rPr>
        <w:t>A clinician-facing BFF may compose these resources into a bounded patient-summary view. The BFF must not bypass FHIR semantics, terminology, provenance, or authorization. The response should identify freshness and partial-data conditions rather than silently presenting an incomplete record as complete.</w:t>
      </w:r>
    </w:p>
    <w:p>
      <w:pPr>
        <w:pStyle w:val="Heading2"/>
        <w:keepNext/>
      </w:pPr>
      <w:r>
        <w:t>3.3 Authorization decision</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allow = authenticated clinician</w:t>
              <w:br/>
            </w:r>
            <w:r>
              <w:rPr>
                <w:rFonts w:ascii="Consolas" w:hAnsi="Consolas"/>
                <w:color w:val="253858"/>
                <w:sz w:val="16"/>
              </w:rPr>
              <w:t xml:space="preserve">    AND clinician is active in organization</w:t>
              <w:br/>
            </w:r>
            <w:r>
              <w:rPr>
                <w:rFonts w:ascii="Consolas" w:hAnsi="Consolas"/>
                <w:color w:val="253858"/>
                <w:sz w:val="16"/>
              </w:rPr>
              <w:t xml:space="preserve">    AND organization may access patient</w:t>
              <w:br/>
            </w:r>
            <w:r>
              <w:rPr>
                <w:rFonts w:ascii="Consolas" w:hAnsi="Consolas"/>
                <w:color w:val="253858"/>
                <w:sz w:val="16"/>
              </w:rPr>
              <w:t xml:space="preserve">    AND care relationship or approved purpose exists</w:t>
              <w:br/>
            </w:r>
            <w:r>
              <w:rPr>
                <w:rFonts w:ascii="Consolas" w:hAnsi="Consolas"/>
                <w:color w:val="253858"/>
                <w:sz w:val="16"/>
              </w:rPr>
              <w:t xml:space="preserve">    AND requested resource category is permitted</w:t>
              <w:br/>
            </w:r>
            <w:r>
              <w:rPr>
                <w:rFonts w:ascii="Consolas" w:hAnsi="Consolas"/>
                <w:color w:val="253858"/>
                <w:sz w:val="16"/>
              </w:rPr>
              <w:t xml:space="preserve">    AND consent restrictions are satisfied</w:t>
              <w:br/>
            </w:r>
            <w:r>
              <w:rPr>
                <w:rFonts w:ascii="Consolas" w:hAnsi="Consolas"/>
                <w:color w:val="253858"/>
                <w:sz w:val="16"/>
              </w:rPr>
              <w:t xml:space="preserve">    AND emergency override policy is not violated</w:t>
            </w:r>
          </w:p>
        </w:tc>
      </w:tr>
    </w:tbl>
    <w:p>
      <w:pPr>
        <w:spacing w:after="40"/>
      </w:pPr>
    </w:p>
    <w:p>
      <w:pPr>
        <w:spacing w:after="120" w:line="269" w:lineRule="auto"/>
      </w:pPr>
      <w:r>
        <w:rPr>
          <w:rFonts w:ascii="Aptos" w:hAnsi="Aptos"/>
          <w:color w:val="1F2937"/>
          <w:sz w:val="21"/>
        </w:rPr>
        <w:t>Authorization is resource- and context-sensitive. A broad patient.read scope alone is insufficient. Break-glass access requires explicit justification, enhanced audit, alerts, and retrospective review; it is not a permanent bypass role.</w:t>
      </w:r>
    </w:p>
    <w:p>
      <w:pPr>
        <w:pStyle w:val="Heading2"/>
        <w:keepNext/>
      </w:pPr>
      <w:r>
        <w:t>3.4 Clinical writes and concurrency</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GET /fhir/MedicationRequest/mr-88</w:t>
              <w:br/>
            </w:r>
            <w:r>
              <w:rPr>
                <w:rFonts w:ascii="Consolas" w:hAnsi="Consolas"/>
                <w:color w:val="253858"/>
                <w:sz w:val="16"/>
              </w:rPr>
              <w:t>ETag: W/"7"</w:t>
              <w:br/>
            </w:r>
            <w:r>
              <w:rPr>
                <w:rFonts w:ascii="Consolas" w:hAnsi="Consolas"/>
                <w:color w:val="253858"/>
                <w:sz w:val="16"/>
              </w:rPr>
              <w:br/>
            </w:r>
            <w:r>
              <w:rPr>
                <w:rFonts w:ascii="Consolas" w:hAnsi="Consolas"/>
                <w:color w:val="253858"/>
                <w:sz w:val="16"/>
              </w:rPr>
              <w:t>PUT /fhir/MedicationRequest/mr-88</w:t>
              <w:br/>
            </w:r>
            <w:r>
              <w:rPr>
                <w:rFonts w:ascii="Consolas" w:hAnsi="Consolas"/>
                <w:color w:val="253858"/>
                <w:sz w:val="16"/>
              </w:rPr>
              <w:t>If-Match: W/"7"</w:t>
              <w:br/>
            </w:r>
            <w:r>
              <w:rPr>
                <w:rFonts w:ascii="Consolas" w:hAnsi="Consolas"/>
                <w:color w:val="253858"/>
                <w:sz w:val="16"/>
              </w:rPr>
              <w:br/>
            </w:r>
            <w:r>
              <w:rPr>
                <w:rFonts w:ascii="Consolas" w:hAnsi="Consolas"/>
                <w:color w:val="253858"/>
                <w:sz w:val="16"/>
              </w:rPr>
              <w:t>412 Precondition Failed   # another clinician changed version 7</w:t>
            </w:r>
          </w:p>
        </w:tc>
      </w:tr>
    </w:tbl>
    <w:p>
      <w:pPr>
        <w:spacing w:after="40"/>
      </w:pPr>
    </w:p>
    <w:p>
      <w:pPr>
        <w:spacing w:after="120" w:line="269" w:lineRule="auto"/>
      </w:pPr>
      <w:r>
        <w:rPr>
          <w:rFonts w:ascii="Aptos" w:hAnsi="Aptos"/>
          <w:color w:val="1F2937"/>
          <w:sz w:val="21"/>
        </w:rPr>
        <w:t>Optimistic concurrency prevents silent lost updates. For clinically significant orders, the server also validates state transitions, author identity, encounter context, terminology, and duplicate-order rules.</w:t>
      </w:r>
    </w:p>
    <w:p>
      <w:pPr>
        <w:pStyle w:val="Heading2"/>
        <w:keepNext/>
      </w:pPr>
      <w:r>
        <w:t>3.5 Clinical events</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eventType: ObservationFinalized</w:t>
              <w:br/>
            </w:r>
            <w:r>
              <w:rPr>
                <w:rFonts w:ascii="Consolas" w:hAnsi="Consolas"/>
                <w:color w:val="253858"/>
                <w:sz w:val="16"/>
              </w:rPr>
              <w:t>subject: Patient/p-123</w:t>
              <w:br/>
            </w:r>
            <w:r>
              <w:rPr>
                <w:rFonts w:ascii="Consolas" w:hAnsi="Consolas"/>
                <w:color w:val="253858"/>
                <w:sz w:val="16"/>
              </w:rPr>
              <w:t>resource: Observation/o-991</w:t>
              <w:br/>
            </w:r>
            <w:r>
              <w:rPr>
                <w:rFonts w:ascii="Consolas" w:hAnsi="Consolas"/>
                <w:color w:val="253858"/>
                <w:sz w:val="16"/>
              </w:rPr>
              <w:t>version: 4</w:t>
              <w:br/>
            </w:r>
            <w:r>
              <w:rPr>
                <w:rFonts w:ascii="Consolas" w:hAnsi="Consolas"/>
                <w:color w:val="253858"/>
                <w:sz w:val="16"/>
              </w:rPr>
              <w:t>occurredAt: 2026-07-31T04:20:00Z</w:t>
              <w:br/>
            </w:r>
            <w:r>
              <w:rPr>
                <w:rFonts w:ascii="Consolas" w:hAnsi="Consolas"/>
                <w:color w:val="253858"/>
                <w:sz w:val="16"/>
              </w:rPr>
              <w:t>classification: PHI</w:t>
              <w:br/>
            </w:r>
            <w:r>
              <w:rPr>
                <w:rFonts w:ascii="Consolas" w:hAnsi="Consolas"/>
                <w:color w:val="253858"/>
                <w:sz w:val="16"/>
              </w:rPr>
              <w:t>producer: laboratory-service</w:t>
              <w:br/>
            </w:r>
            <w:r>
              <w:rPr>
                <w:rFonts w:ascii="Consolas" w:hAnsi="Consolas"/>
                <w:color w:val="253858"/>
                <w:sz w:val="16"/>
              </w:rPr>
              <w:t>correlationId: encounter-e-77</w:t>
            </w:r>
          </w:p>
        </w:tc>
      </w:tr>
    </w:tbl>
    <w:p>
      <w:pPr>
        <w:spacing w:after="40"/>
      </w:pPr>
    </w:p>
    <w:p>
      <w:pPr>
        <w:spacing w:after="120" w:line="269" w:lineRule="auto"/>
      </w:pPr>
      <w:r>
        <w:rPr>
          <w:rFonts w:ascii="Aptos" w:hAnsi="Aptos"/>
          <w:color w:val="1F2937"/>
          <w:sz w:val="21"/>
        </w:rPr>
        <w:t>Events should carry only the minimum necessary information. Consumers retrieve authoritative clinical content under their own authorization context when possible. Retention, replay, dead-letter handling, and lower-environment usage must respect clinical-data protections.</w:t>
      </w:r>
    </w:p>
    <w:p>
      <w:pPr>
        <w:pStyle w:val="Heading2"/>
        <w:keepNext/>
      </w:pPr>
      <w:r>
        <w:t>3.6 Medical-device telemetry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952"/>
            <w:vAlign w:val="center"/>
            <w:tcMar>
              <w:top w:w="110" w:type="dxa"/>
              <w:bottom w:w="110" w:type="dxa"/>
              <w:start w:w="120" w:type="dxa"/>
              <w:end w:w="120" w:type="dxa"/>
            </w:tcMar>
            <w:shd w:fill="17365D"/>
          </w:tcPr>
          <w:p>
            <w:pPr>
              <w:jc w:val="center"/>
            </w:pPr>
            <w:r/>
            <w:r>
              <w:rPr>
                <w:rFonts w:ascii="Aptos" w:hAnsi="Aptos"/>
                <w:b/>
                <w:color w:val="FFFFFF"/>
                <w:sz w:val="18"/>
              </w:rPr>
              <w:t>Requirement</w:t>
            </w:r>
          </w:p>
        </w:tc>
        <w:tc>
          <w:tcPr>
            <w:tcW w:type="dxa" w:w="6624"/>
            <w:vAlign w:val="center"/>
            <w:tcMar>
              <w:top w:w="110" w:type="dxa"/>
              <w:bottom w:w="110" w:type="dxa"/>
              <w:start w:w="120" w:type="dxa"/>
              <w:end w:w="120" w:type="dxa"/>
            </w:tcMar>
            <w:shd w:fill="17365D"/>
          </w:tcPr>
          <w:p>
            <w:pPr>
              <w:jc w:val="center"/>
            </w:pPr>
            <w:r/>
            <w:r>
              <w:rPr>
                <w:rFonts w:ascii="Aptos" w:hAnsi="Aptos"/>
                <w:b/>
                <w:color w:val="FFFFFF"/>
                <w:sz w:val="18"/>
              </w:rPr>
              <w:t>Design</w:t>
            </w:r>
          </w:p>
        </w:tc>
      </w:tr>
      <w:tr>
        <w:tc>
          <w:tcPr>
            <w:tcW w:type="dxa" w:w="2952"/>
            <w:vAlign w:val="center"/>
            <w:tcMar>
              <w:top w:w="110" w:type="dxa"/>
              <w:bottom w:w="110" w:type="dxa"/>
              <w:start w:w="120" w:type="dxa"/>
              <w:end w:w="120" w:type="dxa"/>
            </w:tcMar>
          </w:tcPr>
          <w:p>
            <w:pPr>
              <w:jc w:val="left"/>
            </w:pPr>
            <w:r/>
            <w:r>
              <w:rPr>
                <w:rFonts w:ascii="Aptos" w:hAnsi="Aptos"/>
                <w:b w:val="0"/>
                <w:color w:val="1F2937"/>
                <w:sz w:val="18"/>
              </w:rPr>
              <w:t>Frequent readings</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Streaming gateway with device authentication</w:t>
            </w:r>
          </w:p>
        </w:tc>
      </w:tr>
      <w:tr>
        <w:tc>
          <w:tcPr>
            <w:tcW w:type="dxa" w:w="2952"/>
            <w:vAlign w:val="center"/>
            <w:tcMar>
              <w:top w:w="110" w:type="dxa"/>
              <w:bottom w:w="110" w:type="dxa"/>
              <w:start w:w="120" w:type="dxa"/>
              <w:end w:w="120" w:type="dxa"/>
            </w:tcMar>
          </w:tcPr>
          <w:p>
            <w:pPr>
              <w:jc w:val="left"/>
            </w:pPr>
            <w:r/>
            <w:r>
              <w:rPr>
                <w:rFonts w:ascii="Aptos" w:hAnsi="Aptos"/>
                <w:b w:val="0"/>
                <w:color w:val="1F2937"/>
                <w:sz w:val="18"/>
              </w:rPr>
              <w:t>Temporary disconnection</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Local buffer and bounded replay</w:t>
            </w:r>
          </w:p>
        </w:tc>
      </w:tr>
      <w:tr>
        <w:tc>
          <w:tcPr>
            <w:tcW w:type="dxa" w:w="2952"/>
            <w:vAlign w:val="center"/>
            <w:tcMar>
              <w:top w:w="110" w:type="dxa"/>
              <w:bottom w:w="110" w:type="dxa"/>
              <w:start w:w="120" w:type="dxa"/>
              <w:end w:w="120" w:type="dxa"/>
            </w:tcMar>
          </w:tcPr>
          <w:p>
            <w:pPr>
              <w:jc w:val="center"/>
            </w:pPr>
            <w:r/>
            <w:r>
              <w:rPr>
                <w:rFonts w:ascii="Aptos" w:hAnsi="Aptos"/>
                <w:b w:val="0"/>
                <w:color w:val="1F2937"/>
                <w:sz w:val="18"/>
              </w:rPr>
              <w:t>Alarm path</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Separate prioritized channel and escalation policy</w:t>
            </w:r>
          </w:p>
        </w:tc>
      </w:tr>
      <w:tr>
        <w:tc>
          <w:tcPr>
            <w:tcW w:type="dxa" w:w="2952"/>
            <w:vAlign w:val="center"/>
            <w:tcMar>
              <w:top w:w="110" w:type="dxa"/>
              <w:bottom w:w="110" w:type="dxa"/>
              <w:start w:w="120" w:type="dxa"/>
              <w:end w:w="120" w:type="dxa"/>
            </w:tcMar>
          </w:tcPr>
          <w:p>
            <w:pPr>
              <w:jc w:val="left"/>
            </w:pPr>
            <w:r/>
            <w:r>
              <w:rPr>
                <w:rFonts w:ascii="Aptos" w:hAnsi="Aptos"/>
                <w:b w:val="0"/>
                <w:color w:val="1F2937"/>
                <w:sz w:val="18"/>
              </w:rPr>
              <w:t>Out-of-order readings</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Device sequence and measurement timestamp</w:t>
            </w:r>
          </w:p>
        </w:tc>
      </w:tr>
      <w:tr>
        <w:tc>
          <w:tcPr>
            <w:tcW w:type="dxa" w:w="2952"/>
            <w:vAlign w:val="center"/>
            <w:tcMar>
              <w:top w:w="110" w:type="dxa"/>
              <w:bottom w:w="110" w:type="dxa"/>
              <w:start w:w="120" w:type="dxa"/>
              <w:end w:w="120" w:type="dxa"/>
            </w:tcMar>
          </w:tcPr>
          <w:p>
            <w:pPr>
              <w:jc w:val="left"/>
            </w:pPr>
            <w:r/>
            <w:r>
              <w:rPr>
                <w:rFonts w:ascii="Aptos" w:hAnsi="Aptos"/>
                <w:b w:val="0"/>
                <w:color w:val="1F2937"/>
                <w:sz w:val="18"/>
              </w:rPr>
              <w:t>Patient association</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Explicit validated assignment with audit</w:t>
            </w:r>
          </w:p>
        </w:tc>
      </w:tr>
      <w:tr>
        <w:tc>
          <w:tcPr>
            <w:tcW w:type="dxa" w:w="2952"/>
            <w:vAlign w:val="center"/>
            <w:tcMar>
              <w:top w:w="110" w:type="dxa"/>
              <w:bottom w:w="110" w:type="dxa"/>
              <w:start w:w="120" w:type="dxa"/>
              <w:end w:w="120" w:type="dxa"/>
            </w:tcMar>
          </w:tcPr>
          <w:p>
            <w:pPr>
              <w:jc w:val="center"/>
            </w:pPr>
            <w:r/>
            <w:r>
              <w:rPr>
                <w:rFonts w:ascii="Aptos" w:hAnsi="Aptos"/>
                <w:b w:val="0"/>
                <w:color w:val="1F2937"/>
                <w:sz w:val="18"/>
              </w:rPr>
              <w:t>Clinical storage</w:t>
            </w:r>
          </w:p>
        </w:tc>
        <w:tc>
          <w:tcPr>
            <w:tcW w:type="dxa" w:w="6624"/>
            <w:vAlign w:val="center"/>
            <w:tcMar>
              <w:top w:w="110" w:type="dxa"/>
              <w:bottom w:w="110" w:type="dxa"/>
              <w:start w:w="120" w:type="dxa"/>
              <w:end w:w="120" w:type="dxa"/>
            </w:tcMar>
          </w:tcPr>
          <w:p>
            <w:pPr>
              <w:jc w:val="left"/>
            </w:pPr>
            <w:r/>
            <w:r>
              <w:rPr>
                <w:rFonts w:ascii="Aptos" w:hAnsi="Aptos"/>
                <w:b w:val="0"/>
                <w:color w:val="1F2937"/>
                <w:sz w:val="18"/>
              </w:rPr>
              <w:t>Validated observations, not raw packet assumptions</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Safety boundary</w:t>
            </w:r>
          </w:p>
          <w:p>
            <w:pPr>
              <w:spacing w:after="0" w:line="259" w:lineRule="auto"/>
            </w:pPr>
            <w:r>
              <w:rPr>
                <w:rFonts w:ascii="Aptos" w:hAnsi="Aptos"/>
                <w:color w:val="1F2937"/>
                <w:sz w:val="19"/>
              </w:rPr>
              <w:t>A telemetry transport acknowledgement does not mean a clinician saw an alarm. Delivery, processing, clinical acknowledgement, and escalation are separate states and must be observable.</w:t>
            </w:r>
          </w:p>
        </w:tc>
      </w:tr>
    </w:tbl>
    <w:p>
      <w:pPr>
        <w:spacing w:after="40"/>
      </w:pPr>
    </w:p>
    <w:p>
      <w:pPr>
        <w:pStyle w:val="Heading2"/>
        <w:keepNext/>
      </w:pPr>
      <w:r>
        <w:t>3.7 Bulk population export</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/bulk-exports</w:t>
              <w:br/>
            </w:r>
            <w:r>
              <w:rPr>
                <w:rFonts w:ascii="Consolas" w:hAnsi="Consolas"/>
                <w:color w:val="253858"/>
                <w:sz w:val="16"/>
              </w:rPr>
              <w:t>{"cohortId":"cohort-22","resourceTypes":["Patient","Observation"]}</w:t>
              <w:br/>
            </w:r>
            <w:r>
              <w:rPr>
                <w:rFonts w:ascii="Consolas" w:hAnsi="Consolas"/>
                <w:color w:val="253858"/>
                <w:sz w:val="16"/>
              </w:rPr>
              <w:br/>
            </w:r>
            <w:r>
              <w:rPr>
                <w:rFonts w:ascii="Consolas" w:hAnsi="Consolas"/>
                <w:color w:val="253858"/>
                <w:sz w:val="16"/>
              </w:rPr>
              <w:t>202 Accepted</w:t>
              <w:br/>
            </w:r>
            <w:r>
              <w:rPr>
                <w:rFonts w:ascii="Consolas" w:hAnsi="Consolas"/>
                <w:color w:val="253858"/>
                <w:sz w:val="16"/>
              </w:rPr>
              <w:t>Location: /bulk-exports/job-991</w:t>
              <w:br/>
            </w:r>
            <w:r>
              <w:rPr>
                <w:rFonts w:ascii="Consolas" w:hAnsi="Consolas"/>
                <w:color w:val="253858"/>
                <w:sz w:val="16"/>
              </w:rPr>
              <w:br/>
            </w:r>
            <w:r>
              <w:rPr>
                <w:rFonts w:ascii="Consolas" w:hAnsi="Consolas"/>
                <w:color w:val="253858"/>
                <w:sz w:val="16"/>
              </w:rPr>
              <w:t>GET /bulk-exports/job-991</w:t>
              <w:br/>
            </w:r>
            <w:r>
              <w:rPr>
                <w:rFonts w:ascii="Consolas" w:hAnsi="Consolas"/>
                <w:color w:val="253858"/>
                <w:sz w:val="16"/>
              </w:rPr>
              <w:t>{"status":"COMPLETED","files":[{"url":"signed-object-url"}]}</w:t>
            </w:r>
          </w:p>
        </w:tc>
      </w:tr>
    </w:tbl>
    <w:p>
      <w:pPr>
        <w:spacing w:after="40"/>
      </w:pPr>
    </w:p>
    <w:p>
      <w:pPr>
        <w:spacing w:after="120" w:line="269" w:lineRule="auto"/>
      </w:pPr>
      <w:r>
        <w:rPr>
          <w:rFonts w:ascii="Aptos" w:hAnsi="Aptos"/>
          <w:color w:val="1F2937"/>
          <w:sz w:val="21"/>
        </w:rPr>
        <w:t>The export API authorizes the cohort and purpose, records audit evidence, creates immutable output manifests, uses expiring signed URLs, and applies retention and revocation policies. It does not stream millions of resources through a normal paginated endpoint.</w:t>
      </w:r>
    </w:p>
    <w:p>
      <w:pPr>
        <w:pStyle w:val="Heading2"/>
        <w:keepNext/>
      </w:pPr>
      <w:r>
        <w:t>3.8 Consistency choices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tcMar>
              <w:top w:w="110" w:type="dxa"/>
              <w:bottom w:w="110" w:type="dxa"/>
              <w:start w:w="120" w:type="dxa"/>
              <w:end w:w="120" w:type="dxa"/>
            </w:tcMar>
            <w:shd w:fill="17365D"/>
          </w:tcPr>
          <w:p>
            <w:pPr>
              <w:jc w:val="center"/>
            </w:pPr>
            <w:r/>
            <w:r>
              <w:rPr>
                <w:rFonts w:ascii="Aptos" w:hAnsi="Aptos"/>
                <w:b/>
                <w:color w:val="FFFFFF"/>
                <w:sz w:val="18"/>
              </w:rPr>
              <w:t>Data</w:t>
            </w:r>
          </w:p>
        </w:tc>
        <w:tc>
          <w:tcPr>
            <w:tcW w:type="dxa" w:w="3096"/>
            <w:vAlign w:val="center"/>
            <w:tcMar>
              <w:top w:w="110" w:type="dxa"/>
              <w:bottom w:w="110" w:type="dxa"/>
              <w:start w:w="120" w:type="dxa"/>
              <w:end w:w="120" w:type="dxa"/>
            </w:tcMar>
            <w:shd w:fill="17365D"/>
          </w:tcPr>
          <w:p>
            <w:pPr>
              <w:jc w:val="center"/>
            </w:pPr>
            <w:r/>
            <w:r>
              <w:rPr>
                <w:rFonts w:ascii="Aptos" w:hAnsi="Aptos"/>
                <w:b/>
                <w:color w:val="FFFFFF"/>
                <w:sz w:val="18"/>
              </w:rPr>
              <w:t>Consistency target</w:t>
            </w:r>
          </w:p>
        </w:tc>
        <w:tc>
          <w:tcPr>
            <w:tcW w:type="dxa" w:w="3600"/>
            <w:vAlign w:val="center"/>
            <w:tcMar>
              <w:top w:w="110" w:type="dxa"/>
              <w:bottom w:w="110" w:type="dxa"/>
              <w:start w:w="120" w:type="dxa"/>
              <w:end w:w="120" w:type="dxa"/>
            </w:tcMar>
            <w:shd w:fill="17365D"/>
          </w:tcPr>
          <w:p>
            <w:pPr>
              <w:jc w:val="center"/>
            </w:pPr>
            <w:r/>
            <w:r>
              <w:rPr>
                <w:rFonts w:ascii="Aptos" w:hAnsi="Aptos"/>
                <w:b/>
                <w:color w:val="FFFFFF"/>
                <w:sz w:val="18"/>
              </w:rPr>
              <w:t>Rationale</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Medication/allergy safety view</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Authoritative or explicitly fresh</w:t>
            </w:r>
          </w:p>
        </w:tc>
        <w:tc>
          <w:tcPr>
            <w:tcW w:type="dxa" w:w="3600"/>
            <w:vAlign w:val="center"/>
            <w:tcMar>
              <w:top w:w="110" w:type="dxa"/>
              <w:bottom w:w="110" w:type="dxa"/>
              <w:start w:w="120" w:type="dxa"/>
              <w:end w:w="120" w:type="dxa"/>
            </w:tcMar>
          </w:tcPr>
          <w:p>
            <w:pPr>
              <w:jc w:val="left"/>
            </w:pPr>
            <w:r/>
            <w:r>
              <w:rPr>
                <w:rFonts w:ascii="Aptos" w:hAnsi="Aptos"/>
                <w:b w:val="0"/>
                <w:color w:val="1F2937"/>
                <w:sz w:val="18"/>
              </w:rPr>
              <w:t>Clinical harm from stale state</w:t>
            </w:r>
          </w:p>
        </w:tc>
      </w:tr>
      <w:tr>
        <w:tc>
          <w:tcPr>
            <w:tcW w:type="dxa" w:w="2880"/>
            <w:vAlign w:val="center"/>
            <w:tcMar>
              <w:top w:w="110" w:type="dxa"/>
              <w:bottom w:w="110" w:type="dxa"/>
              <w:start w:w="120" w:type="dxa"/>
              <w:end w:w="120" w:type="dxa"/>
            </w:tcMar>
          </w:tcPr>
          <w:p>
            <w:pPr>
              <w:jc w:val="center"/>
            </w:pPr>
            <w:r/>
            <w:r>
              <w:rPr>
                <w:rFonts w:ascii="Aptos" w:hAnsi="Aptos"/>
                <w:b w:val="0"/>
                <w:color w:val="1F2937"/>
                <w:sz w:val="18"/>
              </w:rPr>
              <w:t>Search index</w:t>
            </w:r>
          </w:p>
        </w:tc>
        <w:tc>
          <w:tcPr>
            <w:tcW w:type="dxa" w:w="3096"/>
            <w:vAlign w:val="center"/>
            <w:tcMar>
              <w:top w:w="110" w:type="dxa"/>
              <w:bottom w:w="110" w:type="dxa"/>
              <w:start w:w="120" w:type="dxa"/>
              <w:end w:w="120" w:type="dxa"/>
            </w:tcMar>
          </w:tcPr>
          <w:p>
            <w:pPr>
              <w:jc w:val="left"/>
            </w:pPr>
            <w:r/>
            <w:r>
              <w:rPr>
                <w:rFonts w:ascii="Aptos" w:hAnsi="Aptos"/>
                <w:b w:val="0"/>
                <w:color w:val="1F2937"/>
                <w:sz w:val="18"/>
              </w:rPr>
              <w:t>Eventual with freshness indicator</w:t>
            </w:r>
          </w:p>
        </w:tc>
        <w:tc>
          <w:tcPr>
            <w:tcW w:type="dxa" w:w="3600"/>
            <w:vAlign w:val="center"/>
            <w:tcMar>
              <w:top w:w="110" w:type="dxa"/>
              <w:bottom w:w="110" w:type="dxa"/>
              <w:start w:w="120" w:type="dxa"/>
              <w:end w:w="120" w:type="dxa"/>
            </w:tcMar>
          </w:tcPr>
          <w:p>
            <w:pPr>
              <w:jc w:val="left"/>
            </w:pPr>
            <w:r/>
            <w:r>
              <w:rPr>
                <w:rFonts w:ascii="Aptos" w:hAnsi="Aptos"/>
                <w:b w:val="0"/>
                <w:color w:val="1F2937"/>
                <w:sz w:val="18"/>
              </w:rPr>
              <w:t>Scale and search capability</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Analytics dashboard</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Eventual</w:t>
            </w:r>
          </w:p>
        </w:tc>
        <w:tc>
          <w:tcPr>
            <w:tcW w:type="dxa" w:w="3600"/>
            <w:vAlign w:val="center"/>
            <w:tcMar>
              <w:top w:w="110" w:type="dxa"/>
              <w:bottom w:w="110" w:type="dxa"/>
              <w:start w:w="120" w:type="dxa"/>
              <w:end w:w="120" w:type="dxa"/>
            </w:tcMar>
          </w:tcPr>
          <w:p>
            <w:pPr>
              <w:jc w:val="left"/>
            </w:pPr>
            <w:r/>
            <w:r>
              <w:rPr>
                <w:rFonts w:ascii="Aptos" w:hAnsi="Aptos"/>
                <w:b w:val="0"/>
                <w:color w:val="1F2937"/>
                <w:sz w:val="18"/>
              </w:rPr>
              <w:t>No immediate clinical action</w:t>
            </w:r>
          </w:p>
        </w:tc>
      </w:tr>
      <w:tr>
        <w:tc>
          <w:tcPr>
            <w:tcW w:type="dxa" w:w="2880"/>
            <w:vAlign w:val="center"/>
            <w:tcMar>
              <w:top w:w="110" w:type="dxa"/>
              <w:bottom w:w="110" w:type="dxa"/>
              <w:start w:w="120" w:type="dxa"/>
              <w:end w:w="120" w:type="dxa"/>
            </w:tcMar>
          </w:tcPr>
          <w:p>
            <w:pPr>
              <w:jc w:val="center"/>
            </w:pPr>
            <w:r/>
            <w:r>
              <w:rPr>
                <w:rFonts w:ascii="Aptos" w:hAnsi="Aptos"/>
                <w:b w:val="0"/>
                <w:color w:val="1F2937"/>
                <w:sz w:val="18"/>
              </w:rPr>
              <w:t>Audit record</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Durable append</w:t>
            </w:r>
          </w:p>
        </w:tc>
        <w:tc>
          <w:tcPr>
            <w:tcW w:type="dxa" w:w="3600"/>
            <w:vAlign w:val="center"/>
            <w:tcMar>
              <w:top w:w="110" w:type="dxa"/>
              <w:bottom w:w="110" w:type="dxa"/>
              <w:start w:w="120" w:type="dxa"/>
              <w:end w:w="120" w:type="dxa"/>
            </w:tcMar>
          </w:tcPr>
          <w:p>
            <w:pPr>
              <w:jc w:val="left"/>
            </w:pPr>
            <w:r/>
            <w:r>
              <w:rPr>
                <w:rFonts w:ascii="Aptos" w:hAnsi="Aptos"/>
                <w:b w:val="0"/>
                <w:color w:val="1F2937"/>
                <w:sz w:val="18"/>
              </w:rPr>
              <w:t>Evidence and investigation</w:t>
            </w:r>
          </w:p>
        </w:tc>
      </w:tr>
      <w:tr>
        <w:tc>
          <w:tcPr>
            <w:tcW w:type="dxa" w:w="2880"/>
            <w:vAlign w:val="center"/>
            <w:tcMar>
              <w:top w:w="110" w:type="dxa"/>
              <w:bottom w:w="110" w:type="dxa"/>
              <w:start w:w="120" w:type="dxa"/>
              <w:end w:w="120" w:type="dxa"/>
            </w:tcMar>
          </w:tcPr>
          <w:p>
            <w:pPr>
              <w:jc w:val="left"/>
            </w:pPr>
            <w:r/>
            <w:r>
              <w:rPr>
                <w:rFonts w:ascii="Aptos" w:hAnsi="Aptos"/>
                <w:b w:val="0"/>
                <w:color w:val="1F2937"/>
                <w:sz w:val="18"/>
              </w:rPr>
              <w:t>Bed/queue operational view</w:t>
            </w:r>
          </w:p>
        </w:tc>
        <w:tc>
          <w:tcPr>
            <w:tcW w:type="dxa" w:w="3096"/>
            <w:vAlign w:val="center"/>
            <w:tcMar>
              <w:top w:w="110" w:type="dxa"/>
              <w:bottom w:w="110" w:type="dxa"/>
              <w:start w:w="120" w:type="dxa"/>
              <w:end w:w="120" w:type="dxa"/>
            </w:tcMar>
          </w:tcPr>
          <w:p>
            <w:pPr>
              <w:jc w:val="center"/>
            </w:pPr>
            <w:r/>
            <w:r>
              <w:rPr>
                <w:rFonts w:ascii="Aptos" w:hAnsi="Aptos"/>
                <w:b w:val="0"/>
                <w:color w:val="1F2937"/>
                <w:sz w:val="18"/>
              </w:rPr>
              <w:t>Near real time</w:t>
            </w:r>
          </w:p>
        </w:tc>
        <w:tc>
          <w:tcPr>
            <w:tcW w:type="dxa" w:w="3600"/>
            <w:vAlign w:val="center"/>
            <w:tcMar>
              <w:top w:w="110" w:type="dxa"/>
              <w:bottom w:w="110" w:type="dxa"/>
              <w:start w:w="120" w:type="dxa"/>
              <w:end w:w="120" w:type="dxa"/>
            </w:tcMar>
          </w:tcPr>
          <w:p>
            <w:pPr>
              <w:jc w:val="left"/>
            </w:pPr>
            <w:r/>
            <w:r>
              <w:rPr>
                <w:rFonts w:ascii="Aptos" w:hAnsi="Aptos"/>
                <w:b w:val="0"/>
                <w:color w:val="1F2937"/>
                <w:sz w:val="18"/>
              </w:rPr>
              <w:t>Operational coordination</w:t>
            </w:r>
          </w:p>
        </w:tc>
      </w:tr>
    </w:tbl>
    <w:p>
      <w:pPr>
        <w:spacing w:after="40"/>
      </w:pPr>
    </w:p>
    <w:p>
      <w:pPr>
        <w:pStyle w:val="Heading1"/>
        <w:keepNext/>
      </w:pPr>
      <w:r>
        <w:t>4. Case Study C: Financial Payments Platform</w:t>
      </w:r>
    </w:p>
    <w:p>
      <w:pPr>
        <w:pStyle w:val="Heading2"/>
        <w:keepNext/>
      </w:pPr>
      <w:r>
        <w:t>4.1 Architectural priorities</w:t>
      </w:r>
    </w:p>
    <w:p>
      <w:pPr>
        <w:spacing w:after="120" w:line="269" w:lineRule="auto"/>
      </w:pPr>
      <w:r>
        <w:rPr>
          <w:rFonts w:ascii="Aptos" w:hAnsi="Aptos"/>
          <w:color w:val="1F2937"/>
          <w:sz w:val="21"/>
        </w:rPr>
        <w:t>Financial APIs distinguish request receipt, authorization, ledger posting, external clearing, settlement, rejection, reversal, and reconciliation. Correctness and evidence matter more than hiding these states behind a superficially simple success response.</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Channels / Partners</w:t>
              <w:br/>
            </w:r>
            <w:r>
              <w:rPr>
                <w:rFonts w:ascii="Consolas" w:hAnsi="Consolas"/>
                <w:color w:val="253858"/>
                <w:sz w:val="16"/>
              </w:rPr>
              <w:t xml:space="preserve">      |</w:t>
              <w:br/>
            </w:r>
            <w:r>
              <w:rPr>
                <w:rFonts w:ascii="Consolas" w:hAnsi="Consolas"/>
                <w:color w:val="253858"/>
                <w:sz w:val="16"/>
              </w:rPr>
              <w:t xml:space="preserve"> API Gateway: strong client auth, replay controls, rate limits</w:t>
              <w:br/>
            </w:r>
            <w:r>
              <w:rPr>
                <w:rFonts w:ascii="Consolas" w:hAnsi="Consolas"/>
                <w:color w:val="253858"/>
                <w:sz w:val="16"/>
              </w:rPr>
              <w:t xml:space="preserve">      |</w:t>
              <w:br/>
            </w:r>
            <w:r>
              <w:rPr>
                <w:rFonts w:ascii="Consolas" w:hAnsi="Consolas"/>
                <w:color w:val="253858"/>
                <w:sz w:val="16"/>
              </w:rPr>
              <w:t xml:space="preserve"> Transfer REST API ---- Query/read APIs</w:t>
              <w:br/>
            </w:r>
            <w:r>
              <w:rPr>
                <w:rFonts w:ascii="Consolas" w:hAnsi="Consolas"/>
                <w:color w:val="253858"/>
                <w:sz w:val="16"/>
              </w:rPr>
              <w:t xml:space="preserve">      |</w:t>
              <w:br/>
            </w:r>
            <w:r>
              <w:rPr>
                <w:rFonts w:ascii="Consolas" w:hAnsi="Consolas"/>
                <w:color w:val="253858"/>
                <w:sz w:val="16"/>
              </w:rPr>
              <w:t xml:space="preserve"> Transfer Orchestrator ---- gRPC ---- Risk / Limits / Account services</w:t>
              <w:br/>
            </w:r>
            <w:r>
              <w:rPr>
                <w:rFonts w:ascii="Consolas" w:hAnsi="Consolas"/>
                <w:color w:val="253858"/>
                <w:sz w:val="16"/>
              </w:rPr>
              <w:t xml:space="preserve">      |</w:t>
              <w:br/>
            </w:r>
            <w:r>
              <w:rPr>
                <w:rFonts w:ascii="Consolas" w:hAnsi="Consolas"/>
                <w:color w:val="253858"/>
                <w:sz w:val="16"/>
              </w:rPr>
              <w:t xml:space="preserve"> Ledger database + transactional outbox</w:t>
              <w:br/>
            </w:r>
            <w:r>
              <w:rPr>
                <w:rFonts w:ascii="Consolas" w:hAnsi="Consolas"/>
                <w:color w:val="253858"/>
                <w:sz w:val="16"/>
              </w:rPr>
              <w:t xml:space="preserve">      |</w:t>
              <w:br/>
            </w:r>
            <w:r>
              <w:rPr>
                <w:rFonts w:ascii="Consolas" w:hAnsi="Consolas"/>
                <w:color w:val="253858"/>
                <w:sz w:val="16"/>
              </w:rPr>
              <w:t xml:space="preserve"> Event stream: TransferAccepted, FundsReserved, LedgerPosted,</w:t>
              <w:br/>
            </w:r>
            <w:r>
              <w:rPr>
                <w:rFonts w:ascii="Consolas" w:hAnsi="Consolas"/>
                <w:color w:val="253858"/>
                <w:sz w:val="16"/>
              </w:rPr>
              <w:t xml:space="preserve">               SettlementSubmitted, SettlementCompleted, TransferReversed</w:t>
              <w:br/>
            </w:r>
            <w:r>
              <w:rPr>
                <w:rFonts w:ascii="Consolas" w:hAnsi="Consolas"/>
                <w:color w:val="253858"/>
                <w:sz w:val="16"/>
              </w:rPr>
              <w:t xml:space="preserve">      |</w:t>
              <w:br/>
            </w:r>
            <w:r>
              <w:rPr>
                <w:rFonts w:ascii="Consolas" w:hAnsi="Consolas"/>
                <w:color w:val="253858"/>
                <w:sz w:val="16"/>
              </w:rPr>
              <w:t xml:space="preserve"> Banking rails / processors &lt;---- signed webhooks and reconciliation files</w:t>
            </w:r>
          </w:p>
        </w:tc>
      </w:tr>
    </w:tbl>
    <w:p>
      <w:pPr>
        <w:spacing w:after="40"/>
      </w:pPr>
    </w:p>
    <w:p>
      <w:pPr>
        <w:pStyle w:val="Heading2"/>
        <w:keepNext/>
      </w:pPr>
      <w:r>
        <w:t>4.2 Create transfer</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/transfers</w:t>
              <w:br/>
            </w:r>
            <w:r>
              <w:rPr>
                <w:rFonts w:ascii="Consolas" w:hAnsi="Consolas"/>
                <w:color w:val="253858"/>
                <w:sz w:val="16"/>
              </w:rPr>
              <w:t>Idempotency-Key: client-77:20260731:000991</w:t>
              <w:br/>
            </w:r>
            <w:r>
              <w:rPr>
                <w:rFonts w:ascii="Consolas" w:hAnsi="Consolas"/>
                <w:color w:val="253858"/>
                <w:sz w:val="16"/>
              </w:rPr>
              <w:br/>
            </w:r>
            <w:r>
              <w:rPr>
                <w:rFonts w:ascii="Consolas" w:hAnsi="Consolas"/>
                <w:color w:val="253858"/>
                <w:sz w:val="16"/>
              </w:rPr>
              <w:t>{</w:t>
              <w:br/>
            </w:r>
            <w:r>
              <w:rPr>
                <w:rFonts w:ascii="Consolas" w:hAnsi="Consolas"/>
                <w:color w:val="253858"/>
                <w:sz w:val="16"/>
              </w:rPr>
              <w:t xml:space="preserve">  "sourceAccountId": "a-100",</w:t>
              <w:br/>
            </w:r>
            <w:r>
              <w:rPr>
                <w:rFonts w:ascii="Consolas" w:hAnsi="Consolas"/>
                <w:color w:val="253858"/>
                <w:sz w:val="16"/>
              </w:rPr>
              <w:t xml:space="preserve">  "destination": {"type":"BANK_ACCOUNT","token":"tok-92"},</w:t>
              <w:br/>
            </w:r>
            <w:r>
              <w:rPr>
                <w:rFonts w:ascii="Consolas" w:hAnsi="Consolas"/>
                <w:color w:val="253858"/>
                <w:sz w:val="16"/>
              </w:rPr>
              <w:t xml:space="preserve">  "amount": {"currency":"INR","value":"25000.00"},</w:t>
              <w:br/>
            </w:r>
            <w:r>
              <w:rPr>
                <w:rFonts w:ascii="Consolas" w:hAnsi="Consolas"/>
                <w:color w:val="253858"/>
                <w:sz w:val="16"/>
              </w:rPr>
              <w:t xml:space="preserve">  "purpose": "INVOICE_PAYMENT"</w:t>
              <w:br/>
            </w:r>
            <w:r>
              <w:rPr>
                <w:rFonts w:ascii="Consolas" w:hAnsi="Consolas"/>
                <w:color w:val="253858"/>
                <w:sz w:val="16"/>
              </w:rPr>
              <w:t>}</w:t>
              <w:br/>
            </w:r>
            <w:r>
              <w:rPr>
                <w:rFonts w:ascii="Consolas" w:hAnsi="Consolas"/>
                <w:color w:val="253858"/>
                <w:sz w:val="16"/>
              </w:rPr>
              <w:br/>
            </w:r>
            <w:r>
              <w:rPr>
                <w:rFonts w:ascii="Consolas" w:hAnsi="Consolas"/>
                <w:color w:val="253858"/>
                <w:sz w:val="16"/>
              </w:rPr>
              <w:t>202 Accepted</w:t>
              <w:br/>
            </w:r>
            <w:r>
              <w:rPr>
                <w:rFonts w:ascii="Consolas" w:hAnsi="Consolas"/>
                <w:color w:val="253858"/>
                <w:sz w:val="16"/>
              </w:rPr>
              <w:t>Location: /transfers/t-501</w:t>
              <w:br/>
            </w:r>
            <w:r>
              <w:rPr>
                <w:rFonts w:ascii="Consolas" w:hAnsi="Consolas"/>
                <w:color w:val="253858"/>
                <w:sz w:val="16"/>
              </w:rPr>
              <w:t>{"id":"t-501","status":"PROCESSING"}</w:t>
            </w:r>
          </w:p>
        </w:tc>
      </w:tr>
    </w:tbl>
    <w:p>
      <w:pPr>
        <w:spacing w:after="40"/>
      </w:pPr>
    </w:p>
    <w:p>
      <w:pPr>
        <w:pStyle w:val="Heading3"/>
        <w:keepNext/>
      </w:pPr>
      <w:r>
        <w:t>Required controls</w:t>
      </w:r>
    </w:p>
    <w:p>
      <w:pPr>
        <w:pStyle w:val="ListBullet"/>
        <w:spacing w:after="60"/>
      </w:pPr>
      <w:r>
        <w:rPr>
          <w:rFonts w:ascii="Aptos" w:hAnsi="Aptos"/>
          <w:color w:val="1F2937"/>
          <w:sz w:val="20"/>
        </w:rPr>
        <w:t>Bind idempotency to authenticated client, operation, and request fingerprint.</w:t>
      </w:r>
    </w:p>
    <w:p>
      <w:pPr>
        <w:pStyle w:val="ListBullet"/>
        <w:spacing w:after="60"/>
      </w:pPr>
      <w:r>
        <w:rPr>
          <w:rFonts w:ascii="Aptos" w:hAnsi="Aptos"/>
          <w:color w:val="1F2937"/>
          <w:sz w:val="20"/>
        </w:rPr>
        <w:t>Use decimal or integer minor units; never binary floating point for money.</w:t>
      </w:r>
    </w:p>
    <w:p>
      <w:pPr>
        <w:pStyle w:val="ListBullet"/>
        <w:spacing w:after="60"/>
      </w:pPr>
      <w:r>
        <w:rPr>
          <w:rFonts w:ascii="Aptos" w:hAnsi="Aptos"/>
          <w:color w:val="1F2937"/>
          <w:sz w:val="20"/>
        </w:rPr>
        <w:t>Authenticate the client strongly and authorize source account, amount, destination, and purpose.</w:t>
      </w:r>
    </w:p>
    <w:p>
      <w:pPr>
        <w:pStyle w:val="ListBullet"/>
        <w:spacing w:after="60"/>
      </w:pPr>
      <w:r>
        <w:rPr>
          <w:rFonts w:ascii="Aptos" w:hAnsi="Aptos"/>
          <w:color w:val="1F2937"/>
          <w:sz w:val="20"/>
        </w:rPr>
        <w:t>Persist the command, state transition, audit evidence, and outbox atomically where possible.</w:t>
      </w:r>
    </w:p>
    <w:p>
      <w:pPr>
        <w:pStyle w:val="ListBullet"/>
        <w:spacing w:after="60"/>
      </w:pPr>
      <w:r>
        <w:rPr>
          <w:rFonts w:ascii="Aptos" w:hAnsi="Aptos"/>
          <w:color w:val="1F2937"/>
          <w:sz w:val="20"/>
        </w:rPr>
        <w:t>Return a stable transfer identifier even when downstream processing continues asynchronously.</w:t>
      </w:r>
    </w:p>
    <w:p>
      <w:pPr>
        <w:pStyle w:val="Heading2"/>
        <w:keepNext/>
      </w:pPr>
      <w:r>
        <w:t>4.3 Ledger and settlement boundaries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110" w:type="dxa"/>
              <w:bottom w:w="110" w:type="dxa"/>
              <w:start w:w="120" w:type="dxa"/>
              <w:end w:w="120" w:type="dxa"/>
            </w:tcMar>
            <w:shd w:fill="17365D"/>
          </w:tcPr>
          <w:p>
            <w:pPr>
              <w:jc w:val="center"/>
            </w:pPr>
            <w:r/>
            <w:r>
              <w:rPr>
                <w:rFonts w:ascii="Aptos" w:hAnsi="Aptos"/>
                <w:b/>
                <w:color w:val="FFFFFF"/>
                <w:sz w:val="18"/>
              </w:rPr>
              <w:t>State</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Meaning</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Client interpretation</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RECEIVED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Request durably recorded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Do not submit duplicate request</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AUTHORIZED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Risk/limits and funds checks passed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Still not externally settled</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POSTED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Internal ledger entries committed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Internal accounting complete</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SUBMITTED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Sent to external rail</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Awaiting external result</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SETTLED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External settlement confirmed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Final according to rail rules</w:t>
            </w:r>
          </w:p>
        </w:tc>
      </w:tr>
      <w:tr>
        <w:tc>
          <w:tcPr>
            <w:tcW w:type="dxa" w:w="1944"/>
            <w:vAlign w:val="center"/>
            <w:tcMar>
              <w:top w:w="110" w:type="dxa"/>
              <w:bottom w:w="110" w:type="dxa"/>
              <w:start w:w="120" w:type="dxa"/>
              <w:end w:w="120" w:type="dxa"/>
            </w:tcMar>
          </w:tcPr>
          <w:p>
            <w:pPr>
              <w:jc w:val="left"/>
            </w:pPr>
            <w:r/>
            <w:r>
              <w:rPr>
                <w:rFonts w:ascii="Aptos" w:hAnsi="Aptos"/>
                <w:b w:val="0"/>
                <w:color w:val="1F2937"/>
                <w:sz w:val="18"/>
              </w:rPr>
              <w:t>REJECTED/REVERSED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Failed or compensated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Inspect reason and final balances</w:t>
            </w:r>
          </w:p>
        </w:tc>
      </w:tr>
    </w:tbl>
    <w:p>
      <w:pPr>
        <w:spacing w:after="40"/>
      </w:pPr>
    </w:p>
    <w:p>
      <w:pPr>
        <w:spacing w:after="120" w:line="269" w:lineRule="auto"/>
      </w:pPr>
      <w:r>
        <w:rPr>
          <w:rFonts w:ascii="Aptos" w:hAnsi="Aptos"/>
          <w:color w:val="1F2937"/>
          <w:sz w:val="21"/>
        </w:rPr>
        <w:t>The ledger service owns balanced entries. Other services request postings; they do not patch account balances. Reconciliation compares internal records, processor responses, bank statements, and settlement files to detect missing or divergent outcomes.</w:t>
      </w:r>
    </w:p>
    <w:p>
      <w:pPr>
        <w:pStyle w:val="Heading2"/>
        <w:keepNext/>
      </w:pPr>
      <w:r>
        <w:t>4.4 Synchronous gRPC risk decision</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rpc EvaluateTransfer(EvaluateTransferRequest) returns (EvaluateTransferResponse)</w:t>
              <w:br/>
            </w:r>
            <w:r>
              <w:rPr>
                <w:rFonts w:ascii="Consolas" w:hAnsi="Consolas"/>
                <w:color w:val="253858"/>
                <w:sz w:val="16"/>
              </w:rPr>
              <w:br/>
            </w:r>
            <w:r>
              <w:rPr>
                <w:rFonts w:ascii="Consolas" w:hAnsi="Consolas"/>
                <w:color w:val="253858"/>
                <w:sz w:val="16"/>
              </w:rPr>
              <w:t>Deadline: 150 ms</w:t>
              <w:br/>
            </w:r>
            <w:r>
              <w:rPr>
                <w:rFonts w:ascii="Consolas" w:hAnsi="Consolas"/>
                <w:color w:val="253858"/>
                <w:sz w:val="16"/>
              </w:rPr>
              <w:t>Expected business result: APPROVE | DECLINE | REVIEW</w:t>
              <w:br/>
            </w:r>
            <w:r>
              <w:rPr>
                <w:rFonts w:ascii="Consolas" w:hAnsi="Consolas"/>
                <w:color w:val="253858"/>
                <w:sz w:val="16"/>
              </w:rPr>
              <w:t>Transport errors: UNAVAILABLE, DEADLINE_EXCEEDED, INTERNAL</w:t>
              <w:br/>
            </w:r>
            <w:r>
              <w:rPr>
                <w:rFonts w:ascii="Consolas" w:hAnsi="Consolas"/>
                <w:color w:val="253858"/>
                <w:sz w:val="16"/>
              </w:rPr>
              <w:t>Fallback: policy-defined hold/review; never silently approve on outage</w:t>
            </w:r>
          </w:p>
        </w:tc>
      </w:tr>
    </w:tbl>
    <w:p>
      <w:pPr>
        <w:spacing w:after="40"/>
      </w:pPr>
    </w:p>
    <w:p>
      <w:pPr>
        <w:spacing w:after="120" w:line="269" w:lineRule="auto"/>
      </w:pPr>
      <w:r>
        <w:rPr>
          <w:rFonts w:ascii="Aptos" w:hAnsi="Aptos"/>
          <w:color w:val="1F2937"/>
          <w:sz w:val="21"/>
        </w:rPr>
        <w:t>A fixed, high-volume internal decision is a good gRPC candidate. The transfer service still owns the final business policy. Retry is limited by the deadline and idempotency; infrastructure failure must not be confused with a risk decline.</w:t>
      </w:r>
    </w:p>
    <w:p>
      <w:pPr>
        <w:pStyle w:val="Heading2"/>
        <w:keepNext/>
      </w:pPr>
      <w:r>
        <w:t>4.5 Processor webhook</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/webhooks/processor-x</w:t>
              <w:br/>
            </w:r>
            <w:r>
              <w:rPr>
                <w:rFonts w:ascii="Consolas" w:hAnsi="Consolas"/>
                <w:color w:val="253858"/>
                <w:sz w:val="16"/>
              </w:rPr>
              <w:t>X-Event-Id: evt-881</w:t>
              <w:br/>
            </w:r>
            <w:r>
              <w:rPr>
                <w:rFonts w:ascii="Consolas" w:hAnsi="Consolas"/>
                <w:color w:val="253858"/>
                <w:sz w:val="16"/>
              </w:rPr>
              <w:t>X-Signature: ...</w:t>
              <w:br/>
            </w:r>
            <w:r>
              <w:rPr>
                <w:rFonts w:ascii="Consolas" w:hAnsi="Consolas"/>
                <w:color w:val="253858"/>
                <w:sz w:val="16"/>
              </w:rPr>
              <w:t>X-Timestamp: 1785473100</w:t>
              <w:br/>
            </w:r>
            <w:r>
              <w:rPr>
                <w:rFonts w:ascii="Consolas" w:hAnsi="Consolas"/>
                <w:color w:val="253858"/>
                <w:sz w:val="16"/>
              </w:rPr>
              <w:br/>
            </w:r>
            <w:r>
              <w:rPr>
                <w:rFonts w:ascii="Consolas" w:hAnsi="Consolas"/>
                <w:color w:val="253858"/>
                <w:sz w:val="16"/>
              </w:rPr>
              <w:t>{"type":"settlement.completed","transferId":"t-501","amount":"25000.00"}</w:t>
            </w:r>
          </w:p>
        </w:tc>
      </w:tr>
    </w:tbl>
    <w:p>
      <w:pPr>
        <w:spacing w:after="40"/>
      </w:pPr>
    </w:p>
    <w:p>
      <w:pPr>
        <w:spacing w:after="120" w:line="269" w:lineRule="auto"/>
      </w:pPr>
      <w:r>
        <w:rPr>
          <w:rFonts w:ascii="Aptos" w:hAnsi="Aptos"/>
          <w:color w:val="1F2937"/>
          <w:sz w:val="21"/>
        </w:rPr>
        <w:t>Verify endpoint identity, signature, timestamp, event ID, and payload schema before processing. Store delivery/event identity and process idempotently. Return acknowledgement quickly; perform ledger and reconciliation work asynchronously.</w:t>
      </w:r>
    </w:p>
    <w:p>
      <w:pPr>
        <w:pStyle w:val="Heading2"/>
        <w:keepNext/>
      </w:pPr>
      <w:r>
        <w:t>4.6 Consistency, availability, and failure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96"/>
            <w:vAlign w:val="center"/>
            <w:tcMar>
              <w:top w:w="110" w:type="dxa"/>
              <w:bottom w:w="110" w:type="dxa"/>
              <w:start w:w="120" w:type="dxa"/>
              <w:end w:w="120" w:type="dxa"/>
            </w:tcMar>
            <w:shd w:fill="17365D"/>
          </w:tcPr>
          <w:p>
            <w:pPr>
              <w:jc w:val="center"/>
            </w:pPr>
            <w:r/>
            <w:r>
              <w:rPr>
                <w:rFonts w:ascii="Aptos" w:hAnsi="Aptos"/>
                <w:b/>
                <w:color w:val="FFFFFF"/>
                <w:sz w:val="18"/>
              </w:rPr>
              <w:t>Decision</w:t>
            </w:r>
          </w:p>
        </w:tc>
        <w:tc>
          <w:tcPr>
            <w:tcW w:type="dxa" w:w="6480"/>
            <w:vAlign w:val="center"/>
            <w:tcMar>
              <w:top w:w="110" w:type="dxa"/>
              <w:bottom w:w="110" w:type="dxa"/>
              <w:start w:w="120" w:type="dxa"/>
              <w:end w:w="120" w:type="dxa"/>
            </w:tcMar>
            <w:shd w:fill="17365D"/>
          </w:tcPr>
          <w:p>
            <w:pPr>
              <w:jc w:val="center"/>
            </w:pPr>
            <w:r/>
            <w:r>
              <w:rPr>
                <w:rFonts w:ascii="Aptos" w:hAnsi="Aptos"/>
                <w:b/>
                <w:color w:val="FFFFFF"/>
                <w:sz w:val="18"/>
              </w:rPr>
              <w:t>Choice</w:t>
            </w:r>
          </w:p>
        </w:tc>
      </w:tr>
      <w:tr>
        <w:tc>
          <w:tcPr>
            <w:tcW w:type="dxa" w:w="3096"/>
            <w:vAlign w:val="center"/>
            <w:tcMar>
              <w:top w:w="110" w:type="dxa"/>
              <w:bottom w:w="110" w:type="dxa"/>
              <w:start w:w="120" w:type="dxa"/>
              <w:end w:w="120" w:type="dxa"/>
            </w:tcMar>
          </w:tcPr>
          <w:p>
            <w:pPr>
              <w:jc w:val="center"/>
            </w:pPr>
            <w:r/>
            <w:r>
              <w:rPr>
                <w:rFonts w:ascii="Aptos" w:hAnsi="Aptos"/>
                <w:b w:val="0"/>
                <w:color w:val="1F2937"/>
                <w:sz w:val="18"/>
              </w:rPr>
              <w:t>Ledger posting</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Strong transactional consistency within ledger boundary</w:t>
            </w:r>
          </w:p>
        </w:tc>
      </w:tr>
      <w:tr>
        <w:tc>
          <w:tcPr>
            <w:tcW w:type="dxa" w:w="3096"/>
            <w:vAlign w:val="center"/>
            <w:tcMar>
              <w:top w:w="110" w:type="dxa"/>
              <w:bottom w:w="110" w:type="dxa"/>
              <w:start w:w="120" w:type="dxa"/>
              <w:end w:w="120" w:type="dxa"/>
            </w:tcMar>
          </w:tcPr>
          <w:p>
            <w:pPr>
              <w:jc w:val="center"/>
            </w:pPr>
            <w:r/>
            <w:r>
              <w:rPr>
                <w:rFonts w:ascii="Aptos" w:hAnsi="Aptos"/>
                <w:b w:val="0"/>
                <w:color w:val="1F2937"/>
                <w:sz w:val="18"/>
              </w:rPr>
              <w:t>Search/reporting</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Eventually consistent projections</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8"/>
              </w:rPr>
              <w:t>Cross-region writes</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Single writer or carefully partitioned ownership</w:t>
            </w:r>
          </w:p>
        </w:tc>
      </w:tr>
      <w:tr>
        <w:tc>
          <w:tcPr>
            <w:tcW w:type="dxa" w:w="3096"/>
            <w:vAlign w:val="center"/>
            <w:tcMar>
              <w:top w:w="110" w:type="dxa"/>
              <w:bottom w:w="110" w:type="dxa"/>
              <w:start w:w="120" w:type="dxa"/>
              <w:end w:w="120" w:type="dxa"/>
            </w:tcMar>
          </w:tcPr>
          <w:p>
            <w:pPr>
              <w:jc w:val="center"/>
            </w:pPr>
            <w:r/>
            <w:r>
              <w:rPr>
                <w:rFonts w:ascii="Aptos" w:hAnsi="Aptos"/>
                <w:b w:val="0"/>
                <w:color w:val="1F2937"/>
                <w:sz w:val="18"/>
              </w:rPr>
              <w:t>Risk outage</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Fail closed, hold, or manual review by product policy</w:t>
            </w:r>
          </w:p>
        </w:tc>
      </w:tr>
      <w:tr>
        <w:tc>
          <w:tcPr>
            <w:tcW w:type="dxa" w:w="3096"/>
            <w:vAlign w:val="center"/>
            <w:tcMar>
              <w:top w:w="110" w:type="dxa"/>
              <w:bottom w:w="110" w:type="dxa"/>
              <w:start w:w="120" w:type="dxa"/>
              <w:end w:w="120" w:type="dxa"/>
            </w:tcMar>
          </w:tcPr>
          <w:p>
            <w:pPr>
              <w:jc w:val="center"/>
            </w:pPr>
            <w:r/>
            <w:r>
              <w:rPr>
                <w:rFonts w:ascii="Aptos" w:hAnsi="Aptos"/>
                <w:b w:val="0"/>
                <w:color w:val="1F2937"/>
                <w:sz w:val="18"/>
              </w:rPr>
              <w:t>Rail timeout</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Unknown state -&gt; inquiry/reconciliation, not blind resubmission</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8"/>
              </w:rPr>
              <w:t>Duplicate callback</w:t>
            </w:r>
          </w:p>
        </w:tc>
        <w:tc>
          <w:tcPr>
            <w:tcW w:type="dxa" w:w="6480"/>
            <w:vAlign w:val="center"/>
            <w:tcMar>
              <w:top w:w="110" w:type="dxa"/>
              <w:bottom w:w="110" w:type="dxa"/>
              <w:start w:w="120" w:type="dxa"/>
              <w:end w:w="120" w:type="dxa"/>
            </w:tcMar>
          </w:tcPr>
          <w:p>
            <w:pPr>
              <w:jc w:val="left"/>
            </w:pPr>
            <w:r/>
            <w:r>
              <w:rPr>
                <w:rFonts w:ascii="Aptos" w:hAnsi="Aptos"/>
                <w:b w:val="0"/>
                <w:color w:val="1F2937"/>
                <w:sz w:val="18"/>
              </w:rPr>
              <w:t>Deduplicate by provider and event ID</w:t>
            </w:r>
          </w:p>
        </w:tc>
      </w:tr>
    </w:tbl>
    <w:p>
      <w:pPr>
        <w:spacing w:after="40"/>
      </w:pPr>
    </w:p>
    <w:p>
      <w:pPr>
        <w:pStyle w:val="Heading1"/>
        <w:keepNext/>
      </w:pPr>
      <w:r>
        <w:t>5. Cross-Domain Comparison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16"/>
            <w:vAlign w:val="center"/>
            <w:tcMar>
              <w:top w:w="110" w:type="dxa"/>
              <w:bottom w:w="110" w:type="dxa"/>
              <w:start w:w="120" w:type="dxa"/>
              <w:end w:w="120" w:type="dxa"/>
            </w:tcMar>
            <w:shd w:fill="17365D"/>
          </w:tcPr>
          <w:p>
            <w:pPr>
              <w:jc w:val="center"/>
            </w:pPr>
            <w:r/>
            <w:r>
              <w:rPr>
                <w:rFonts w:ascii="Aptos" w:hAnsi="Aptos"/>
                <w:b/>
                <w:color w:val="FFFFFF"/>
                <w:sz w:val="18"/>
              </w:rPr>
              <w:t>Dimension</w:t>
            </w:r>
          </w:p>
        </w:tc>
        <w:tc>
          <w:tcPr>
            <w:tcW w:type="dxa" w:w="2520"/>
            <w:vAlign w:val="center"/>
            <w:tcMar>
              <w:top w:w="110" w:type="dxa"/>
              <w:bottom w:w="110" w:type="dxa"/>
              <w:start w:w="120" w:type="dxa"/>
              <w:end w:w="120" w:type="dxa"/>
            </w:tcMar>
            <w:shd w:fill="17365D"/>
          </w:tcPr>
          <w:p>
            <w:pPr>
              <w:jc w:val="center"/>
            </w:pPr>
            <w:r/>
            <w:r>
              <w:rPr>
                <w:rFonts w:ascii="Aptos" w:hAnsi="Aptos"/>
                <w:b/>
                <w:color w:val="FFFFFF"/>
                <w:sz w:val="18"/>
              </w:rPr>
              <w:t>Food delivery</w:t>
            </w:r>
          </w:p>
        </w:tc>
        <w:tc>
          <w:tcPr>
            <w:tcW w:type="dxa" w:w="2520"/>
            <w:vAlign w:val="center"/>
            <w:tcMar>
              <w:top w:w="110" w:type="dxa"/>
              <w:bottom w:w="110" w:type="dxa"/>
              <w:start w:w="120" w:type="dxa"/>
              <w:end w:w="120" w:type="dxa"/>
            </w:tcMar>
            <w:shd w:fill="17365D"/>
          </w:tcPr>
          <w:p>
            <w:pPr>
              <w:jc w:val="center"/>
            </w:pPr>
            <w:r/>
            <w:r>
              <w:rPr>
                <w:rFonts w:ascii="Aptos" w:hAnsi="Aptos"/>
                <w:b/>
                <w:color w:val="FFFFFF"/>
                <w:sz w:val="18"/>
              </w:rPr>
              <w:t>Healthcare</w:t>
            </w:r>
          </w:p>
        </w:tc>
        <w:tc>
          <w:tcPr>
            <w:tcW w:type="dxa" w:w="2520"/>
            <w:vAlign w:val="center"/>
            <w:tcMar>
              <w:top w:w="110" w:type="dxa"/>
              <w:bottom w:w="110" w:type="dxa"/>
              <w:start w:w="120" w:type="dxa"/>
              <w:end w:w="120" w:type="dxa"/>
            </w:tcMar>
            <w:shd w:fill="17365D"/>
          </w:tcPr>
          <w:p>
            <w:pPr>
              <w:jc w:val="center"/>
            </w:pPr>
            <w:r/>
            <w:r>
              <w:rPr>
                <w:rFonts w:ascii="Aptos" w:hAnsi="Aptos"/>
                <w:b/>
                <w:color w:val="FFFFFF"/>
                <w:sz w:val="18"/>
              </w:rPr>
              <w:t>Finance</w:t>
            </w:r>
          </w:p>
        </w:tc>
      </w:tr>
      <w:tr>
        <w:tc>
          <w:tcPr>
            <w:tcW w:type="dxa" w:w="2016"/>
            <w:vAlign w:val="center"/>
            <w:tcMar>
              <w:top w:w="110" w:type="dxa"/>
              <w:bottom w:w="110" w:type="dxa"/>
              <w:start w:w="120" w:type="dxa"/>
              <w:end w:w="120" w:type="dxa"/>
            </w:tcMar>
          </w:tcPr>
          <w:p>
            <w:pPr>
              <w:jc w:val="left"/>
            </w:pPr>
            <w:r/>
            <w:r>
              <w:rPr>
                <w:rFonts w:ascii="Aptos" w:hAnsi="Aptos"/>
                <w:b w:val="0"/>
                <w:color w:val="1F2937"/>
                <w:sz w:val="18"/>
              </w:rPr>
              <w:t>Primary correctness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Order/payment workflow</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Clinical meaning and access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Ledger and transaction integrity</w:t>
            </w:r>
          </w:p>
        </w:tc>
      </w:tr>
      <w:tr>
        <w:tc>
          <w:tcPr>
            <w:tcW w:type="dxa" w:w="2016"/>
            <w:vAlign w:val="center"/>
            <w:tcMar>
              <w:top w:w="110" w:type="dxa"/>
              <w:bottom w:w="110" w:type="dxa"/>
              <w:start w:w="120" w:type="dxa"/>
              <w:end w:w="120" w:type="dxa"/>
            </w:tcMar>
          </w:tcPr>
          <w:p>
            <w:pPr>
              <w:jc w:val="left"/>
            </w:pPr>
            <w:r/>
            <w:r>
              <w:rPr>
                <w:rFonts w:ascii="Aptos" w:hAnsi="Aptos"/>
                <w:b w:val="0"/>
                <w:color w:val="1F2937"/>
                <w:sz w:val="18"/>
              </w:rPr>
              <w:t>Typical external API</w:t>
            </w:r>
          </w:p>
        </w:tc>
        <w:tc>
          <w:tcPr>
            <w:tcW w:type="dxa" w:w="2520"/>
            <w:vAlign w:val="center"/>
            <w:tcMar>
              <w:top w:w="110" w:type="dxa"/>
              <w:bottom w:w="110" w:type="dxa"/>
              <w:start w:w="120" w:type="dxa"/>
              <w:end w:w="120" w:type="dxa"/>
            </w:tcMar>
          </w:tcPr>
          <w:p>
            <w:pPr>
              <w:jc w:val="center"/>
            </w:pPr>
            <w:r/>
            <w:r>
              <w:rPr>
                <w:rFonts w:ascii="Aptos" w:hAnsi="Aptos"/>
                <w:b w:val="0"/>
                <w:color w:val="1F2937"/>
                <w:sz w:val="18"/>
              </w:rPr>
              <w:t>REST/GraphQL</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FHIR REST/documents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REST with strong security</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Internal async</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Order saga events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Clinical notifications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Transfer/settlement events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Real time</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Driver/customer tracking</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Telemetry and alarms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Market/status feeds</w:t>
            </w:r>
          </w:p>
        </w:tc>
      </w:tr>
      <w:tr>
        <w:tc>
          <w:tcPr>
            <w:tcW w:type="dxa" w:w="2016"/>
            <w:vAlign w:val="center"/>
            <w:tcMar>
              <w:top w:w="110" w:type="dxa"/>
              <w:bottom w:w="110" w:type="dxa"/>
              <w:start w:w="120" w:type="dxa"/>
              <w:end w:w="120" w:type="dxa"/>
            </w:tcMar>
          </w:tcPr>
          <w:p>
            <w:pPr>
              <w:jc w:val="left"/>
            </w:pPr>
            <w:r/>
            <w:r>
              <w:rPr>
                <w:rFonts w:ascii="Aptos" w:hAnsi="Aptos"/>
                <w:b w:val="0"/>
                <w:color w:val="1F2937"/>
                <w:sz w:val="18"/>
              </w:rPr>
              <w:t>Critical stale-data risk</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Availability/price</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Allergy/medication</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Balance/limits/status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Bulk transfer</w:t>
            </w:r>
          </w:p>
        </w:tc>
        <w:tc>
          <w:tcPr>
            <w:tcW w:type="dxa" w:w="2520"/>
            <w:vAlign w:val="center"/>
            <w:tcMar>
              <w:top w:w="110" w:type="dxa"/>
              <w:bottom w:w="110" w:type="dxa"/>
              <w:start w:w="120" w:type="dxa"/>
              <w:end w:w="120" w:type="dxa"/>
            </w:tcMar>
          </w:tcPr>
          <w:p>
            <w:pPr>
              <w:jc w:val="center"/>
            </w:pPr>
            <w:r/>
            <w:r>
              <w:rPr>
                <w:rFonts w:ascii="Aptos" w:hAnsi="Aptos"/>
                <w:b w:val="0"/>
                <w:color w:val="1F2937"/>
                <w:sz w:val="18"/>
              </w:rPr>
              <w:t>Reports/receipts</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Population export</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Reconciliation/settlement files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Failure recovery</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Compensation and retry</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Safety escalation and provenance</w:t>
            </w:r>
          </w:p>
        </w:tc>
        <w:tc>
          <w:tcPr>
            <w:tcW w:type="dxa" w:w="2520"/>
            <w:vAlign w:val="center"/>
            <w:tcMar>
              <w:top w:w="110" w:type="dxa"/>
              <w:bottom w:w="110" w:type="dxa"/>
              <w:start w:w="120" w:type="dxa"/>
              <w:end w:w="120" w:type="dxa"/>
            </w:tcMar>
          </w:tcPr>
          <w:p>
            <w:pPr>
              <w:jc w:val="left"/>
            </w:pPr>
            <w:r/>
            <w:r>
              <w:rPr>
                <w:rFonts w:ascii="Aptos" w:hAnsi="Aptos"/>
                <w:b w:val="0"/>
                <w:color w:val="1F2937"/>
                <w:sz w:val="18"/>
              </w:rPr>
              <w:t>Reconciliation and reversal</w:t>
            </w:r>
          </w:p>
        </w:tc>
      </w:tr>
    </w:tbl>
    <w:p>
      <w:pPr>
        <w:spacing w:after="40"/>
      </w:pPr>
    </w:p>
    <w:p>
      <w:pPr>
        <w:pStyle w:val="Heading1"/>
        <w:keepNext/>
      </w:pPr>
      <w:r>
        <w:t>6. End-to-End Nonfunctional Design</w:t>
      </w:r>
    </w:p>
    <w:p>
      <w:pPr>
        <w:pStyle w:val="Heading2"/>
        <w:keepNext/>
      </w:pPr>
      <w:r>
        <w:t>6.1 Capacity model</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Peak external RPS = peak active users x actions per user per second</w:t>
              <w:br/>
            </w:r>
            <w:r>
              <w:rPr>
                <w:rFonts w:ascii="Consolas" w:hAnsi="Consolas"/>
                <w:color w:val="253858"/>
                <w:sz w:val="16"/>
              </w:rPr>
              <w:t>Internal call RPS  = external RPS x calls per workflow</w:t>
              <w:br/>
            </w:r>
            <w:r>
              <w:rPr>
                <w:rFonts w:ascii="Consolas" w:hAnsi="Consolas"/>
                <w:color w:val="253858"/>
                <w:sz w:val="16"/>
              </w:rPr>
              <w:t>Event throughput   = state changes x events per change x fan-out</w:t>
              <w:br/>
            </w:r>
            <w:r>
              <w:rPr>
                <w:rFonts w:ascii="Consolas" w:hAnsi="Consolas"/>
                <w:color w:val="253858"/>
                <w:sz w:val="16"/>
              </w:rPr>
              <w:t>Concurrent streams = connected clients x active-connection ratio</w:t>
              <w:br/>
            </w:r>
            <w:r>
              <w:rPr>
                <w:rFonts w:ascii="Consolas" w:hAnsi="Consolas"/>
                <w:color w:val="253858"/>
                <w:sz w:val="16"/>
              </w:rPr>
              <w:t>Bandwidth          = messages/sec x average encoded bytes x replication/fan-out</w:t>
            </w:r>
          </w:p>
        </w:tc>
      </w:tr>
    </w:tbl>
    <w:p>
      <w:pPr>
        <w:spacing w:after="40"/>
      </w:pPr>
    </w:p>
    <w:p>
      <w:pPr>
        <w:spacing w:after="120" w:line="269" w:lineRule="auto"/>
      </w:pPr>
      <w:r>
        <w:rPr>
          <w:rFonts w:ascii="Aptos" w:hAnsi="Aptos"/>
          <w:color w:val="1F2937"/>
          <w:sz w:val="21"/>
        </w:rPr>
        <w:t>Estimate by workflow and burst, not registered-user count. Include retries, cache-hit ratio, batch jobs, reconnect storms, partner callbacks, and internal amplification.</w:t>
      </w:r>
    </w:p>
    <w:p>
      <w:pPr>
        <w:pStyle w:val="Heading2"/>
        <w:keepNext/>
      </w:pPr>
      <w:r>
        <w:t>6.2 Reliability controls</w:t>
      </w:r>
    </w:p>
    <w:p>
      <w:pPr>
        <w:pStyle w:val="ListBullet"/>
        <w:spacing w:after="60"/>
      </w:pPr>
      <w:r>
        <w:rPr>
          <w:rFonts w:ascii="Aptos" w:hAnsi="Aptos"/>
          <w:color w:val="1F2937"/>
          <w:sz w:val="20"/>
        </w:rPr>
        <w:t>End-to-end deadline with smaller dependency budgets</w:t>
      </w:r>
    </w:p>
    <w:p>
      <w:pPr>
        <w:pStyle w:val="ListBullet"/>
        <w:spacing w:after="60"/>
      </w:pPr>
      <w:r>
        <w:rPr>
          <w:rFonts w:ascii="Aptos" w:hAnsi="Aptos"/>
          <w:color w:val="1F2937"/>
          <w:sz w:val="20"/>
        </w:rPr>
        <w:t>One explicit retry owner and exponential backoff with jitter</w:t>
      </w:r>
    </w:p>
    <w:p>
      <w:pPr>
        <w:pStyle w:val="ListBullet"/>
        <w:spacing w:after="60"/>
      </w:pPr>
      <w:r>
        <w:rPr>
          <w:rFonts w:ascii="Aptos" w:hAnsi="Aptos"/>
          <w:color w:val="1F2937"/>
          <w:sz w:val="20"/>
        </w:rPr>
        <w:t>Circuit breakers and bulkheads around unstable dependencies</w:t>
      </w:r>
    </w:p>
    <w:p>
      <w:pPr>
        <w:pStyle w:val="ListBullet"/>
        <w:spacing w:after="60"/>
      </w:pPr>
      <w:r>
        <w:rPr>
          <w:rFonts w:ascii="Aptos" w:hAnsi="Aptos"/>
          <w:color w:val="1F2937"/>
          <w:sz w:val="20"/>
        </w:rPr>
        <w:t>Idempotent commands and consumers</w:t>
      </w:r>
    </w:p>
    <w:p>
      <w:pPr>
        <w:pStyle w:val="ListBullet"/>
        <w:spacing w:after="60"/>
      </w:pPr>
      <w:r>
        <w:rPr>
          <w:rFonts w:ascii="Aptos" w:hAnsi="Aptos"/>
          <w:color w:val="1F2937"/>
          <w:sz w:val="20"/>
        </w:rPr>
        <w:t>Queue limits, load shedding, and backpressure</w:t>
      </w:r>
    </w:p>
    <w:p>
      <w:pPr>
        <w:pStyle w:val="ListBullet"/>
        <w:spacing w:after="60"/>
      </w:pPr>
      <w:r>
        <w:rPr>
          <w:rFonts w:ascii="Aptos" w:hAnsi="Aptos"/>
          <w:color w:val="1F2937"/>
          <w:sz w:val="20"/>
        </w:rPr>
        <w:t>Reconciliation for externally observable side effects</w:t>
      </w:r>
    </w:p>
    <w:p>
      <w:pPr>
        <w:pStyle w:val="ListBullet"/>
        <w:spacing w:after="60"/>
      </w:pPr>
      <w:r>
        <w:rPr>
          <w:rFonts w:ascii="Aptos" w:hAnsi="Aptos"/>
          <w:color w:val="1F2937"/>
          <w:sz w:val="20"/>
        </w:rPr>
        <w:t>Graceful degradation that preserves critical correctness</w:t>
      </w:r>
    </w:p>
    <w:p>
      <w:pPr>
        <w:pStyle w:val="Heading2"/>
        <w:keepNext/>
      </w:pPr>
      <w:r>
        <w:t>6.3 Observability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Signal</w:t>
            </w:r>
          </w:p>
        </w:tc>
        <w:tc>
          <w:tcPr>
            <w:tcW w:type="dxa" w:w="7488"/>
            <w:vAlign w:val="center"/>
            <w:tcMar>
              <w:top w:w="110" w:type="dxa"/>
              <w:bottom w:w="110" w:type="dxa"/>
              <w:start w:w="120" w:type="dxa"/>
              <w:end w:w="120" w:type="dxa"/>
            </w:tcMar>
            <w:shd w:fill="17365D"/>
          </w:tcPr>
          <w:p>
            <w:pPr>
              <w:jc w:val="center"/>
            </w:pPr>
            <w:r/>
            <w:r>
              <w:rPr>
                <w:rFonts w:ascii="Aptos" w:hAnsi="Aptos"/>
                <w:b/>
                <w:color w:val="FFFFFF"/>
                <w:sz w:val="18"/>
              </w:rPr>
              <w:t>Examples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Technical</w:t>
            </w:r>
          </w:p>
        </w:tc>
        <w:tc>
          <w:tcPr>
            <w:tcW w:type="dxa" w:w="7488"/>
            <w:vAlign w:val="center"/>
            <w:tcMar>
              <w:top w:w="110" w:type="dxa"/>
              <w:bottom w:w="110" w:type="dxa"/>
              <w:start w:w="120" w:type="dxa"/>
              <w:end w:w="120" w:type="dxa"/>
            </w:tcMar>
          </w:tcPr>
          <w:p>
            <w:pPr>
              <w:jc w:val="left"/>
            </w:pPr>
            <w:r/>
            <w:r>
              <w:rPr>
                <w:rFonts w:ascii="Aptos" w:hAnsi="Aptos"/>
                <w:b w:val="0"/>
                <w:color w:val="1F2937"/>
                <w:sz w:val="18"/>
              </w:rPr>
              <w:t>RPS, latency percentiles, errors, saturation, queue lag</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Business</w:t>
            </w:r>
          </w:p>
        </w:tc>
        <w:tc>
          <w:tcPr>
            <w:tcW w:type="dxa" w:w="7488"/>
            <w:vAlign w:val="center"/>
            <w:tcMar>
              <w:top w:w="110" w:type="dxa"/>
              <w:bottom w:w="110" w:type="dxa"/>
              <w:start w:w="120" w:type="dxa"/>
              <w:end w:w="120" w:type="dxa"/>
            </w:tcMar>
          </w:tcPr>
          <w:p>
            <w:pPr>
              <w:jc w:val="left"/>
            </w:pPr>
            <w:r/>
            <w:r>
              <w:rPr>
                <w:rFonts w:ascii="Aptos" w:hAnsi="Aptos"/>
                <w:b w:val="0"/>
                <w:color w:val="1F2937"/>
                <w:sz w:val="18"/>
              </w:rPr>
              <w:t>Orders accepted, alarms acknowledged, transfers settled</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Correctness</w:t>
            </w:r>
          </w:p>
        </w:tc>
        <w:tc>
          <w:tcPr>
            <w:tcW w:type="dxa" w:w="7488"/>
            <w:vAlign w:val="center"/>
            <w:tcMar>
              <w:top w:w="110" w:type="dxa"/>
              <w:bottom w:w="110" w:type="dxa"/>
              <w:start w:w="120" w:type="dxa"/>
              <w:end w:w="120" w:type="dxa"/>
            </w:tcMar>
          </w:tcPr>
          <w:p>
            <w:pPr>
              <w:jc w:val="left"/>
            </w:pPr>
            <w:r/>
            <w:r>
              <w:rPr>
                <w:rFonts w:ascii="Aptos" w:hAnsi="Aptos"/>
                <w:b w:val="0"/>
                <w:color w:val="1F2937"/>
                <w:sz w:val="18"/>
              </w:rPr>
              <w:t>Duplicate suppression, state conflicts, reconciliation differences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Security</w:t>
            </w:r>
          </w:p>
        </w:tc>
        <w:tc>
          <w:tcPr>
            <w:tcW w:type="dxa" w:w="7488"/>
            <w:vAlign w:val="center"/>
            <w:tcMar>
              <w:top w:w="110" w:type="dxa"/>
              <w:bottom w:w="110" w:type="dxa"/>
              <w:start w:w="120" w:type="dxa"/>
              <w:end w:w="120" w:type="dxa"/>
            </w:tcMar>
          </w:tcPr>
          <w:p>
            <w:pPr>
              <w:jc w:val="left"/>
            </w:pPr>
            <w:r/>
            <w:r>
              <w:rPr>
                <w:rFonts w:ascii="Aptos" w:hAnsi="Aptos"/>
                <w:b w:val="0"/>
                <w:color w:val="1F2937"/>
                <w:sz w:val="18"/>
              </w:rPr>
              <w:t>Denied access, replay attempts, break-glass use, signature failures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Consumer</w:t>
            </w:r>
          </w:p>
        </w:tc>
        <w:tc>
          <w:tcPr>
            <w:tcW w:type="dxa" w:w="7488"/>
            <w:vAlign w:val="center"/>
            <w:tcMar>
              <w:top w:w="110" w:type="dxa"/>
              <w:bottom w:w="110" w:type="dxa"/>
              <w:start w:w="120" w:type="dxa"/>
              <w:end w:w="120" w:type="dxa"/>
            </w:tcMar>
          </w:tcPr>
          <w:p>
            <w:pPr>
              <w:jc w:val="left"/>
            </w:pPr>
            <w:r/>
            <w:r>
              <w:rPr>
                <w:rFonts w:ascii="Aptos" w:hAnsi="Aptos"/>
                <w:b w:val="0"/>
                <w:color w:val="1F2937"/>
                <w:sz w:val="18"/>
              </w:rPr>
              <w:t>Client/version usage, deprecated operations, webhook health</w:t>
            </w:r>
          </w:p>
        </w:tc>
      </w:tr>
    </w:tbl>
    <w:p>
      <w:pPr>
        <w:spacing w:after="40"/>
      </w:pPr>
    </w:p>
    <w:p>
      <w:pPr>
        <w:pStyle w:val="Heading1"/>
        <w:keepNext/>
      </w:pPr>
      <w:r>
        <w:t>7. Architecture Decision Records</w:t>
      </w:r>
    </w:p>
    <w:p>
      <w:pPr>
        <w:spacing w:after="120" w:line="269" w:lineRule="auto"/>
      </w:pPr>
      <w:r>
        <w:rPr>
          <w:rFonts w:ascii="Aptos" w:hAnsi="Aptos"/>
          <w:color w:val="1F2937"/>
          <w:sz w:val="21"/>
        </w:rPr>
        <w:t>High-impact API choices should be recorded with context, options, forces, decision, consequences, and revisit triggers. The goal is not paperwork; it is preserving why a tradeoff was accepted.</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Decision: Use SSE for customer order-status updates</w:t>
              <w:br/>
            </w:r>
            <w:r>
              <w:rPr>
                <w:rFonts w:ascii="Consolas" w:hAnsi="Consolas"/>
                <w:color w:val="253858"/>
                <w:sz w:val="16"/>
              </w:rPr>
              <w:t>Context: Server-to-client updates, moderate frequency, browser/mobile BFF</w:t>
              <w:br/>
            </w:r>
            <w:r>
              <w:rPr>
                <w:rFonts w:ascii="Consolas" w:hAnsi="Consolas"/>
                <w:color w:val="253858"/>
                <w:sz w:val="16"/>
              </w:rPr>
              <w:t>Alternatives: Polling, WebSocket, GraphQL subscription</w:t>
              <w:br/>
            </w:r>
            <w:r>
              <w:rPr>
                <w:rFonts w:ascii="Consolas" w:hAnsi="Consolas"/>
                <w:color w:val="253858"/>
                <w:sz w:val="16"/>
              </w:rPr>
              <w:t>Why: Simpler reconnect and proxy model; no client-to-server stream required</w:t>
              <w:br/>
            </w:r>
            <w:r>
              <w:rPr>
                <w:rFonts w:ascii="Consolas" w:hAnsi="Consolas"/>
                <w:color w:val="253858"/>
                <w:sz w:val="16"/>
              </w:rPr>
              <w:t>Consequences: Separate REST commands; connection capacity and resume cursor needed</w:t>
              <w:br/>
            </w:r>
            <w:r>
              <w:rPr>
                <w:rFonts w:ascii="Consolas" w:hAnsi="Consolas"/>
                <w:color w:val="253858"/>
                <w:sz w:val="16"/>
              </w:rPr>
              <w:t>Revisit when: Bidirectional interaction or update frequency materially increases</w:t>
            </w:r>
          </w:p>
        </w:tc>
      </w:tr>
    </w:tbl>
    <w:p>
      <w:pPr>
        <w:spacing w:after="40"/>
      </w:pPr>
    </w:p>
    <w:p>
      <w:pPr>
        <w:pStyle w:val="Heading1"/>
        <w:keepNext/>
      </w:pPr>
      <w:r>
        <w:t>8. Common End-to-End Failure Patterns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bottom w:w="110" w:type="dxa"/>
              <w:start w:w="120" w:type="dxa"/>
              <w:end w:w="120" w:type="dxa"/>
            </w:tcMar>
            <w:shd w:fill="17365D"/>
          </w:tcPr>
          <w:p>
            <w:pPr>
              <w:jc w:val="center"/>
            </w:pPr>
            <w:r/>
            <w:r>
              <w:rPr>
                <w:rFonts w:ascii="Aptos" w:hAnsi="Aptos"/>
                <w:b/>
                <w:color w:val="FFFFFF"/>
                <w:sz w:val="18"/>
              </w:rPr>
              <w:t>Failure pattern</w:t>
            </w:r>
          </w:p>
        </w:tc>
        <w:tc>
          <w:tcPr>
            <w:tcW w:type="dxa" w:w="3312"/>
            <w:vAlign w:val="center"/>
            <w:tcMar>
              <w:top w:w="110" w:type="dxa"/>
              <w:bottom w:w="110" w:type="dxa"/>
              <w:start w:w="120" w:type="dxa"/>
              <w:end w:w="120" w:type="dxa"/>
            </w:tcMar>
            <w:shd w:fill="17365D"/>
          </w:tcPr>
          <w:p>
            <w:pPr>
              <w:jc w:val="center"/>
            </w:pPr>
            <w:r/>
            <w:r>
              <w:rPr>
                <w:rFonts w:ascii="Aptos" w:hAnsi="Aptos"/>
                <w:b/>
                <w:color w:val="FFFFFF"/>
                <w:sz w:val="18"/>
              </w:rPr>
              <w:t>Why it happens</w:t>
            </w:r>
          </w:p>
        </w:tc>
        <w:tc>
          <w:tcPr>
            <w:tcW w:type="dxa" w:w="4032"/>
            <w:vAlign w:val="center"/>
            <w:tcMar>
              <w:top w:w="110" w:type="dxa"/>
              <w:bottom w:w="110" w:type="dxa"/>
              <w:start w:w="120" w:type="dxa"/>
              <w:end w:w="120" w:type="dxa"/>
            </w:tcMar>
            <w:shd w:fill="17365D"/>
          </w:tcPr>
          <w:p>
            <w:pPr>
              <w:jc w:val="center"/>
            </w:pPr>
            <w:r/>
            <w:r>
              <w:rPr>
                <w:rFonts w:ascii="Aptos" w:hAnsi="Aptos"/>
                <w:b/>
                <w:color w:val="FFFFFF"/>
                <w:sz w:val="18"/>
              </w:rPr>
              <w:t>Correction</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Protocol monoculture</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One style mandated for every workflow</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Choose per interaction semantics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Frontend orchestrates domain workflow</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Services expose internal steps</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Coarse commands or process manager</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Long synchronous chain</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Immediate coupling to all side effects</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Events and bounded critical path</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Transport success equals business success</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State model is hidden</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Explicit business states and outcomes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Retry creates duplicates</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No idempotency or retry ownership</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Stable keys and deduplication</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Events become database replication</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Ownership and semantics unclear</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Domain facts, minimization, contracts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Real-time has no resume</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Connections assumed reliable</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Cursor, sequence, snapshot recovery</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8"/>
              </w:rPr>
              <w:t>Security only at gateway</w:t>
            </w:r>
          </w:p>
        </w:tc>
        <w:tc>
          <w:tcPr>
            <w:tcW w:type="dxa" w:w="3312"/>
            <w:vAlign w:val="center"/>
            <w:tcMar>
              <w:top w:w="110" w:type="dxa"/>
              <w:bottom w:w="110" w:type="dxa"/>
              <w:start w:w="120" w:type="dxa"/>
              <w:end w:w="120" w:type="dxa"/>
            </w:tcMar>
          </w:tcPr>
          <w:p>
            <w:pPr>
              <w:jc w:val="left"/>
            </w:pPr>
            <w:r/>
            <w:r>
              <w:rPr>
                <w:rFonts w:ascii="Aptos" w:hAnsi="Aptos"/>
                <w:b w:val="0"/>
                <w:color w:val="1F2937"/>
                <w:sz w:val="18"/>
              </w:rPr>
              <w:t>Resource context ignored</w:t>
            </w:r>
          </w:p>
        </w:tc>
        <w:tc>
          <w:tcPr>
            <w:tcW w:type="dxa" w:w="4032"/>
            <w:vAlign w:val="center"/>
            <w:tcMar>
              <w:top w:w="110" w:type="dxa"/>
              <w:bottom w:w="110" w:type="dxa"/>
              <w:start w:w="120" w:type="dxa"/>
              <w:end w:w="120" w:type="dxa"/>
            </w:tcMar>
          </w:tcPr>
          <w:p>
            <w:pPr>
              <w:jc w:val="left"/>
            </w:pPr>
            <w:r/>
            <w:r>
              <w:rPr>
                <w:rFonts w:ascii="Aptos" w:hAnsi="Aptos"/>
                <w:b w:val="0"/>
                <w:color w:val="1F2937"/>
                <w:sz w:val="18"/>
              </w:rPr>
              <w:t>Service-side authorization</w:t>
            </w:r>
          </w:p>
        </w:tc>
      </w:tr>
    </w:tbl>
    <w:p>
      <w:pPr>
        <w:spacing w:after="40"/>
      </w:pPr>
    </w:p>
    <w:p>
      <w:pPr>
        <w:pStyle w:val="Heading1"/>
        <w:keepNext/>
      </w:pPr>
      <w:r>
        <w:t>9. Architect Review Checklist</w:t>
      </w:r>
    </w:p>
    <w:p>
      <w:pPr>
        <w:pStyle w:val="ListNumber"/>
        <w:spacing w:after="60"/>
      </w:pPr>
      <w:r>
        <w:rPr>
          <w:rFonts w:ascii="Aptos" w:hAnsi="Aptos"/>
          <w:color w:val="1F2937"/>
          <w:sz w:val="20"/>
        </w:rPr>
        <w:t>Are actors, trust boundaries, business invariants, and failure consequences documented?</w:t>
      </w:r>
    </w:p>
    <w:p>
      <w:pPr>
        <w:pStyle w:val="ListNumber"/>
        <w:spacing w:after="60"/>
      </w:pPr>
      <w:r>
        <w:rPr>
          <w:rFonts w:ascii="Aptos" w:hAnsi="Aptos"/>
          <w:color w:val="1F2937"/>
          <w:sz w:val="20"/>
        </w:rPr>
        <w:t>Is every interaction classified as query, command, event, stream, callback, or bulk transfer?</w:t>
      </w:r>
    </w:p>
    <w:p>
      <w:pPr>
        <w:pStyle w:val="ListNumber"/>
        <w:spacing w:after="60"/>
      </w:pPr>
      <w:r>
        <w:rPr>
          <w:rFonts w:ascii="Aptos" w:hAnsi="Aptos"/>
          <w:color w:val="1F2937"/>
          <w:sz w:val="20"/>
        </w:rPr>
        <w:t>Does each state have one authoritative owner and a clear transactional boundary?</w:t>
      </w:r>
    </w:p>
    <w:p>
      <w:pPr>
        <w:pStyle w:val="ListNumber"/>
        <w:spacing w:after="60"/>
      </w:pPr>
      <w:r>
        <w:rPr>
          <w:rFonts w:ascii="Aptos" w:hAnsi="Aptos"/>
          <w:color w:val="1F2937"/>
          <w:sz w:val="20"/>
        </w:rPr>
        <w:t>Are idempotency, ordering, concurrency, and consistency requirements explicit?</w:t>
      </w:r>
    </w:p>
    <w:p>
      <w:pPr>
        <w:pStyle w:val="ListNumber"/>
        <w:spacing w:after="60"/>
      </w:pPr>
      <w:r>
        <w:rPr>
          <w:rFonts w:ascii="Aptos" w:hAnsi="Aptos"/>
          <w:color w:val="1F2937"/>
          <w:sz w:val="20"/>
        </w:rPr>
        <w:t>Are synchronous dependencies limited to the minimum critical path?</w:t>
      </w:r>
    </w:p>
    <w:p>
      <w:pPr>
        <w:pStyle w:val="ListNumber"/>
        <w:spacing w:after="60"/>
      </w:pPr>
      <w:r>
        <w:rPr>
          <w:rFonts w:ascii="Aptos" w:hAnsi="Aptos"/>
          <w:color w:val="1F2937"/>
          <w:sz w:val="20"/>
        </w:rPr>
        <w:t>Can workflows recover from duplicate, delayed, missing, and out-of-order messages?</w:t>
      </w:r>
    </w:p>
    <w:p>
      <w:pPr>
        <w:pStyle w:val="ListNumber"/>
        <w:spacing w:after="60"/>
      </w:pPr>
      <w:r>
        <w:rPr>
          <w:rFonts w:ascii="Aptos" w:hAnsi="Aptos"/>
          <w:color w:val="1F2937"/>
          <w:sz w:val="20"/>
        </w:rPr>
        <w:t>Are authorization decisions resource- and context-aware?</w:t>
      </w:r>
    </w:p>
    <w:p>
      <w:pPr>
        <w:pStyle w:val="ListNumber"/>
        <w:spacing w:after="60"/>
      </w:pPr>
      <w:r>
        <w:rPr>
          <w:rFonts w:ascii="Aptos" w:hAnsi="Aptos"/>
          <w:color w:val="1F2937"/>
          <w:sz w:val="20"/>
        </w:rPr>
        <w:t>Can sensitive data be minimized across logs, events, caches, and non-production environments?</w:t>
      </w:r>
    </w:p>
    <w:p>
      <w:pPr>
        <w:pStyle w:val="ListNumber"/>
        <w:spacing w:after="60"/>
      </w:pPr>
      <w:r>
        <w:rPr>
          <w:rFonts w:ascii="Aptos" w:hAnsi="Aptos"/>
          <w:color w:val="1F2937"/>
          <w:sz w:val="20"/>
        </w:rPr>
        <w:t>Are capacity estimates based on peak workflows and internal amplification?</w:t>
      </w:r>
    </w:p>
    <w:p>
      <w:pPr>
        <w:pStyle w:val="ListNumber"/>
        <w:spacing w:after="60"/>
      </w:pPr>
      <w:r>
        <w:rPr>
          <w:rFonts w:ascii="Aptos" w:hAnsi="Aptos"/>
          <w:color w:val="1F2937"/>
          <w:sz w:val="20"/>
        </w:rPr>
        <w:t>Are SLOs, tracing, business outcomes, security signals, and reconciliation measurable?</w:t>
      </w:r>
    </w:p>
    <w:p>
      <w:pPr>
        <w:pStyle w:val="ListNumber"/>
        <w:spacing w:after="60"/>
      </w:pPr>
      <w:r>
        <w:rPr>
          <w:rFonts w:ascii="Aptos" w:hAnsi="Aptos"/>
          <w:color w:val="1F2937"/>
          <w:sz w:val="20"/>
        </w:rPr>
        <w:t>Is contract evolution and deprecation governed across all consumers?</w:t>
      </w:r>
    </w:p>
    <w:p>
      <w:pPr>
        <w:pStyle w:val="ListNumber"/>
        <w:spacing w:after="60"/>
      </w:pPr>
      <w:r>
        <w:rPr>
          <w:rFonts w:ascii="Aptos" w:hAnsi="Aptos"/>
          <w:color w:val="1F2937"/>
          <w:sz w:val="20"/>
        </w:rPr>
        <w:t>Can the architecture explain its cost and simpler rejected alternatives?</w:t>
      </w:r>
    </w:p>
    <w:p>
      <w:pPr>
        <w:pStyle w:val="Heading1"/>
        <w:keepNext/>
      </w:pPr>
      <w:r>
        <w:t>10. Practice Scenarios</w:t>
      </w:r>
    </w:p>
    <w:p>
      <w:pPr>
        <w:pStyle w:val="Heading2"/>
        <w:keepNext/>
      </w:pPr>
      <w:r>
        <w:t>Scenario 1: Food-delivery peak</w:t>
      </w:r>
    </w:p>
    <w:p>
      <w:pPr>
        <w:spacing w:after="120" w:line="269" w:lineRule="auto"/>
      </w:pPr>
      <w:r>
        <w:rPr>
          <w:rFonts w:ascii="Aptos" w:hAnsi="Aptos"/>
          <w:color w:val="1F2937"/>
          <w:sz w:val="21"/>
        </w:rPr>
        <w:t>A national campaign causes a tenfold burst. Menu traffic is cacheable, order creation must remain correct, payment latency doubles, and location connections reconnect simultaneously. Propose admission control, caching, queueing, retry, and degradation behavior.</w:t>
      </w:r>
    </w:p>
    <w:p>
      <w:pPr>
        <w:pStyle w:val="Heading2"/>
        <w:keepNext/>
      </w:pPr>
      <w:r>
        <w:t>Scenario 2: Healthcare partial outage</w:t>
      </w:r>
    </w:p>
    <w:p>
      <w:pPr>
        <w:spacing w:after="120" w:line="269" w:lineRule="auto"/>
      </w:pPr>
      <w:r>
        <w:rPr>
          <w:rFonts w:ascii="Aptos" w:hAnsi="Aptos"/>
          <w:color w:val="1F2937"/>
          <w:sz w:val="21"/>
        </w:rPr>
        <w:t>The clinical search index is 20 minutes behind while the authoritative medication store remains available. Define what the clinician view should show, how freshness is communicated, and which actions must bypass the index.</w:t>
      </w:r>
    </w:p>
    <w:p>
      <w:pPr>
        <w:pStyle w:val="Heading2"/>
        <w:keepNext/>
      </w:pPr>
      <w:r>
        <w:t>Scenario 3: Financial unknown outcome</w:t>
      </w:r>
    </w:p>
    <w:p>
      <w:pPr>
        <w:spacing w:after="120" w:line="269" w:lineRule="auto"/>
      </w:pPr>
      <w:r>
        <w:rPr>
          <w:rFonts w:ascii="Aptos" w:hAnsi="Aptos"/>
          <w:color w:val="1F2937"/>
          <w:sz w:val="21"/>
        </w:rPr>
        <w:t>A processor times out after receiving a settlement request. Explain why blind retry is unsafe and design inquiry, idempotency, state representation, customer messaging, and reconciliation.</w:t>
      </w:r>
    </w:p>
    <w:p>
      <w:pPr>
        <w:pStyle w:val="Heading2"/>
        <w:keepNext/>
      </w:pPr>
      <w:r>
        <w:t>Scenario 4: API-style challenge</w:t>
      </w:r>
    </w:p>
    <w:p>
      <w:pPr>
        <w:spacing w:after="120" w:line="269" w:lineRule="auto"/>
      </w:pPr>
      <w:r>
        <w:rPr>
          <w:rFonts w:ascii="Aptos" w:hAnsi="Aptos"/>
          <w:color w:val="1F2937"/>
          <w:sz w:val="21"/>
        </w:rPr>
        <w:t>For each case study, remove one technology from the design and explain whether the remaining architecture can meet the requirements. This tests whether each selected style is essential or merely fashionable.</w:t>
      </w:r>
    </w:p>
    <w:p>
      <w:pPr>
        <w:pStyle w:val="Heading1"/>
        <w:keepNext/>
      </w:pPr>
      <w:r>
        <w:t>11. Final Mental Model</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Architect answer pattern</w:t>
            </w:r>
          </w:p>
          <w:p>
            <w:pPr>
              <w:spacing w:after="0" w:line="259" w:lineRule="auto"/>
            </w:pPr>
            <w:r>
              <w:rPr>
                <w:rFonts w:ascii="Aptos" w:hAnsi="Aptos"/>
                <w:color w:val="1F2937"/>
                <w:sz w:val="19"/>
              </w:rPr>
              <w:t>Start with workflow and invariants. Identify the authoritative state owner. Separate the immediate critical path from asynchronous consequences. Choose the simplest API style that meets latency, coupling, interoperability, durability, and security needs. Then explain failure recovery, consistency, scale, cost, observability, and evolution.</w:t>
            </w:r>
          </w:p>
        </w:tc>
      </w:tr>
    </w:tbl>
    <w:p>
      <w:pPr>
        <w:spacing w:after="40"/>
      </w:pPr>
    </w:p>
    <w:p>
      <w:pPr>
        <w:spacing w:after="120" w:line="269" w:lineRule="auto"/>
      </w:pPr>
      <w:r>
        <w:rPr>
          <w:rFonts w:ascii="Aptos" w:hAnsi="Aptos"/>
          <w:color w:val="1F2937"/>
          <w:sz w:val="21"/>
        </w:rPr>
        <w:t>A mature system may expose REST externally, GraphQL for controlled frontend composition, gRPC for selected internal calls, durable events for workflows, SSE or WebSockets for live updates, webhooks for partners, and object storage for large transfers. This is good architecture only when every interface has a clear responsibility and operational model.</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API Design Series  |  Document 9  |  End-to-End Domain Case Studies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