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이상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2026년 조정에는 위 인상률 구간을 적용하지 아니한다. 운영기준 제6항의 특례에 따라 등급은 피드백과 다음 연도 목표 설정의 자료로만 쓰고, 인상률은 경영 상황과 동종 업계 보수 수준을 고려하여 별도로 정한다. 2027년 조정부터 위 구간을 그대로 적용한다.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2027년 조정부터 「주도성과 자기관리」 가점(최대 10점)이 총점에 더해진다. 가점 항목에 해당하는 사례가 없더라도 감점하지 아니한다. 2028년 조정부터는 가점이 아니라 20점 배점으로 편입된다. (운영기준 제8항)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2026-10-02T09:32:50.641Z</dcterms:created>
  <dcterms:modified xsi:type="dcterms:W3CDTF">2026-10-02T09:32:50.641Z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