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마인드(MIN.D)</w:t>
      </w:r>
    </w:p>
    <w:p>
      <w:pPr>
        <w:spacing w:after="6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32"/>
          <w:szCs w:val="32"/>
        </w:rPr>
        <w:t xml:space="preserve">복지카드 운영지침</w:t>
      </w:r>
    </w:p>
    <w:p>
      <w:pPr>
        <w:pBdr>
          <w:bottom w:val="single" w:color="14161B" w:sz="8" w:space="8"/>
        </w:pBdr>
        <w:spacing w:after="3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6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이 지침은 사원의 복리후생을 위하여 회사가 지원하는 복지비의 사용 기준을 정한다.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복지비는 법정 의무가 아니라 회사가 자율로 지급하는 것이며, 지급 여부와 금액은 매년 회사의 경영 상황에 따라 정한다. 이 지침에서 정한 금액은 해당 연도에 한하여 적용한다.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1. 지원 금액</w:t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1800"/>
        <w:gridCol w:w="2600"/>
        <w:gridCol w:w="3800"/>
      </w:tblGrid>
      <w:tr>
        <w:trPr>
          <w:tblHeader/>
        </w:trPr>
        <w:tc>
          <w:tcPr>
            <w:tcW w:type="dxa" w:w="18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구분</w:t>
            </w:r>
          </w:p>
        </w:tc>
        <w:tc>
          <w:tcPr>
            <w:tcW w:type="dxa" w:w="26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금액</w:t>
            </w:r>
          </w:p>
        </w:tc>
        <w:tc>
          <w:tcPr>
            <w:tcW w:type="dxa" w:w="38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비고</w:t>
            </w:r>
          </w:p>
        </w:tc>
      </w:tr>
      <w:t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월 한도</w:t>
            </w:r>
          </w:p>
        </w:tc>
        <w:tc>
          <w:tcPr>
            <w:tcW w:type="dxa" w:w="26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100,000원</w:t>
            </w:r>
          </w:p>
        </w:tc>
        <w:tc>
          <w:tcPr>
            <w:tcW w:type="dxa" w:w="3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이월되지 아니한다</w:t>
            </w:r>
          </w:p>
        </w:tc>
      </w:tr>
      <w:t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연 한도</w:t>
            </w:r>
          </w:p>
        </w:tc>
        <w:tc>
          <w:tcPr>
            <w:tcW w:type="dxa" w:w="26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1,200,000원</w:t>
            </w:r>
          </w:p>
        </w:tc>
        <w:tc>
          <w:tcPr>
            <w:tcW w:type="dxa" w:w="3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12개월 기준</w:t>
            </w:r>
          </w:p>
        </w:tc>
      </w:tr>
      <w:t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입사 첫 해</w:t>
            </w:r>
          </w:p>
        </w:tc>
        <w:tc>
          <w:tcPr>
            <w:tcW w:type="dxa" w:w="26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월 한도 × 재직 개월수</w:t>
            </w:r>
          </w:p>
        </w:tc>
        <w:tc>
          <w:tcPr>
            <w:tcW w:type="dxa" w:w="3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입사일이 속한 달부터 산정</w:t>
            </w:r>
          </w:p>
        </w:tc>
      </w:tr>
      <w:t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퇴사</w:t>
            </w:r>
          </w:p>
        </w:tc>
        <w:tc>
          <w:tcPr>
            <w:tcW w:type="dxa" w:w="26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퇴사일이 속한 달까지</w:t>
            </w:r>
          </w:p>
        </w:tc>
        <w:tc>
          <w:tcPr>
            <w:tcW w:type="dxa" w:w="3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미사용분은 정산하지 아니한다</w:t>
            </w:r>
          </w:p>
        </w:tc>
      </w:tr>
    </w:tbl>
    <w:p>
      <w:pPr>
        <w:spacing w:after="14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미사용 금액은 다음 달로 이월되지 아니하며, 현금으로 지급하지 아니한다.</w:t>
      </w:r>
    </w:p>
    <w:p>
      <w:pPr>
        <w:pBdr>
          <w:left w:val="single" w:color="D4D6DB" w:sz="6" w:space="10"/>
        </w:pBdr>
        <w:spacing w:after="0" w:before="150"/>
        <w:ind w:left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중소기업의 일반적인 수준은 월 10만원에서 20만원 사이이다. 마인드는 월 10만원으로 시작하고, 경영 상황이 나아지면 인상을 검토한다. 이월과 현금 지급을 막는 것은 복지비가 급여의 일부로 인식되지 않도록 하기 위한 것이다.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2. 사용할 수 있는 항목</w:t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1700"/>
        <w:gridCol w:w="6500"/>
      </w:tblGrid>
      <w:tr>
        <w:trPr>
          <w:tblHeader/>
        </w:trPr>
        <w:tc>
          <w:tcPr>
            <w:tcW w:type="dxa" w:w="17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분류</w:t>
            </w:r>
          </w:p>
        </w:tc>
        <w:tc>
          <w:tcPr>
            <w:tcW w:type="dxa" w:w="65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예시</w:t>
            </w:r>
          </w:p>
        </w:tc>
      </w:tr>
      <w:tr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도서·교육</w:t>
            </w:r>
          </w:p>
        </w:tc>
        <w:tc>
          <w:tcPr>
            <w:tcW w:type="dxa" w:w="6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도서, 온라인 강의, 세미나, 워크숍, 어학, 자격증 응시료</w:t>
            </w:r>
          </w:p>
        </w:tc>
      </w:tr>
      <w:tr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문화·여가</w:t>
            </w:r>
          </w:p>
        </w:tc>
        <w:tc>
          <w:tcPr>
            <w:tcW w:type="dxa" w:w="6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공연, 전시, 영화, 콘텐츠 구독 서비스</w:t>
            </w:r>
          </w:p>
        </w:tc>
      </w:tr>
      <w:tr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건강</w:t>
            </w:r>
          </w:p>
        </w:tc>
        <w:tc>
          <w:tcPr>
            <w:tcW w:type="dxa" w:w="6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헬스장, 요가, 필라테스, 건강검진 자부담분, 병원 진료비, 안경</w:t>
            </w:r>
          </w:p>
        </w:tc>
      </w:tr>
      <w:tr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자기계발</w:t>
            </w:r>
          </w:p>
        </w:tc>
        <w:tc>
          <w:tcPr>
            <w:tcW w:type="dxa" w:w="6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개인 학습용 소프트웨어 구독, 개인 명의 폰트 구매</w:t>
            </w:r>
          </w:p>
        </w:tc>
      </w:tr>
    </w:tbl>
    <w:p>
      <w:pPr>
        <w:spacing w:after="12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pBdr>
          <w:left w:val="single" w:color="D4D6DB" w:sz="6" w:space="10"/>
        </w:pBdr>
        <w:spacing w:after="0" w:before="150"/>
        <w:ind w:left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복지비는 사원 본인의 학습·건강·문화생활에 한정한다. 여행·숙박과 가족을 위한 지출은 대상에서 제외한다. 금액이 월 10만원이므로 범위를 넓히면 어느 항목도 의미 있게 지원되지 아니하기 때문이다.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3. 사용할 수 없는 항목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1. 주류 및 유흥업소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2. 상품권·기프트카드 등 현금성 자산의 구입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3. 본인 외의 사람을 위한 지출. 복지카드를 타인이 사용하게 하는 것을 포함한다.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4. 여행·숙박·항공·여행상품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5. 업무 수행에 필요한 비용. 업무용 소프트웨어·장비·폰트·도서는 회사 경비로 처리한다.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6. 세금·공과금·보험료·대출 상환</w:t>
      </w:r>
    </w:p>
    <w:p>
      <w:pPr>
        <w:pBdr>
          <w:left w:val="single" w:color="D4D6DB" w:sz="6" w:space="10"/>
        </w:pBdr>
        <w:spacing w:after="0" w:before="150"/>
        <w:ind w:left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제5호가 특히 중요하다. 업무에 필요한 것을 개인 복지비로 사도록 하면 복지비가 아니라 임금 삭감이 된다. 업무용은 회사에 요청한다.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4. 사용 절차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1. 회사는 사원에게 복지카드를 발급하여 지급한다. 카드는 사원 본인만 사용한다.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2. 사원은 제1항의 한도 안에서 복지카드로 직접 결제한다. 별도의 신청이나 영수증 제출을 요하지 아니한다.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3. 월 한도를 초과한 금액은 사원이 부담한다.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4. 결제 내역만으로 품목을 확인할 수 없는 경우 회사는 영수증의 제출을 요청할 수 있다.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5. 제3항에 해당하지 아니하는 항목을 결제한 경우 해당 금액을 회사에 반환하거나 다음 달 복지비에서 차감한다.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6. 퇴직하거나 휴직하는 경우 복지카드를 반납한다. 분실한 경우 지체 없이 회사에 알리고 회사는 즉시 사용을 정지한다.</w:t>
      </w:r>
    </w:p>
    <w:p>
      <w:pPr>
        <w:spacing w:after="12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복지카드를 발급하지 못하는 사정이 있는 경우에는 본인 명의의 카드로 결제한 뒤 영수증을 매월 말일까지 제출하고, 회사는 확인 후 다음 달 임금 지급일에 지급한다.</w:t>
      </w:r>
    </w:p>
    <w:p>
      <w:pPr>
        <w:pBdr>
          <w:left w:val="single" w:color="D4D6DB" w:sz="6" w:space="10"/>
        </w:pBdr>
        <w:spacing w:after="0" w:before="150"/>
        <w:ind w:left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카드를 지급하면 사원은 정산 절차를 밟지 않아도 되고, 회사는 지출증빙을 바로 확보한다. 한도를 카드 한도로 설정해 두면 초과 사용 자체가 일어나지 아니한다.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5. 세무 처리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① 복지비는 소득세법상 근로소득에 해당하여 과세 대상이 될 수 있다. 다만 직무와 관련된 교육훈련비 등 법령에서 비과세로 정한 항목은 그러하지 아니하다.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② 복지카드로 결제한 금액은 회사가 지출한 것이므로 사원의 연말정산 신용카드 등 사용금액 소득공제 대상이 아니다.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③ 복지카드 결제분은 사업과 직접 관련된 지출이 아니므로 부가가치세 매입세액 공제 대상이 아니다.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④ 구체적인 처리는 회사의 세무 대리인의 판단에 따른다.</w:t>
      </w:r>
    </w:p>
    <w:p>
      <w:pPr>
        <w:pBdr>
          <w:left w:val="single" w:color="D4D6DB" w:sz="6" w:space="10"/>
        </w:pBdr>
        <w:spacing w:after="0" w:before="150"/>
        <w:ind w:left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복지포인트는 대법원 판례상 근로기준법의 임금에는 해당하지 아니하나(대법원 2019. 8. 22. 선고 2016다48785 전원합의체), 세법상으로는 근로소득으로 보는 것이 과세 관청의 입장이다. 두 판단은 별개이므로 세무 처리는 반드시 세무 대리인과 확인한다.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6. 지침의 변경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① 이 지침은 취업규칙과 별개의 문서로서, 회사가 매년 경영 상황에 따라 금액과 항목을 정한다.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② 변경하는 경우 적용 시점 30일 전까지 사원에게 알린다.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③ 이미 발생한 해당 월의 복지비는 소급하여 줄이지 아니한다.</w:t>
      </w:r>
    </w:p>
    <w:p>
      <w:pPr>
        <w:pBdr>
          <w:left w:val="single" w:color="D4D6DB" w:sz="6" w:space="10"/>
        </w:pBdr>
        <w:spacing w:after="0" w:before="150"/>
        <w:ind w:left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복지비를 취업규칙에 넣으면 축소·폐지 시 근로자 과반수의 동의가 필요해진다. 별도 지침으로 두는 이유가 여기에 있다. 다만 오랜 기간 같은 조건으로 지급하면 관행으로 인정되어 일방적으로 줄이기 어려울 수 있으므로, 제1항의 문구를 지침에 유지한다.</w:t>
      </w:r>
    </w:p>
    <w:p>
      <w:pPr>
        <w:spacing w:after="34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130" w:before="0" w:line="288"/>
        <w:jc w:val="center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시행일        년        월        일</w:t>
      </w:r>
    </w:p>
    <w:p>
      <w:pPr>
        <w:spacing w:after="100" w:before="0" w:line="288"/>
        <w:jc w:val="center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마인드(MIN.D)</w:t>
      </w:r>
    </w:p>
    <w:p>
      <w:pPr>
        <w:spacing w:after="100" w:before="0" w:line="288"/>
        <w:jc w:val="center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대표    최 민 숙</w:t>
      </w:r>
    </w:p>
    <w:p>
      <w:r>
        <w:br w:type="page"/>
      </w:r>
    </w:p>
    <w:p>
      <w:pPr>
        <w:spacing w:after="1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6"/>
          <w:szCs w:val="26"/>
        </w:rPr>
        <w:t xml:space="preserve">【별첨】 복지비 사용 항목 상세</w:t>
      </w:r>
    </w:p>
    <w:p>
      <w:pPr>
        <w:pBdr>
          <w:bottom w:val="single" w:color="14161B" w:sz="8" w:space="8"/>
        </w:pBdr>
        <w:spacing w:after="3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본문 제2항과 제3항의 세부 기준이다. 여기에 없는 항목은 제3면의 판단 기준으로 정한다.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1. 사용할 수 있는 항목</w:t>
      </w:r>
    </w:p>
    <w:p>
      <w:pPr>
        <w:spacing w:after="60" w:before="2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1"/>
          <w:szCs w:val="21"/>
        </w:rPr>
        <w:t xml:space="preserve">도서 · 교육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도서(전자책 포함), 잡지 정기구독, 온라인 강의, 오프라인 세미나·워크숍·컨퍼런스 참가비, 어학 학원 및 어학 앱 구독, 자격증 응시료와 교재, 유료 스터디 참가비</w:t>
      </w:r>
    </w:p>
    <w:p>
      <w:pPr>
        <w:spacing w:after="60" w:before="2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1"/>
          <w:szCs w:val="21"/>
        </w:rPr>
        <w:t xml:space="preserve">문화 · 여가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영화·공연·뮤지컬·콘서트·연극, 전시와 미술관·박물관 입장료, 영상·음악 등 콘텐츠 구독 서비스, 독서실 이용료, 취미 클래스(도예·회화·악기·요리 등)</w:t>
      </w:r>
    </w:p>
    <w:p>
      <w:pPr>
        <w:spacing w:after="60" w:before="2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1"/>
          <w:szCs w:val="21"/>
        </w:rPr>
        <w:t xml:space="preserve">건강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헬스장·필라테스·요가·수영 등 운동시설 등록비와 퍼스널 트레이닝, 병원 진료비와 약제비의 본인 부담분, 건강검진 자부담분, 안경과 콘택트렌즈, 치과·한의원, 심리상담. 모두 사원 본인의 것에 한한다.</w:t>
      </w:r>
    </w:p>
    <w:p>
      <w:pPr>
        <w:spacing w:after="60" w:before="2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1"/>
          <w:szCs w:val="21"/>
        </w:rPr>
        <w:t xml:space="preserve">자기계발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개인 학습이나 개인 창작에 사용하는 소프트웨어 구독, 개인 명의로 구매하여 개인 작업에 사용하는 폰트와 디자인 자산</w:t>
      </w:r>
    </w:p>
    <w:p>
      <w:pPr>
        <w:pBdr>
          <w:left w:val="single" w:color="D4D6DB" w:sz="6" w:space="10"/>
        </w:pBdr>
        <w:spacing w:after="0" w:before="150"/>
        <w:ind w:left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업무에 사용할 소프트웨어·폰트·자산은 이 항목이 아니라 회사 경비이다. 회사에 요청한다.</w:t>
      </w:r>
    </w:p>
    <w:p>
      <w:pPr>
        <w:spacing w:after="14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네 분류 모두 사원 본인에게 쓰는 것을 전제로 한다. 가족을 위한 지출과 여행·숙박은 본문 제3항에 따라 대상에서 제외한다.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2. 사용할 수 없는 항목과 그 이유</w:t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2400"/>
        <w:gridCol w:w="5800"/>
      </w:tblGrid>
      <w:tr>
        <w:trPr>
          <w:tblHeader/>
        </w:trPr>
        <w:tc>
          <w:tcPr>
            <w:tcW w:type="dxa" w:w="24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항목</w:t>
            </w:r>
          </w:p>
        </w:tc>
        <w:tc>
          <w:tcPr>
            <w:tcW w:type="dxa" w:w="58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이유</w:t>
            </w:r>
          </w:p>
        </w:tc>
      </w:tr>
      <w:tr>
        <w:tc>
          <w:tcPr>
            <w:tcW w:type="dxa" w:w="2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주류·유흥업소</w:t>
            </w:r>
          </w:p>
        </w:tc>
        <w:tc>
          <w:tcPr>
            <w:tcW w:type="dxa" w:w="5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복리후생의 취지에 맞지 아니한다.</w:t>
            </w:r>
          </w:p>
        </w:tc>
      </w:tr>
      <w:tr>
        <w:tc>
          <w:tcPr>
            <w:tcW w:type="dxa" w:w="2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상품권·기프트카드·포인트 충전</w:t>
            </w:r>
          </w:p>
        </w:tc>
        <w:tc>
          <w:tcPr>
            <w:tcW w:type="dxa" w:w="5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현금성 자산이어서 실제 사용처를 확인할 수 없다.</w:t>
            </w:r>
          </w:p>
        </w:tc>
      </w:tr>
      <w:tr>
        <w:tc>
          <w:tcPr>
            <w:tcW w:type="dxa" w:w="2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현금 인출·계좌 이체</w:t>
            </w:r>
          </w:p>
        </w:tc>
        <w:tc>
          <w:tcPr>
            <w:tcW w:type="dxa" w:w="5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같은 이유로 복지비의 사용으로 보지 아니한다.</w:t>
            </w:r>
          </w:p>
        </w:tc>
      </w:tr>
      <w:tr>
        <w:tc>
          <w:tcPr>
            <w:tcW w:type="dxa" w:w="2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타인을 위한 지출</w:t>
            </w:r>
          </w:p>
        </w:tc>
        <w:tc>
          <w:tcPr>
            <w:tcW w:type="dxa" w:w="5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본인의 복리후생이 아니다. 카드를 타인이 쓰게 하는 것도 같다.</w:t>
            </w:r>
          </w:p>
        </w:tc>
      </w:tr>
      <w:tr>
        <w:tc>
          <w:tcPr>
            <w:tcW w:type="dxa" w:w="2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여행·숙박·항공</w:t>
            </w:r>
          </w:p>
        </w:tc>
        <w:tc>
          <w:tcPr>
            <w:tcW w:type="dxa" w:w="5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본문 제3항에서 제외하였다.</w:t>
            </w:r>
          </w:p>
        </w:tc>
      </w:tr>
      <w:tr>
        <w:tc>
          <w:tcPr>
            <w:tcW w:type="dxa" w:w="2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가족을 위한 지출</w:t>
            </w:r>
          </w:p>
        </w:tc>
        <w:tc>
          <w:tcPr>
            <w:tcW w:type="dxa" w:w="5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자녀 학원비, 가족 문화생활, 부모 건강검진 모두 제외한다.</w:t>
            </w:r>
          </w:p>
        </w:tc>
      </w:tr>
      <w:tr>
        <w:tc>
          <w:tcPr>
            <w:tcW w:type="dxa" w:w="2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업무 수행에 필요한 비용</w:t>
            </w:r>
          </w:p>
        </w:tc>
        <w:tc>
          <w:tcPr>
            <w:tcW w:type="dxa" w:w="5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회사 경비이다. 복지비로 부담하면 복리후생이 아니라 임금의 삭감이 된다.</w:t>
            </w:r>
          </w:p>
        </w:tc>
      </w:tr>
      <w:tr>
        <w:tc>
          <w:tcPr>
            <w:tcW w:type="dxa" w:w="2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세금·공과금·보험료·대출 상환</w:t>
            </w:r>
          </w:p>
        </w:tc>
        <w:tc>
          <w:tcPr>
            <w:tcW w:type="dxa" w:w="5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소비가 아니라 의무 지출이다.</w:t>
            </w:r>
          </w:p>
        </w:tc>
      </w:tr>
      <w:tr>
        <w:tc>
          <w:tcPr>
            <w:tcW w:type="dxa" w:w="2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식사비·카페·간식</w:t>
            </w:r>
          </w:p>
        </w:tc>
        <w:tc>
          <w:tcPr>
            <w:tcW w:type="dxa" w:w="5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식대는 임금에 별도로 포함되어 있다.</w:t>
            </w:r>
          </w:p>
        </w:tc>
      </w:tr>
      <w:tr>
        <w:tc>
          <w:tcPr>
            <w:tcW w:type="dxa" w:w="2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담배</w:t>
            </w:r>
          </w:p>
        </w:tc>
        <w:tc>
          <w:tcPr>
            <w:tcW w:type="dxa" w:w="5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건강 항목의 취지에 반한다.</w:t>
            </w:r>
          </w:p>
        </w:tc>
      </w:tr>
      <w:tr>
        <w:tc>
          <w:tcPr>
            <w:tcW w:type="dxa" w:w="2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도박성 콘텐츠·게임 아이템</w:t>
            </w:r>
          </w:p>
        </w:tc>
        <w:tc>
          <w:tcPr>
            <w:tcW w:type="dxa" w:w="5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복리후생의 취지에 맞지 아니한다.</w:t>
            </w:r>
          </w:p>
        </w:tc>
      </w:tr>
    </w:tbl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3. 헷갈리는 경우의 판정</w:t>
      </w:r>
    </w:p>
    <w:p>
      <w:pPr>
        <w:spacing w:after="16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기준은 둘이다. 그것으로 회사 일을 하면 회사 경비이고, 본인이 배우고 즐기고 회복하는 데 쓰면 복지비이다. 그리고 복지비는 사원 본인에게 쓰는 것만 해당한다. 가족을 위한 지출과 여행·숙박은 들어가지 아니한다.</w:t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3200"/>
        <w:gridCol w:w="1200"/>
        <w:gridCol w:w="3800"/>
      </w:tblGrid>
      <w:tr>
        <w:trPr>
          <w:tblHeader/>
        </w:trPr>
        <w:tc>
          <w:tcPr>
            <w:tcW w:type="dxa" w:w="32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상황</w:t>
            </w:r>
          </w:p>
        </w:tc>
        <w:tc>
          <w:tcPr>
            <w:tcW w:type="dxa" w:w="12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판정</w:t>
            </w:r>
          </w:p>
        </w:tc>
        <w:tc>
          <w:tcPr>
            <w:tcW w:type="dxa" w:w="38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근거</w:t>
            </w:r>
          </w:p>
        </w:tc>
      </w:tr>
      <w:tr>
        <w:tc>
          <w:tcPr>
            <w:tcW w:type="dxa" w:w="3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업무에 사용할 디자인 툴 유료 플랜</w:t>
            </w:r>
          </w:p>
        </w:tc>
        <w:tc>
          <w:tcPr>
            <w:tcW w:type="dxa" w:w="1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불가</w:t>
            </w:r>
          </w:p>
        </w:tc>
        <w:tc>
          <w:tcPr>
            <w:tcW w:type="dxa" w:w="3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회사 경비</w:t>
            </w:r>
          </w:p>
        </w:tc>
      </w:tr>
      <w:tr>
        <w:tc>
          <w:tcPr>
            <w:tcW w:type="dxa" w:w="3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개인 포트폴리오 작업용 디자인 툴 플랜</w:t>
            </w:r>
          </w:p>
        </w:tc>
        <w:tc>
          <w:tcPr>
            <w:tcW w:type="dxa" w:w="1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가능</w:t>
            </w:r>
          </w:p>
        </w:tc>
        <w:tc>
          <w:tcPr>
            <w:tcW w:type="dxa" w:w="3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개인 창작</w:t>
            </w:r>
          </w:p>
        </w:tc>
      </w:tr>
      <w:tr>
        <w:tc>
          <w:tcPr>
            <w:tcW w:type="dxa" w:w="3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클라이언트 납품물에 사용할 폰트</w:t>
            </w:r>
          </w:p>
        </w:tc>
        <w:tc>
          <w:tcPr>
            <w:tcW w:type="dxa" w:w="1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불가</w:t>
            </w:r>
          </w:p>
        </w:tc>
        <w:tc>
          <w:tcPr>
            <w:tcW w:type="dxa" w:w="3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회사 경비. 라이선스는 회사가 확보한다</w:t>
            </w:r>
          </w:p>
        </w:tc>
      </w:tr>
      <w:tr>
        <w:tc>
          <w:tcPr>
            <w:tcW w:type="dxa" w:w="3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개인 작업에 사용할 폰트</w:t>
            </w:r>
          </w:p>
        </w:tc>
        <w:tc>
          <w:tcPr>
            <w:tcW w:type="dxa" w:w="1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가능</w:t>
            </w:r>
          </w:p>
        </w:tc>
        <w:tc>
          <w:tcPr>
            <w:tcW w:type="dxa" w:w="3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자기계발</w:t>
            </w:r>
          </w:p>
        </w:tc>
      </w:tr>
      <w:tr>
        <w:tc>
          <w:tcPr>
            <w:tcW w:type="dxa" w:w="3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업무와 관련된 UX 서적</w:t>
            </w:r>
          </w:p>
        </w:tc>
        <w:tc>
          <w:tcPr>
            <w:tcW w:type="dxa" w:w="1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가능</w:t>
            </w:r>
          </w:p>
        </w:tc>
        <w:tc>
          <w:tcPr>
            <w:tcW w:type="dxa" w:w="3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학습은 복리후생으로 본다</w:t>
            </w:r>
          </w:p>
        </w:tc>
      </w:tr>
      <w:tr>
        <w:tc>
          <w:tcPr>
            <w:tcW w:type="dxa" w:w="3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업무용 모니터·키보드·태블릿</w:t>
            </w:r>
          </w:p>
        </w:tc>
        <w:tc>
          <w:tcPr>
            <w:tcW w:type="dxa" w:w="1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불가</w:t>
            </w:r>
          </w:p>
        </w:tc>
        <w:tc>
          <w:tcPr>
            <w:tcW w:type="dxa" w:w="3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회사 경비</w:t>
            </w:r>
          </w:p>
        </w:tc>
      </w:tr>
      <w:tr>
        <w:tc>
          <w:tcPr>
            <w:tcW w:type="dxa" w:w="3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팀 회식·동료와의 식사</w:t>
            </w:r>
          </w:p>
        </w:tc>
        <w:tc>
          <w:tcPr>
            <w:tcW w:type="dxa" w:w="1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불가</w:t>
            </w:r>
          </w:p>
        </w:tc>
        <w:tc>
          <w:tcPr>
            <w:tcW w:type="dxa" w:w="3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회사 경비이거나 타인 포함</w:t>
            </w:r>
          </w:p>
        </w:tc>
      </w:tr>
      <w:tr>
        <w:tc>
          <w:tcPr>
            <w:tcW w:type="dxa" w:w="3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본인이 보는 영화·전시·공연</w:t>
            </w:r>
          </w:p>
        </w:tc>
        <w:tc>
          <w:tcPr>
            <w:tcW w:type="dxa" w:w="1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가능</w:t>
            </w:r>
          </w:p>
        </w:tc>
        <w:tc>
          <w:tcPr>
            <w:tcW w:type="dxa" w:w="3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문화·여가</w:t>
            </w:r>
          </w:p>
        </w:tc>
      </w:tr>
      <w:tr>
        <w:tc>
          <w:tcPr>
            <w:tcW w:type="dxa" w:w="3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가족과 함께 본 영화</w:t>
            </w:r>
          </w:p>
        </w:tc>
        <w:tc>
          <w:tcPr>
            <w:tcW w:type="dxa" w:w="1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불가</w:t>
            </w:r>
          </w:p>
        </w:tc>
        <w:tc>
          <w:tcPr>
            <w:tcW w:type="dxa" w:w="3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가족을 위한 지출은 제외한다</w:t>
            </w:r>
          </w:p>
        </w:tc>
      </w:tr>
      <w:tr>
        <w:tc>
          <w:tcPr>
            <w:tcW w:type="dxa" w:w="3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배우자만 등록한 헬스장</w:t>
            </w:r>
          </w:p>
        </w:tc>
        <w:tc>
          <w:tcPr>
            <w:tcW w:type="dxa" w:w="1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불가</w:t>
            </w:r>
          </w:p>
        </w:tc>
        <w:tc>
          <w:tcPr>
            <w:tcW w:type="dxa" w:w="3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본인이 아니다</w:t>
            </w:r>
          </w:p>
        </w:tc>
      </w:tr>
      <w:tr>
        <w:tc>
          <w:tcPr>
            <w:tcW w:type="dxa" w:w="3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자녀 학원비</w:t>
            </w:r>
          </w:p>
        </w:tc>
        <w:tc>
          <w:tcPr>
            <w:tcW w:type="dxa" w:w="1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불가</w:t>
            </w:r>
          </w:p>
        </w:tc>
        <w:tc>
          <w:tcPr>
            <w:tcW w:type="dxa" w:w="3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가족을 위한 지출은 제외한다</w:t>
            </w:r>
          </w:p>
        </w:tc>
      </w:tr>
      <w:tr>
        <w:tc>
          <w:tcPr>
            <w:tcW w:type="dxa" w:w="3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야근 후 택시비</w:t>
            </w:r>
          </w:p>
        </w:tc>
        <w:tc>
          <w:tcPr>
            <w:tcW w:type="dxa" w:w="1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불가</w:t>
            </w:r>
          </w:p>
        </w:tc>
        <w:tc>
          <w:tcPr>
            <w:tcW w:type="dxa" w:w="3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업무 관련 비용. 회사에 청구한다</w:t>
            </w:r>
          </w:p>
        </w:tc>
      </w:tr>
      <w:tr>
        <w:tc>
          <w:tcPr>
            <w:tcW w:type="dxa" w:w="3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출장 중 숙박비</w:t>
            </w:r>
          </w:p>
        </w:tc>
        <w:tc>
          <w:tcPr>
            <w:tcW w:type="dxa" w:w="1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불가</w:t>
            </w:r>
          </w:p>
        </w:tc>
        <w:tc>
          <w:tcPr>
            <w:tcW w:type="dxa" w:w="3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업무 관련 비용. 회사에 청구한다</w:t>
            </w:r>
          </w:p>
        </w:tc>
      </w:tr>
      <w:tr>
        <w:tc>
          <w:tcPr>
            <w:tcW w:type="dxa" w:w="3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개인 여행 중 숙박비</w:t>
            </w:r>
          </w:p>
        </w:tc>
        <w:tc>
          <w:tcPr>
            <w:tcW w:type="dxa" w:w="1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불가</w:t>
            </w:r>
          </w:p>
        </w:tc>
        <w:tc>
          <w:tcPr>
            <w:tcW w:type="dxa" w:w="3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여행·숙박은 제외한다</w:t>
            </w:r>
          </w:p>
        </w:tc>
      </w:tr>
      <w:tr>
        <w:tc>
          <w:tcPr>
            <w:tcW w:type="dxa" w:w="3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편의점 도시락·커피</w:t>
            </w:r>
          </w:p>
        </w:tc>
        <w:tc>
          <w:tcPr>
            <w:tcW w:type="dxa" w:w="1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불가</w:t>
            </w:r>
          </w:p>
        </w:tc>
        <w:tc>
          <w:tcPr>
            <w:tcW w:type="dxa" w:w="3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식대는 임금에 포함되어 있다</w:t>
            </w:r>
          </w:p>
        </w:tc>
      </w:tr>
      <w:tr>
        <w:tc>
          <w:tcPr>
            <w:tcW w:type="dxa" w:w="3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건강검진 중 회사 부담분</w:t>
            </w:r>
          </w:p>
        </w:tc>
        <w:tc>
          <w:tcPr>
            <w:tcW w:type="dxa" w:w="1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불가</w:t>
            </w:r>
          </w:p>
        </w:tc>
        <w:tc>
          <w:tcPr>
            <w:tcW w:type="dxa" w:w="3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회사가 이미 부담한다</w:t>
            </w:r>
          </w:p>
        </w:tc>
      </w:tr>
      <w:tr>
        <w:tc>
          <w:tcPr>
            <w:tcW w:type="dxa" w:w="3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건강검진 중 추가 검사 자부담분</w:t>
            </w:r>
          </w:p>
        </w:tc>
        <w:tc>
          <w:tcPr>
            <w:tcW w:type="dxa" w:w="1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가능</w:t>
            </w:r>
          </w:p>
        </w:tc>
        <w:tc>
          <w:tcPr>
            <w:tcW w:type="dxa" w:w="3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건강</w:t>
            </w:r>
          </w:p>
        </w:tc>
      </w:tr>
    </w:tbl>
    <w:p>
      <w:pPr>
        <w:spacing w:after="16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pBdr>
          <w:left w:val="single" w:color="D4D6DB" w:sz="6" w:space="10"/>
        </w:pBdr>
        <w:spacing w:after="0" w:before="150"/>
        <w:ind w:left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판단이 서지 않으면 결제 전에 먼저 묻는다. 결제한 뒤에 불가로 판정되면 본인이 부담하게 된다.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4. 증빙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1. 복지카드로 결제하면 카드 사용 내역이 증빙이 되므로 따로 제출할 것이 없다.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2. 다만 상호만으로 품목을 알 수 없는 결제(온라인 결제, 복합 매장 등)는 회사가 영수증이나 내역을 요청할 수 있다.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3. 본문 제4항 단서에 따라 본인 명의 카드로 결제한 경우에는 매출전표 또는 영수증을 매월 말일까지 제출한다. 상호·일자·금액·품목을 확인할 수 있어야 한다.</w:t>
      </w:r>
    </w:p>
    <w:p>
      <w:pPr>
        <w:spacing w:after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ind w:left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이 별첨은 본문과 함께 효력을 가지며, 항목의 추가와 삭제는 본문 제6조에 따른다.</w:t>
      </w:r>
    </w:p>
    <w:sectPr>
      <w:pgSz w:w="11906" w:h="16838" w:orient="portrait"/>
      <w:pgMar w:top="1300" w:right="1200" w:bottom="1300" w:left="12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color w:val="14161B"/>
        <w:sz w:val="20"/>
        <w:szCs w:val="20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2026-10-02T09:25:22.126Z</dcterms:created>
  <dcterms:modified xsi:type="dcterms:W3CDTF">2026-10-02T09:25:22.126Z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