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 w:line="288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마인드(MIN.D)</w:t>
      </w:r>
    </w:p>
    <w:p>
      <w:pPr>
        <w:spacing w:after="6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32"/>
          <w:szCs w:val="32"/>
        </w:rPr>
        <w:t xml:space="preserve">업무 프로세스</w:t>
      </w:r>
    </w:p>
    <w:p>
      <w:pPr>
        <w:pBdr>
          <w:bottom w:val="single" w:color="14161B" w:sz="8" w:space="8"/>
        </w:pBdr>
        <w:spacing w:after="3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spacing w:after="6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spacing w:after="200" w:before="0" w:line="288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최종 개정    2026년 8월 29일        (최초 정리 2026년 8월 6일)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이 문서는 업무 수행 방식에 관한 사내 기준이다. 근로조건을 정한 취업규칙과는 별개이며, 사원은 취업규칙 제10조(복무의무)에 따라 이 기준을 준수한다.</w:t>
      </w:r>
    </w:p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1. 산출물 규칙</w:t>
      </w:r>
    </w:p>
    <w:p>
      <w:pPr>
        <w:spacing w:after="60" w:before="2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1"/>
          <w:szCs w:val="21"/>
        </w:rPr>
        <w:t xml:space="preserve">공통 — 수치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모든 디자인 산출물의 수치는 소수점 없이 정수로 작업한다. 특별한 사유가 없는 한 4의 배수를 적용하며, 크기·위치·간격·모서리 반지름·선 두께 전반에 동일하게 적용한다.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폰트 크기와 행간은 4의 배수 적용에서 제외하되, 이때에도 정수를 사용한다.</w:t>
      </w:r>
    </w:p>
    <w:p>
      <w:pPr>
        <w:spacing w:after="60" w:before="2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1"/>
          <w:szCs w:val="21"/>
        </w:rPr>
        <w:t xml:space="preserve">사전 리서치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디자인을 진행하기 전에 사전 리서치를 반드시 수행한다.</w:t>
      </w:r>
    </w:p>
    <w:p>
      <w:pPr>
        <w:spacing w:after="60" w:before="2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1"/>
          <w:szCs w:val="21"/>
        </w:rPr>
        <w:t xml:space="preserve">피그마 작업</w:t>
      </w:r>
    </w:p>
    <w:tbl>
      <w:tblPr>
        <w:tblW w:type="dxa" w:w="8200"/>
        <w:tblBorders>
          <w:top w:val="single" w:color="14161B" w:sz="8"/>
          <w:left w:val="none" w:color="FFFFFF" w:sz="0"/>
          <w:bottom w:val="single" w:color="14161B" w:sz="8"/>
          <w:right w:val="none" w:color="FFFFFF" w:sz="0"/>
          <w:insideH w:val="single" w:color="D4D6DB" w:sz="4"/>
          <w:insideV w:val="none" w:color="FFFFFF" w:sz="0"/>
        </w:tblBorders>
      </w:tblPr>
      <w:tblGrid>
        <w:gridCol w:w="1700"/>
        <w:gridCol w:w="6500"/>
      </w:tblGrid>
      <w:tr>
        <w:trPr>
          <w:tblHeader/>
        </w:trPr>
        <w:tc>
          <w:tcPr>
            <w:tcW w:type="dxa" w:w="17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항목</w:t>
            </w:r>
          </w:p>
        </w:tc>
        <w:tc>
          <w:tcPr>
            <w:tcW w:type="dxa" w:w="65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규칙</w:t>
            </w:r>
          </w:p>
        </w:tc>
      </w:tr>
      <w:tr>
        <w:tc>
          <w:tcPr>
            <w:tcW w:type="dxa" w:w="1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레이어 이름</w:t>
            </w:r>
          </w:p>
        </w:tc>
        <w:tc>
          <w:tcPr>
            <w:tcW w:type="dxa" w:w="6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자동 생성된 이름을 그대로 두지 아니한다. Frame 1, Rectangle 12, Group 5 등을 금지하며 역할이 드러나는 이름을 붙인다.</w:t>
            </w:r>
          </w:p>
        </w:tc>
      </w:tr>
      <w:tr>
        <w:tc>
          <w:tcPr>
            <w:tcW w:type="dxa" w:w="1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그룹 대신 프레임</w:t>
            </w:r>
          </w:p>
        </w:tc>
        <w:tc>
          <w:tcPr>
            <w:tcW w:type="dxa" w:w="6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그룹은 오토레이아웃과 제약을 적용할 수 없으므로, 요소를 묶을 때에는 프레임을 사용한다.</w:t>
            </w:r>
          </w:p>
        </w:tc>
      </w:tr>
      <w:tr>
        <w:tc>
          <w:tcPr>
            <w:tcW w:type="dxa" w:w="1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오토레이아웃</w:t>
            </w:r>
          </w:p>
        </w:tc>
        <w:tc>
          <w:tcPr>
            <w:tcW w:type="dxa" w:w="6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간격과 여백은 오토레이아웃으로 설정한다. 좌표를 옮겨 눈대중으로 맞추지 아니한다.</w:t>
            </w:r>
          </w:p>
        </w:tc>
      </w:tr>
      <w:tr>
        <w:tc>
          <w:tcPr>
            <w:tcW w:type="dxa" w:w="1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컴포넌트</w:t>
            </w:r>
          </w:p>
        </w:tc>
        <w:tc>
          <w:tcPr>
            <w:tcW w:type="dxa" w:w="6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두 번 이상 반복되는 요소는 컴포넌트로 만든다. 배리언트 속성명은 역할을 기준으로 붙인다. (예: state=default/hover)</w:t>
            </w:r>
          </w:p>
        </w:tc>
      </w:tr>
      <w:tr>
        <w:tc>
          <w:tcPr>
            <w:tcW w:type="dxa" w:w="1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스타일과 변수</w:t>
            </w:r>
          </w:p>
        </w:tc>
        <w:tc>
          <w:tcPr>
            <w:tcW w:type="dxa" w:w="6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색상·타이포그래피·이펙트는 스타일 또는 변수로 등록하여 사용하고 값을 직접 입력하지 아니한다.</w:t>
            </w:r>
          </w:p>
        </w:tc>
      </w:tr>
      <w:tr>
        <w:tc>
          <w:tcPr>
            <w:tcW w:type="dxa" w:w="1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페이지 구성</w:t>
            </w:r>
          </w:p>
        </w:tc>
        <w:tc>
          <w:tcPr>
            <w:tcW w:type="dxa" w:w="6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표지·작업중·검토·완료로 페이지를 나눈다. 완료 페이지에는 확정본만 둔다.</w:t>
            </w:r>
          </w:p>
        </w:tc>
      </w:tr>
      <w:tr>
        <w:tc>
          <w:tcPr>
            <w:tcW w:type="dxa" w:w="1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커버</w:t>
            </w:r>
          </w:p>
        </w:tc>
        <w:tc>
          <w:tcPr>
            <w:tcW w:type="dxa" w:w="6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파일 썸네일을 표지 프레임으로 지정하여 목록에서 내용을 식별할 수 있게 한다.</w:t>
            </w:r>
          </w:p>
        </w:tc>
      </w:tr>
      <w:tr>
        <w:tc>
          <w:tcPr>
            <w:tcW w:type="dxa" w:w="1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정리</w:t>
            </w:r>
          </w:p>
        </w:tc>
        <w:tc>
          <w:tcPr>
            <w:tcW w:type="dxa" w:w="6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숨긴 레이어, 사용하지 않는 컴포넌트, 빈 프레임을 삭제한다.</w:t>
            </w:r>
          </w:p>
        </w:tc>
      </w:tr>
      <w:tr>
        <w:tc>
          <w:tcPr>
            <w:tcW w:type="dxa" w:w="1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개발 전달</w:t>
            </w:r>
          </w:p>
        </w:tc>
        <w:tc>
          <w:tcPr>
            <w:tcW w:type="dxa" w:w="6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간격이 오토레이아웃으로 설정되어 있어야 개발자에게 정확한 수치가 전달된다. 좌표로 배치한 경우 그 수치가 나오지 아니한다.</w:t>
            </w:r>
          </w:p>
        </w:tc>
      </w:tr>
    </w:tbl>
    <w:p>
      <w:pPr>
        <w:pBdr>
          <w:left w:val="single" w:color="D4D6DB" w:sz="6" w:space="10"/>
        </w:pBdr>
        <w:spacing w:after="0" w:before="150"/>
        <w:ind w:left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이 규칙들은 대부분 나중에 다른 사람이 파일을 열었을 때를 위한 것이다. 레이어 이름과 페이지 구분이 없으면 담당자가 바뀌는 순간 파일을 처음부터 다시 읽어야 한다.</w:t>
      </w:r>
    </w:p>
    <w:p>
      <w:pPr>
        <w:spacing w:after="60" w:before="2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1"/>
          <w:szCs w:val="21"/>
        </w:rPr>
        <w:t xml:space="preserve">산출물 관리</w:t>
      </w:r>
    </w:p>
    <w:tbl>
      <w:tblPr>
        <w:tblW w:type="dxa" w:w="8200"/>
        <w:tblBorders>
          <w:top w:val="single" w:color="14161B" w:sz="8"/>
          <w:left w:val="none" w:color="FFFFFF" w:sz="0"/>
          <w:bottom w:val="single" w:color="14161B" w:sz="8"/>
          <w:right w:val="none" w:color="FFFFFF" w:sz="0"/>
          <w:insideH w:val="single" w:color="D4D6DB" w:sz="4"/>
          <w:insideV w:val="none" w:color="FFFFFF" w:sz="0"/>
        </w:tblBorders>
      </w:tblPr>
      <w:tblGrid>
        <w:gridCol w:w="1700"/>
        <w:gridCol w:w="6500"/>
      </w:tblGrid>
      <w:tr>
        <w:trPr>
          <w:tblHeader/>
        </w:trPr>
        <w:tc>
          <w:tcPr>
            <w:tcW w:type="dxa" w:w="17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항목</w:t>
            </w:r>
          </w:p>
        </w:tc>
        <w:tc>
          <w:tcPr>
            <w:tcW w:type="dxa" w:w="65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규칙</w:t>
            </w:r>
          </w:p>
        </w:tc>
      </w:tr>
      <w:tr>
        <w:tc>
          <w:tcPr>
            <w:tcW w:type="dxa" w:w="1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원본과 전달본</w:t>
            </w:r>
          </w:p>
        </w:tc>
        <w:tc>
          <w:tcPr>
            <w:tcW w:type="dxa" w:w="6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원본은 03_디자인에, 전달본은 04_납품에 둔다. 한 폴더에 섞지 아니한다.</w:t>
            </w:r>
          </w:p>
        </w:tc>
      </w:tr>
      <w:tr>
        <w:tc>
          <w:tcPr>
            <w:tcW w:type="dxa" w:w="1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이미지 배수</w:t>
            </w:r>
          </w:p>
        </w:tc>
        <w:tc>
          <w:tcPr>
            <w:tcW w:type="dxa" w:w="6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프로젝트 시작 시 기준 배수를 정하고 종료까지 통일한다. (모바일은 통상 @2x·@3x)</w:t>
            </w:r>
          </w:p>
        </w:tc>
      </w:tr>
      <w:tr>
        <w:tc>
          <w:tcPr>
            <w:tcW w:type="dxa" w:w="1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포맷</w:t>
            </w:r>
          </w:p>
        </w:tc>
        <w:tc>
          <w:tcPr>
            <w:tcW w:type="dxa" w:w="6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사진은 JPG, 투명이 필요한 UI 요소는 PNG, 아이콘과 로고는 SVG로 한다.</w:t>
            </w:r>
          </w:p>
        </w:tc>
      </w:tr>
      <w:tr>
        <w:tc>
          <w:tcPr>
            <w:tcW w:type="dxa" w:w="1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컬러 모드</w:t>
            </w:r>
          </w:p>
        </w:tc>
        <w:tc>
          <w:tcPr>
            <w:tcW w:type="dxa" w:w="6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화면용은 RGB, 인쇄용은 CMYK로 하며 하나의 산출물에 혼용하지 아니한다.</w:t>
            </w:r>
          </w:p>
        </w:tc>
      </w:tr>
      <w:tr>
        <w:tc>
          <w:tcPr>
            <w:tcW w:type="dxa" w:w="1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이미지 포함</w:t>
            </w:r>
          </w:p>
        </w:tc>
        <w:tc>
          <w:tcPr>
            <w:tcW w:type="dxa" w:w="6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외부 링크가 아니라 파일에 포함하여 전달한다. 링크가 끊기면 상대는 내용을 볼 수 없다.</w:t>
            </w:r>
          </w:p>
        </w:tc>
      </w:tr>
      <w:tr>
        <w:tc>
          <w:tcPr>
            <w:tcW w:type="dxa" w:w="1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전달 목록</w:t>
            </w:r>
          </w:p>
        </w:tc>
        <w:tc>
          <w:tcPr>
            <w:tcW w:type="dxa" w:w="6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무엇을 몇 개 전달하는지 목록을 함께 보낸다.</w:t>
            </w:r>
          </w:p>
        </w:tc>
      </w:tr>
      <w:tr>
        <w:tc>
          <w:tcPr>
            <w:tcW w:type="dxa" w:w="1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버전</w:t>
            </w:r>
          </w:p>
        </w:tc>
        <w:tc>
          <w:tcPr>
            <w:tcW w:type="dxa" w:w="6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전달할 때마다 버전을 올리고 이전 판을 삭제하지 아니한다.</w:t>
            </w:r>
          </w:p>
        </w:tc>
      </w:tr>
      <w:tr>
        <w:tc>
          <w:tcPr>
            <w:tcW w:type="dxa" w:w="1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폰트</w:t>
            </w:r>
          </w:p>
        </w:tc>
        <w:tc>
          <w:tcPr>
            <w:tcW w:type="dxa" w:w="6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전달본에 폰트를 포함하는 경우 제7항에 따라 라이선스를 먼저 확인한다.</w:t>
            </w:r>
          </w:p>
        </w:tc>
      </w:tr>
    </w:tbl>
    <w:p>
      <w:pPr>
        <w:spacing w:before="150"/>
        <w:ind w:left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파일명과 폴더 규칙은 제5항에, 전달 직전 점검은 제6항에 있다.</w:t>
      </w:r>
    </w:p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2. 프로젝트 투입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힐스테이트·디에이치·쿠쿠 등 이미 진행 중인 프로젝트에 투입되는 경우, 기존 화면을 충분히 숙지한 후 작업을 시작한다.</w:t>
      </w:r>
    </w:p>
    <w:p>
      <w:pPr>
        <w:pBdr>
          <w:left w:val="single" w:color="D4D6DB" w:sz="6" w:space="10"/>
        </w:pBdr>
        <w:spacing w:after="0" w:before="150"/>
        <w:ind w:left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먼저 만들어진 화면의 규칙을 따르는 것이 우선이다. 기존 방식에 문제가 있다고 판단되면 바꾸기 전에 먼저 논의한다.</w:t>
      </w:r>
    </w:p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3. 요청의 접수와 기록</w:t>
      </w:r>
    </w:p>
    <w:p>
      <w:pPr>
        <w:spacing w:after="60" w:before="2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1"/>
          <w:szCs w:val="21"/>
        </w:rPr>
        <w:t xml:space="preserve">유지보수 의뢰 (KOLON 모바일)</w:t>
      </w:r>
    </w:p>
    <w:p>
      <w:pPr>
        <w:spacing w:after="60" w:line="288"/>
        <w:ind w:left="48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1. 의뢰를 확인하는 즉시 코멘트로 접수를 회신한다. 이모티콘이나 "확인했습니다" 정도면 충분하다.</w:t>
      </w:r>
    </w:p>
    <w:p>
      <w:pPr>
        <w:spacing w:after="60" w:line="288"/>
        <w:ind w:left="48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2. 유지보수 의뢰를 받으면 완료 기한을 반드시 확인한다.</w:t>
      </w:r>
    </w:p>
    <w:p>
      <w:pPr>
        <w:spacing w:after="60" w:line="288"/>
        <w:ind w:left="48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3. 작업 기간의 2분의 1 시점에 1차 내부 컨펌을 진행한다.</w:t>
      </w:r>
    </w:p>
    <w:p>
      <w:pPr>
        <w:spacing w:after="60" w:before="2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1"/>
          <w:szCs w:val="21"/>
        </w:rPr>
        <w:t xml:space="preserve">구두로 받은 요청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전화·메신저·회의 등에서 구두로 받은 요청은 당일 안에 담당자가 정규 채널(코멘트·메일)에 옮겨 적고 상대의 확인을 받는다.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정규 채널에 기록되지 아니한 요청은 접수되지 않은 것으로 본다.</w:t>
      </w:r>
    </w:p>
    <w:p>
      <w:pPr>
        <w:pBdr>
          <w:left w:val="single" w:color="D4D6DB" w:sz="6" w:space="10"/>
        </w:pBdr>
        <w:spacing w:after="0" w:before="150"/>
        <w:ind w:left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구두 요청은 시간이 지나면 양측의 기억이 달라진다. 옮겨 적는 즉시 범위와 기한이 확정되고, 뒤에 다툼이 생겼을 때 근거가 된다.</w:t>
      </w:r>
    </w:p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4. 수정 요청의 관리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① 시안 단계별 수정은 2회를 기본으로 한다. 계약이나 견적에서 달리 정한 경우에는 그에 따른다.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② 수정 요청을 회신할 때에는 몇 차 수정인지를 함께 적는다.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③ 기본 횟수를 초과하는 수정과, 확정된 시안의 방향을 바꾸는 요청은 별도 협의 대상으로 하고 일정과 비용을 다시 정한다.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④ 협의 없이 초과 수정을 진행하지 아니한다.</w:t>
      </w:r>
    </w:p>
    <w:p>
      <w:pPr>
        <w:pBdr>
          <w:left w:val="single" w:color="D4D6DB" w:sz="6" w:space="10"/>
        </w:pBdr>
        <w:spacing w:after="0" w:before="150"/>
        <w:ind w:left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횟수 자체보다 세는 행위를 공개적으로 하는 것이 핵심이다. 세지 않으면 어느 쪽도 범위를 넘고 있다는 사실을 알지 못한 채 작업이 늘어난다.</w:t>
      </w:r>
    </w:p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5. 파일과 폴더</w:t>
      </w:r>
    </w:p>
    <w:p>
      <w:pPr>
        <w:spacing w:after="60" w:before="2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1"/>
          <w:szCs w:val="21"/>
        </w:rPr>
        <w:t xml:space="preserve">파일명</w:t>
      </w:r>
    </w:p>
    <w:p>
      <w:pPr>
        <w:spacing w:after="150"/>
        <w:jc w:val="center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4"/>
          <w:szCs w:val="24"/>
        </w:rPr>
        <w:t xml:space="preserve">업체명 _ 프로젝트명 _ 아젠다명 _ 버전 _ 날짜</w:t>
      </w:r>
    </w:p>
    <w:tbl>
      <w:tblPr>
        <w:tblW w:type="dxa" w:w="8200"/>
        <w:tblBorders>
          <w:top w:val="single" w:color="14161B" w:sz="8"/>
          <w:left w:val="none" w:color="FFFFFF" w:sz="0"/>
          <w:bottom w:val="single" w:color="14161B" w:sz="8"/>
          <w:right w:val="none" w:color="FFFFFF" w:sz="0"/>
          <w:insideH w:val="single" w:color="D4D6DB" w:sz="4"/>
          <w:insideV w:val="none" w:color="FFFFFF" w:sz="0"/>
        </w:tblBorders>
      </w:tblPr>
      <w:tblGrid>
        <w:gridCol w:w="1600"/>
        <w:gridCol w:w="3400"/>
        <w:gridCol w:w="3200"/>
      </w:tblGrid>
      <w:tr>
        <w:trPr>
          <w:tblHeader/>
        </w:trPr>
        <w:tc>
          <w:tcPr>
            <w:tcW w:type="dxa" w:w="16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구성요소</w:t>
            </w:r>
          </w:p>
        </w:tc>
        <w:tc>
          <w:tcPr>
            <w:tcW w:type="dxa" w:w="34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설명</w:t>
            </w:r>
          </w:p>
        </w:tc>
        <w:tc>
          <w:tcPr>
            <w:tcW w:type="dxa" w:w="32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예시</w:t>
            </w:r>
          </w:p>
        </w:tc>
      </w:tr>
      <w:tr>
        <w:tc>
          <w:tcPr>
            <w:tcW w:type="dxa" w:w="16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업체명</w:t>
            </w:r>
          </w:p>
        </w:tc>
        <w:tc>
          <w:tcPr>
            <w:tcW w:type="dxa" w:w="3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클라이언트·발주사 이름</w:t>
            </w:r>
          </w:p>
        </w:tc>
        <w:tc>
          <w:tcPr>
            <w:tcW w:type="dxa" w:w="32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코오롱, 현대건설</w:t>
            </w:r>
          </w:p>
        </w:tc>
      </w:tr>
      <w:tr>
        <w:tc>
          <w:tcPr>
            <w:tcW w:type="dxa" w:w="16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프로젝트명</w:t>
            </w:r>
          </w:p>
        </w:tc>
        <w:tc>
          <w:tcPr>
            <w:tcW w:type="dxa" w:w="3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프로젝트 명칭</w:t>
            </w:r>
          </w:p>
        </w:tc>
        <w:tc>
          <w:tcPr>
            <w:tcW w:type="dxa" w:w="32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헌인마을, myHILLS</w:t>
            </w:r>
          </w:p>
        </w:tc>
      </w:tr>
      <w:tr>
        <w:tc>
          <w:tcPr>
            <w:tcW w:type="dxa" w:w="16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아젠다명</w:t>
            </w:r>
          </w:p>
        </w:tc>
        <w:tc>
          <w:tcPr>
            <w:tcW w:type="dxa" w:w="3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작업 내용·화면명</w:t>
            </w:r>
          </w:p>
        </w:tc>
        <w:tc>
          <w:tcPr>
            <w:tcW w:type="dxa" w:w="32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홈화면개선, 유지보수</w:t>
            </w:r>
          </w:p>
        </w:tc>
      </w:tr>
      <w:tr>
        <w:tc>
          <w:tcPr>
            <w:tcW w:type="dxa" w:w="16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버전</w:t>
            </w:r>
          </w:p>
        </w:tc>
        <w:tc>
          <w:tcPr>
            <w:tcW w:type="dxa" w:w="3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버전 번호</w:t>
            </w:r>
          </w:p>
        </w:tc>
        <w:tc>
          <w:tcPr>
            <w:tcW w:type="dxa" w:w="32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v1, v2</w:t>
            </w:r>
          </w:p>
        </w:tc>
      </w:tr>
      <w:tr>
        <w:tc>
          <w:tcPr>
            <w:tcW w:type="dxa" w:w="16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날짜</w:t>
            </w:r>
          </w:p>
        </w:tc>
        <w:tc>
          <w:tcPr>
            <w:tcW w:type="dxa" w:w="3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작업일자 (YYYYMMDD)</w:t>
            </w:r>
          </w:p>
        </w:tc>
        <w:tc>
          <w:tcPr>
            <w:tcW w:type="dxa" w:w="32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20260806</w:t>
            </w:r>
          </w:p>
        </w:tc>
      </w:tr>
    </w:tbl>
    <w:p>
      <w:pPr>
        <w:spacing w:after="14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ind w:left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예시    </w:t>
      </w: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0"/>
          <w:szCs w:val="20"/>
        </w:rPr>
        <w:t xml:space="preserve">코오롱_헌인마을_홈화면개선_v1_20260806</w:t>
      </w:r>
    </w:p>
    <w:p>
      <w:pPr>
        <w:spacing w:before="120"/>
        <w:ind w:left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「최종」·「진짜최종」은 버전이 아니다. 버전은 v1, v2로 올린다. 날짜는 반드시 여덟 자리로 적는다. 그래야 이름순 정렬이 시간순이 된다.</w:t>
      </w:r>
    </w:p>
    <w:p>
      <w:pPr>
        <w:spacing w:after="60" w:before="2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1"/>
          <w:szCs w:val="21"/>
        </w:rPr>
        <w:t xml:space="preserve">폴더 체계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공유 드라이브의 폴더는 「클라이언트 / 프로젝트 / 연도 / 단계」 순으로 둔다. 단계 폴더는 번호를 붙여 정렬이 흐트러지지 않게 한다.</w:t>
      </w:r>
    </w:p>
    <w:p>
      <w:pPr>
        <w:spacing w:after="6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tbl>
      <w:tblPr>
        <w:tblW w:type="dxa" w:w="8200"/>
        <w:tblBorders>
          <w:top w:val="single" w:color="14161B" w:sz="8"/>
          <w:left w:val="none" w:color="FFFFFF" w:sz="0"/>
          <w:bottom w:val="single" w:color="14161B" w:sz="8"/>
          <w:right w:val="none" w:color="FFFFFF" w:sz="0"/>
          <w:insideH w:val="single" w:color="D4D6DB" w:sz="4"/>
          <w:insideV w:val="none" w:color="FFFFFF" w:sz="0"/>
        </w:tblBorders>
      </w:tblPr>
      <w:tblGrid>
        <w:gridCol w:w="1800"/>
        <w:gridCol w:w="6400"/>
      </w:tblGrid>
      <w:tr>
        <w:trPr>
          <w:tblHeader/>
        </w:trPr>
        <w:tc>
          <w:tcPr>
            <w:tcW w:type="dxa" w:w="18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단계</w:t>
            </w:r>
          </w:p>
        </w:tc>
        <w:tc>
          <w:tcPr>
            <w:tcW w:type="dxa" w:w="64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담는 것</w:t>
            </w:r>
          </w:p>
        </w:tc>
      </w:tr>
      <w:tr>
        <w:tc>
          <w:tcPr>
            <w:tcW w:type="dxa" w:w="1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01_리서치</w:t>
            </w:r>
          </w:p>
        </w:tc>
        <w:tc>
          <w:tcPr>
            <w:tcW w:type="dxa" w:w="6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사전 조사, 레퍼런스, 경쟁 서비스 분석</w:t>
            </w:r>
          </w:p>
        </w:tc>
      </w:tr>
      <w:tr>
        <w:tc>
          <w:tcPr>
            <w:tcW w:type="dxa" w:w="1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02_기획</w:t>
            </w:r>
          </w:p>
        </w:tc>
        <w:tc>
          <w:tcPr>
            <w:tcW w:type="dxa" w:w="6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구조도, 와이어프레임, 시나리오</w:t>
            </w:r>
          </w:p>
        </w:tc>
      </w:tr>
      <w:tr>
        <w:tc>
          <w:tcPr>
            <w:tcW w:type="dxa" w:w="1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03_디자인</w:t>
            </w:r>
          </w:p>
        </w:tc>
        <w:tc>
          <w:tcPr>
            <w:tcW w:type="dxa" w:w="6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작업 중인 디자인 원본</w:t>
            </w:r>
          </w:p>
        </w:tc>
      </w:tr>
      <w:tr>
        <w:tc>
          <w:tcPr>
            <w:tcW w:type="dxa" w:w="1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04_납품</w:t>
            </w:r>
          </w:p>
        </w:tc>
        <w:tc>
          <w:tcPr>
            <w:tcW w:type="dxa" w:w="6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클라이언트에게 전달한 최종본만</w:t>
            </w:r>
          </w:p>
        </w:tc>
      </w:tr>
      <w:tr>
        <w:tc>
          <w:tcPr>
            <w:tcW w:type="dxa" w:w="1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05_아카이브</w:t>
            </w:r>
          </w:p>
        </w:tc>
        <w:tc>
          <w:tcPr>
            <w:tcW w:type="dxa" w:w="6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종료된 프로젝트의 보관본</w:t>
            </w:r>
          </w:p>
        </w:tc>
      </w:tr>
    </w:tbl>
    <w:p>
      <w:pPr>
        <w:spacing w:after="12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04_납품 폴더에는 실제로 전달한 최종본만 둔다. 작업 중 파일을 함께 두지 아니한다.</w:t>
      </w:r>
    </w:p>
    <w:p>
      <w:pPr>
        <w:pBdr>
          <w:left w:val="single" w:color="D4D6DB" w:sz="6" w:space="10"/>
        </w:pBdr>
        <w:spacing w:after="0" w:before="150"/>
        <w:ind w:left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파일명이 정확해도 한 폴더에 쌓이면 찾을 수 없다. 납품 폴더에 작업 파일이 섞이면 잘못된 파일을 전달하는 사고로 이어진다.</w:t>
      </w:r>
    </w:p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6. 납품 전 점검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클라이언트에게 파일을 전달하기 전에 다음을 확인한다.</w:t>
      </w:r>
    </w:p>
    <w:p>
      <w:pPr>
        <w:spacing w:after="60" w:line="288"/>
        <w:ind w:left="48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1. 수치가 정수이며 4의 배수인가</w:t>
      </w:r>
    </w:p>
    <w:p>
      <w:pPr>
        <w:spacing w:after="60" w:line="288"/>
        <w:ind w:left="48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2. 텍스트에 오탈자가 없는가</w:t>
      </w:r>
    </w:p>
    <w:p>
      <w:pPr>
        <w:spacing w:after="60" w:line="288"/>
        <w:ind w:left="48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3. 이미지 해상도가 충분한가</w:t>
      </w:r>
    </w:p>
    <w:p>
      <w:pPr>
        <w:spacing w:after="60" w:line="288"/>
        <w:ind w:left="48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4. 사용하지 않는 레이어·아트보드를 정리했는가</w:t>
      </w:r>
    </w:p>
    <w:p>
      <w:pPr>
        <w:spacing w:after="60" w:line="288"/>
        <w:ind w:left="48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5. 파일명이 규칙을 따르는가</w:t>
      </w:r>
    </w:p>
    <w:p>
      <w:pPr>
        <w:spacing w:after="60" w:line="288"/>
        <w:ind w:left="48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6. 폰트와 이미지의 라이선스를 확인했는가</w:t>
      </w:r>
    </w:p>
    <w:p>
      <w:pPr>
        <w:pBdr>
          <w:left w:val="single" w:color="D4D6DB" w:sz="6" w:space="10"/>
        </w:pBdr>
        <w:spacing w:after="0" w:before="150"/>
        <w:ind w:left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제1항의 수치 규칙은 확인하는 지점이 있어야 실제로 지켜진다. 5분이면 끝나는 점검이 재작업 하루를 막는다.</w:t>
      </w:r>
    </w:p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7. 폰트와 이미지의 라이선스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① 프로젝트를 시작할 때 사용할 폰트와 유료 이미지를 목록으로 남긴다.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② 상업적 이용이 허용되는지, 웹폰트 사용과 임베딩이 허용되는지를 각각 확인한다. 무료 폰트도 확인 대상이다.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③ 확인되지 아니한 폰트·이미지는 납품물에 포함하지 아니한다.</w:t>
      </w:r>
    </w:p>
    <w:p>
      <w:pPr>
        <w:pBdr>
          <w:left w:val="single" w:color="D4D6DB" w:sz="6" w:space="10"/>
        </w:pBdr>
        <w:spacing w:after="0" w:before="150"/>
        <w:ind w:left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라이선스 없는 폰트가 클라이언트 납품물에 포함되면 그 책임은 회사가 진다. 사용한 사람이 기억하지 못해도 파일에는 남는다.</w:t>
      </w:r>
    </w:p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8. 자료 공유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① 개인 저장소는 사용하지 아니한다. OneDrive 등 개인 클라우드에 업무 자료를 두지 않는다.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② 개인 자료를 제외한 모든 업무 자료는 회사 내 공유 드라이브에만 저장한다.</w:t>
      </w:r>
    </w:p>
    <w:p>
      <w:pPr>
        <w:pBdr>
          <w:left w:val="single" w:color="D4D6DB" w:sz="6" w:space="10"/>
        </w:pBdr>
        <w:spacing w:after="0" w:before="150"/>
        <w:ind w:left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클라이언트 자료와 미공개 프로젝트 정보는 취업규칙 제15조(비밀유지)의 대상이다. 개인 저장소에 두면 회사가 접근·회수할 수 없어 퇴직 시 반납 의무를 이행할 수 없고, 담당자가 부재한 동안에는 누구도 파일을 열 수 없다.</w:t>
      </w:r>
    </w:p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9. 일정과 시간의 기록</w:t>
      </w:r>
    </w:p>
    <w:tbl>
      <w:tblPr>
        <w:tblW w:type="dxa" w:w="8200"/>
        <w:tblBorders>
          <w:top w:val="single" w:color="14161B" w:sz="8"/>
          <w:left w:val="none" w:color="FFFFFF" w:sz="0"/>
          <w:bottom w:val="single" w:color="14161B" w:sz="8"/>
          <w:right w:val="none" w:color="FFFFFF" w:sz="0"/>
          <w:insideH w:val="single" w:color="D4D6DB" w:sz="4"/>
          <w:insideV w:val="none" w:color="FFFFFF" w:sz="0"/>
        </w:tblBorders>
      </w:tblPr>
      <w:tblGrid>
        <w:gridCol w:w="2400"/>
        <w:gridCol w:w="5800"/>
      </w:tblGrid>
      <w:tr>
        <w:trPr>
          <w:tblHeader/>
        </w:trPr>
        <w:tc>
          <w:tcPr>
            <w:tcW w:type="dxa" w:w="24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업무 유형</w:t>
            </w:r>
          </w:p>
        </w:tc>
        <w:tc>
          <w:tcPr>
            <w:tcW w:type="dxa" w:w="58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처리 방법</w:t>
            </w:r>
          </w:p>
        </w:tc>
      </w:tr>
      <w:tr>
        <w:tc>
          <w:tcPr>
            <w:tcW w:type="dxa" w:w="2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즉시 처리할 업무</w:t>
            </w:r>
          </w:p>
        </w:tc>
        <w:tc>
          <w:tcPr>
            <w:tcW w:type="dxa" w:w="5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담당받은 즉시 처리한 후 업무일지에 기록한다</w:t>
            </w:r>
          </w:p>
        </w:tc>
      </w:tr>
      <w:tr>
        <w:tc>
          <w:tcPr>
            <w:tcW w:type="dxa" w:w="2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시일이 필요한 업무</w:t>
            </w:r>
          </w:p>
        </w:tc>
        <w:tc>
          <w:tcPr>
            <w:tcW w:type="dxa" w:w="5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미리 알림에 등록하고 완료 예정일을 기재하여 공유한다</w:t>
            </w:r>
          </w:p>
        </w:tc>
      </w:tr>
    </w:tbl>
    <w:p>
      <w:pPr>
        <w:spacing w:after="14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근태를 기록할 때 그날 주로 작업한 프로젝트명을 함께 적는다. 프로젝트명은 매번 같은 표기를 사용한다.</w:t>
      </w:r>
    </w:p>
    <w:p>
      <w:pPr>
        <w:pBdr>
          <w:left w:val="single" w:color="D4D6DB" w:sz="6" w:space="10"/>
        </w:pBdr>
        <w:spacing w:after="0" w:before="150"/>
        <w:ind w:left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프로젝트별로 몇 시간이 들어갔는지가 남아야 다음 견적의 근거가 생긴다. 근태·연차 관리대장의 「프로젝트집계」 시트가 이 기록을 자동으로 모은다.</w:t>
      </w:r>
    </w:p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10. 입사 첫 주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신규 입사자는 첫 주에 다음을 확인한다.</w:t>
      </w:r>
    </w:p>
    <w:p>
      <w:pPr>
        <w:spacing w:after="60" w:line="288"/>
        <w:ind w:left="48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1. 취업규칙과 근무 정책 안내서를 열람한다.</w:t>
      </w:r>
    </w:p>
    <w:p>
      <w:pPr>
        <w:spacing w:after="60" w:line="288"/>
        <w:ind w:left="48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2. 이 문서(업무 프로세스)를 읽는다.</w:t>
      </w:r>
    </w:p>
    <w:p>
      <w:pPr>
        <w:spacing w:after="60" w:line="288"/>
        <w:ind w:left="48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3. 공유 드라이브의 폴더 체계와 접근 권한을 확인한다.</w:t>
      </w:r>
    </w:p>
    <w:p>
      <w:pPr>
        <w:spacing w:after="60" w:line="288"/>
        <w:ind w:left="48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4. 근태 기록 방법과 휴가 신청 방법을 확인한다.</w:t>
      </w:r>
    </w:p>
    <w:p>
      <w:pPr>
        <w:spacing w:after="60" w:line="288"/>
        <w:ind w:left="48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5. 담당할 프로젝트의 기존 화면과 진행 경과를 확인한다.</w:t>
      </w:r>
    </w:p>
    <w:p>
      <w:pPr>
        <w:spacing w:after="36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spacing w:after="100" w:before="0" w:line="288"/>
        <w:jc w:val="center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마인드(MIN.D)</w:t>
      </w:r>
    </w:p>
    <w:p>
      <w:pPr>
        <w:spacing w:after="100" w:before="0" w:line="288"/>
        <w:jc w:val="center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대표    최 민 숙</w:t>
      </w:r>
    </w:p>
    <w:sectPr>
      <w:pgSz w:w="11906" w:h="16838" w:orient="portrait"/>
      <w:pgMar w:top="1300" w:right="1200" w:bottom="1300" w:left="120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color w:val="14161B"/>
        <w:sz w:val="20"/>
        <w:szCs w:val="20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2026-10-02T09:25:22.087Z</dcterms:created>
  <dcterms:modified xsi:type="dcterms:W3CDTF">2026-10-02T09:25:22.087Z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