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9"/>
          <w:szCs w:val="19"/>
        </w:rPr>
        <w:t xml:space="preserve">마인드(MIN.D)</w:t>
      </w:r>
    </w:p>
    <w:p>
      <w:pPr>
        <w:spacing w:after="6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32"/>
          <w:szCs w:val="32"/>
        </w:rPr>
        <w:t xml:space="preserve">연 봉 계 약 서</w:t>
      </w:r>
    </w:p>
    <w:p>
      <w:pPr>
        <w:pBdr>
          <w:bottom w:val="single" w:color="14161B" w:sz="8" w:space="8"/>
        </w:pBdr>
        <w:spacing w:after="3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6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마인드(MIN.D)(이하 "사업주")와 아래 근로자(이하 "근로자")는 취업규칙 제34조에 따라 다음과 같이 연봉을 정한다.</w:t>
      </w:r>
    </w:p>
    <w:p>
      <w:pPr>
        <w:spacing w:after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1800"/>
        <w:gridCol w:w="6400"/>
      </w:tblGrid>
      <w:tr>
        <w:trPr>
          <w:tblHeader/>
        </w:trPr>
        <w:tc>
          <w:tcPr>
            <w:tcW w:type="dxa" w:w="18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64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내용</w:t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성명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입사일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직위 / 직무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8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계약기간</w:t>
            </w:r>
          </w:p>
        </w:tc>
        <w:tc>
          <w:tcPr>
            <w:tcW w:type="dxa" w:w="64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          년      월      일  ~            년      월      일  (12개월)</w:t>
            </w:r>
          </w:p>
        </w:tc>
      </w:tr>
    </w:tbl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제1조 (연봉액)</w:t>
      </w:r>
    </w:p>
    <w:tbl>
      <w:tblPr>
        <w:tblW w:type="dxa" w:w="8200"/>
        <w:tblBorders>
          <w:top w:val="single" w:color="14161B" w:sz="8"/>
          <w:left w:val="none" w:color="FFFFFF" w:sz="0"/>
          <w:bottom w:val="single" w:color="14161B" w:sz="8"/>
          <w:right w:val="none" w:color="FFFFFF" w:sz="0"/>
          <w:insideH w:val="single" w:color="D4D6DB" w:sz="4"/>
          <w:insideV w:val="none" w:color="FFFFFF" w:sz="0"/>
        </w:tblBorders>
      </w:tblPr>
      <w:tblGrid>
        <w:gridCol w:w="2000"/>
        <w:gridCol w:w="2100"/>
        <w:gridCol w:w="2100"/>
        <w:gridCol w:w="2000"/>
      </w:tblGrid>
      <w:tr>
        <w:trPr>
          <w:tblHeader/>
        </w:trPr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구분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종전</w:t>
            </w:r>
          </w:p>
        </w:tc>
        <w:tc>
          <w:tcPr>
            <w:tcW w:type="dxa" w:w="21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조정</w:t>
            </w:r>
          </w:p>
        </w:tc>
        <w:tc>
          <w:tcPr>
            <w:tcW w:type="dxa" w:w="2000"/>
            <w:shd w:fill="F4F5F7" w:color="auto" w:val="clear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14161B"/>
                <w:sz w:val="19"/>
                <w:szCs w:val="19"/>
              </w:rPr>
              <w:t xml:space="preserve">증감</w:t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연봉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월 지급액 (원)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인상률 (%)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평가 등급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  <w:tc>
          <w:tcPr>
            <w:tcW w:type="dxa" w:w="21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95"/>
              <w:left w:type="dxa" w:w="130"/>
              <w:bottom w:type="dxa" w:w="95"/>
              <w:right w:type="dxa" w:w="130"/>
            </w:tcMar>
          </w:tcPr>
          <w:p>
            <w:pPr>
              <w:spacing w:line="264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19"/>
                <w:szCs w:val="19"/>
              </w:rPr>
              <w:t xml:space="preserve">—</w:t>
            </w:r>
          </w:p>
        </w:tc>
      </w:tr>
    </w:tbl>
    <w:p>
      <w:pPr>
        <w:spacing w:after="15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연봉액은 12로 나누어 매월 균등하게 지급하며, 지급일은 당월 말일로 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월 지급액은 기본급과 식대로 구성한다. 식대는 「소득세법」이 정한 한도까지 비과세로 처리한다.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연봉액에는 연장근로·야간근로 및 휴일근로에 대한 임금이 포함되어 있지 아니하다. 이 계약은 포괄임금 약정이 아니다.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④ 연장근로·야간근로에 대하여는 통상임금의 100분의 50을, 휴일근로에 대하여는 8시간 이내는 100분의 50을, 8시간을 초과한 시간은 100분의 100을 가산하여 그 사유가 발생한 달의 다음 달 지급일에 지급한다. (취업규칙 제21조)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⑤ 통상임금은 월 통상임금을 월 소정근로시간 209시간으로 나누어 산정한다.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제2조 (적용기간)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 따른 연봉은 제1조의 계약기간 동안 적용한다.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계약기간이 만료된 후 새로운 연봉계약이 체결되지 아니한 경우에는 종전 연봉을 계속 적용한다.</w:t>
      </w:r>
    </w:p>
    <w:p>
      <w:pPr>
        <w:keepNext/>
        <w:pBdr>
          <w:bottom w:val="single" w:color="14161B" w:sz="8" w:space="7"/>
        </w:pBdr>
        <w:spacing w:after="130" w:before="340"/>
      </w:pPr>
      <w:r>
        <w:rPr>
          <w:rFonts w:ascii="맑은 고딕" w:cs="맑은 고딕" w:eastAsia="맑은 고딕" w:hAnsi="맑은 고딕"/>
          <w:b/>
          <w:bCs/>
          <w:i w:val="false"/>
          <w:iCs w:val="false"/>
          <w:color w:val="14161B"/>
          <w:sz w:val="22"/>
          <w:szCs w:val="22"/>
        </w:rPr>
        <w:t xml:space="preserve">제3조 (그 밖의 사항)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① 이 계약에서 정하지 아니한 사항은 근로계약서와 취업규칙 및 노동관계법령에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② 취업규칙에서 정한 기준에 미달하는 부분은 취업규칙에 따르고, 이 계약이 취업규칙보다 근로자에게 유리한 경우에는 이 계약에 따른다.</w:t>
      </w:r>
    </w:p>
    <w:p>
      <w:pPr>
        <w:spacing w:after="70" w:line="288"/>
        <w:ind w:left="200" w:hanging="20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③ 퇴직급여는 이 계약의 연봉에 포함되지 아니하며, 「근로자퇴직급여 보장법」에 따라 별도로 적립·지급한다.</w:t>
      </w:r>
    </w:p>
    <w:p>
      <w:pPr>
        <w:spacing w:after="320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/>
      </w:r>
    </w:p>
    <w:p>
      <w:pPr>
        <w:spacing w:after="360" w:before="0" w:line="288"/>
        <w:jc w:val="lef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이 계약서는 2통을 작성하여 사업주와 근로자가 각각 1통씩 보관한다.</w:t>
      </w:r>
    </w:p>
    <w:p>
      <w:pPr>
        <w:spacing w:after="0" w:before="0" w:line="288"/>
        <w:jc w:val="center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14161B"/>
          <w:sz w:val="20"/>
          <w:szCs w:val="20"/>
        </w:rPr>
        <w:t xml:space="preserve">        년        월        일</w:t>
      </w:r>
    </w:p>
    <w:tbl>
      <w:tblPr>
        <w:tblW w:type="dxa" w:w="82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2600"/>
        <w:gridCol w:w="1500"/>
        <w:gridCol w:w="2600"/>
      </w:tblGrid>
      <w:tr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사 업 주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>마인드(MIN.D)   대표  최 민 숙</w:t>
            </w:r>
          </w:p>
        </w:tc>
        <w:tc>
          <w:tcPr>
            <w:tcW w:type="dxa" w:w="1500"/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/>
                <w:bCs/>
                <w:i w:val="false"/>
                <w:iCs w:val="false"/>
                <w:color w:val="6B7280"/>
                <w:sz w:val="20"/>
                <w:szCs w:val="20"/>
              </w:rPr>
              <w:t xml:space="preserve">근 로 자</w:t>
            </w:r>
          </w:p>
        </w:tc>
        <w:tc>
          <w:tcPr>
            <w:tcW w:type="dxa" w:w="2600"/>
            <w:tcBorders>
              <w:bottom w:val="single" w:color="D4D6DB" w:sz="4"/>
            </w:tcBorders>
            <w:tcMar>
              <w:top w:type="dxa" w:w="260"/>
              <w:left w:type="dxa" w:w="0"/>
              <w:bottom w:type="dxa" w:w="120"/>
              <w:right w:type="dxa" w:w="130"/>
            </w:tcMar>
          </w:tcPr>
          <w:p>
            <w:r>
              <w:rPr>
                <w:rFonts w:ascii="맑은 고딕" w:cs="맑은 고딕" w:eastAsia="맑은 고딕" w:hAnsi="맑은 고딕"/>
                <w:b w:val="false"/>
                <w:bCs w:val="false"/>
                <w:i w:val="false"/>
                <w:iCs w:val="false"/>
                <w:color w:val="14161B"/>
                <w:sz w:val="20"/>
                <w:szCs w:val="20"/>
              </w:rPr>
              <w:t xml:space="preserve"/>
            </w:r>
          </w:p>
        </w:tc>
      </w:tr>
    </w:tbl>
    <w:p>
      <w:pPr>
        <w:jc w:val="right"/>
      </w:pPr>
      <w:r>
        <w:rPr>
          <w:rFonts w:ascii="맑은 고딕" w:cs="맑은 고딕" w:eastAsia="맑은 고딕" w:hAnsi="맑은 고딕"/>
          <w:b w:val="false"/>
          <w:bCs w:val="false"/>
          <w:i w:val="false"/>
          <w:iCs w:val="false"/>
          <w:color w:val="6B7280"/>
          <w:sz w:val="18"/>
          <w:szCs w:val="18"/>
        </w:rPr>
        <w:t xml:space="preserve">(각 서명 또는 인)</w:t>
      </w:r>
    </w:p>
    <w:sectPr>
      <w:pgSz w:w="11906" w:h="16838" w:orient="portrait"/>
      <w:pgMar w:top="1300" w:right="1200" w:bottom="13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4161B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2026-08-29T10:32:09.423Z</dcterms:created>
  <dcterms:modified xsi:type="dcterms:W3CDTF">2026-08-29T10:32:09.423Z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