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마인드(MIN.D)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32"/>
          <w:szCs w:val="32"/>
        </w:rPr>
        <w:t xml:space="preserve">복지카드 운영지침</w:t>
      </w:r>
    </w:p>
    <w:p>
      <w:pPr>
        <w:pBdr>
          <w:bottom w:val="single" w:color="14161B" w:sz="8" w:space="8"/>
        </w:pBdr>
        <w:spacing w:after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이 지침은 사원의 복리후생을 위하여 회사가 지원하는 복지비의 사용 기준을 정한다.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복지비는 법정 의무가 아니라 회사가 자율로 지급하는 것이며, 지급 여부와 금액은 매년 회사의 경영 상황에 따라 정한다. 이 지침에서 정한 금액은 해당 연도에 한하여 적용한다.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1. 지원 금액</w:t>
      </w:r>
    </w:p>
    <w:tbl>
      <w:tblPr>
        <w:tblW w:type="dxa" w:w="82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1800"/>
        <w:gridCol w:w="2600"/>
        <w:gridCol w:w="3800"/>
      </w:tblGrid>
      <w:tr>
        <w:trPr>
          <w:tblHeader/>
        </w:trPr>
        <w:tc>
          <w:tcPr>
            <w:tcW w:type="dxa" w:w="18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구분</w:t>
            </w:r>
          </w:p>
        </w:tc>
        <w:tc>
          <w:tcPr>
            <w:tcW w:type="dxa" w:w="26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금액</w:t>
            </w:r>
          </w:p>
        </w:tc>
        <w:tc>
          <w:tcPr>
            <w:tcW w:type="dxa" w:w="38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월 한도</w:t>
            </w:r>
          </w:p>
        </w:tc>
        <w:tc>
          <w:tcPr>
            <w:tcW w:type="dxa" w:w="26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100,000원</w:t>
            </w:r>
          </w:p>
        </w:tc>
        <w:tc>
          <w:tcPr>
            <w:tcW w:type="dxa" w:w="3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이월되지 아니한다</w:t>
            </w:r>
          </w:p>
        </w:tc>
      </w:tr>
      <w:tr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연 한도</w:t>
            </w:r>
          </w:p>
        </w:tc>
        <w:tc>
          <w:tcPr>
            <w:tcW w:type="dxa" w:w="26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1,200,000원</w:t>
            </w:r>
          </w:p>
        </w:tc>
        <w:tc>
          <w:tcPr>
            <w:tcW w:type="dxa" w:w="3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12개월 기준</w:t>
            </w:r>
          </w:p>
        </w:tc>
      </w:tr>
      <w:tr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입사 첫 해</w:t>
            </w:r>
          </w:p>
        </w:tc>
        <w:tc>
          <w:tcPr>
            <w:tcW w:type="dxa" w:w="26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월 한도 × 재직 개월수</w:t>
            </w:r>
          </w:p>
        </w:tc>
        <w:tc>
          <w:tcPr>
            <w:tcW w:type="dxa" w:w="3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입사일이 속한 달부터 산정</w:t>
            </w:r>
          </w:p>
        </w:tc>
      </w:tr>
      <w:tr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퇴사</w:t>
            </w:r>
          </w:p>
        </w:tc>
        <w:tc>
          <w:tcPr>
            <w:tcW w:type="dxa" w:w="26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퇴사일이 속한 달까지</w:t>
            </w:r>
          </w:p>
        </w:tc>
        <w:tc>
          <w:tcPr>
            <w:tcW w:type="dxa" w:w="3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미사용분은 정산하지 아니한다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미사용 금액은 다음 달로 이월되지 아니하며, 현금으로 지급하지 아니한다.</w:t>
      </w:r>
    </w:p>
    <w:p>
      <w:pPr>
        <w:pBdr>
          <w:left w:val="single" w:color="D4D6DB" w:sz="6" w:space="10"/>
        </w:pBdr>
        <w:spacing w:after="0" w:before="150"/>
        <w:ind w:lef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중소기업의 일반적인 수준은 월 10만원에서 20만원 사이이다. 마인드는 월 10만원으로 시작하고, 경영 상황이 나아지면 인상을 검토한다. 이월과 현금 지급을 막는 것은 복지비가 급여의 일부로 인식되지 않도록 하기 위한 것이다.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2. 사용할 수 있는 항목</w:t>
      </w:r>
    </w:p>
    <w:tbl>
      <w:tblPr>
        <w:tblW w:type="dxa" w:w="82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1700"/>
        <w:gridCol w:w="6500"/>
      </w:tblGrid>
      <w:tr>
        <w:trPr>
          <w:tblHeader/>
        </w:trPr>
        <w:tc>
          <w:tcPr>
            <w:tcW w:type="dxa" w:w="17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분류</w:t>
            </w:r>
          </w:p>
        </w:tc>
        <w:tc>
          <w:tcPr>
            <w:tcW w:type="dxa" w:w="65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도서·교육</w:t>
            </w:r>
          </w:p>
        </w:tc>
        <w:tc>
          <w:tcPr>
            <w:tcW w:type="dxa" w:w="6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도서, 온라인 강의, 세미나, 워크숍, 어학, 자격증 응시료</w:t>
            </w:r>
          </w:p>
        </w:tc>
      </w:tr>
      <w:tr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문화·여가</w:t>
            </w:r>
          </w:p>
        </w:tc>
        <w:tc>
          <w:tcPr>
            <w:tcW w:type="dxa" w:w="6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공연, 전시, 영화, 콘텐츠 구독 서비스</w:t>
            </w:r>
          </w:p>
        </w:tc>
      </w:tr>
      <w:tr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건강</w:t>
            </w:r>
          </w:p>
        </w:tc>
        <w:tc>
          <w:tcPr>
            <w:tcW w:type="dxa" w:w="6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헬스장, 요가, 필라테스, 건강검진 자부담분, 병원 진료비, 안경</w:t>
            </w:r>
          </w:p>
        </w:tc>
      </w:tr>
      <w:tr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자기계발</w:t>
            </w:r>
          </w:p>
        </w:tc>
        <w:tc>
          <w:tcPr>
            <w:tcW w:type="dxa" w:w="6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개인 학습용 소프트웨어 구독, 개인 명의 폰트 구매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pBdr>
          <w:left w:val="single" w:color="D4D6DB" w:sz="6" w:space="10"/>
        </w:pBdr>
        <w:spacing w:after="0" w:before="150"/>
        <w:ind w:lef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복지비는 사원 본인의 학습·건강·문화생활에 한정한다. 여행·숙박과 가족을 위한 지출은 대상에서 제외한다. 금액이 월 10만원이므로 범위를 넓히면 어느 항목도 의미 있게 지원되지 아니하기 때문이다.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3. 사용할 수 없는 항목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1. 주류 및 유흥업소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2. 상품권·기프트카드 등 현금성 자산의 구입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3. 본인 외의 사람을 위한 지출. 복지카드를 타인이 사용하게 하는 것을 포함한다.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4. 여행·숙박·항공·여행상품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5. 업무 수행에 필요한 비용. 업무용 소프트웨어·장비·폰트·도서는 회사 경비로 처리한다.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6. 세금·공과금·보험료·대출 상환</w:t>
      </w:r>
    </w:p>
    <w:p>
      <w:pPr>
        <w:pBdr>
          <w:left w:val="single" w:color="D4D6DB" w:sz="6" w:space="10"/>
        </w:pBdr>
        <w:spacing w:after="0" w:before="150"/>
        <w:ind w:lef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제5호가 특히 중요하다. 업무에 필요한 것을 개인 복지비로 사도록 하면 복지비가 아니라 임금 삭감이 된다. 업무용은 회사에 요청한다.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4. 사용 절차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1. 회사는 사원에게 복지카드를 발급하여 지급한다. 카드는 사원 본인만 사용한다.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2. 사원은 제1항의 한도 안에서 복지카드로 직접 결제한다. 별도의 신청이나 영수증 제출을 요하지 아니한다.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3. 월 한도를 초과한 금액은 사원이 부담한다.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4. 결제 내역만으로 품목을 확인할 수 없는 경우 회사는 영수증의 제출을 요청할 수 있다.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5. 제3항에 해당하지 아니하는 항목을 결제한 경우 해당 금액을 회사에 반환하거나 다음 달 복지비에서 차감한다.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6. 퇴직하거나 휴직하는 경우 복지카드를 반납한다. 분실한 경우 지체 없이 회사에 알리고 회사는 즉시 사용을 정지한다.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복지카드를 발급하지 못하는 사정이 있는 경우에는 본인 명의의 카드로 결제한 뒤 영수증을 매월 말일까지 제출하고, 회사는 확인 후 다음 달 임금 지급일에 지급한다.</w:t>
      </w:r>
    </w:p>
    <w:p>
      <w:pPr>
        <w:pBdr>
          <w:left w:val="single" w:color="D4D6DB" w:sz="6" w:space="10"/>
        </w:pBdr>
        <w:spacing w:after="0" w:before="150"/>
        <w:ind w:lef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카드를 지급하면 사원은 정산 절차를 밟지 않아도 되고, 회사는 지출증빙을 바로 확보한다. 한도를 카드 한도로 설정해 두면 초과 사용 자체가 일어나지 아니한다.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5. 세무 처리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복지비는 소득세법상 근로소득에 해당하여 과세 대상이 될 수 있다. 다만 직무와 관련된 교육훈련비 등 법령에서 비과세로 정한 항목은 그러하지 아니하다.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복지카드로 결제한 금액은 회사가 지출한 것이므로 사원의 연말정산 신용카드 등 사용금액 소득공제 대상이 아니다.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③ 복지카드 결제분은 사업과 직접 관련된 지출이 아니므로 부가가치세 매입세액 공제 대상이 아니다.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④ 구체적인 처리는 회사의 세무 대리인의 판단에 따른다.</w:t>
      </w:r>
    </w:p>
    <w:p>
      <w:pPr>
        <w:pBdr>
          <w:left w:val="single" w:color="D4D6DB" w:sz="6" w:space="10"/>
        </w:pBdr>
        <w:spacing w:after="0" w:before="150"/>
        <w:ind w:lef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복지포인트는 대법원 판례상 근로기준법의 임금에는 해당하지 아니하나(대법원 2019. 8. 22. 선고 2016다48785 전원합의체), 세법상으로는 근로소득으로 보는 것이 과세 관청의 입장이다. 두 판단은 별개이므로 세무 처리는 반드시 세무 대리인과 확인한다.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6. 지침의 변경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이 지침은 취업규칙과 별개의 문서로서, 회사가 매년 경영 상황에 따라 금액과 항목을 정한다.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변경하는 경우 적용 시점 30일 전까지 사원에게 알린다.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③ 이미 발생한 해당 월의 복지비는 소급하여 줄이지 아니한다.</w:t>
      </w:r>
    </w:p>
    <w:p>
      <w:pPr>
        <w:pBdr>
          <w:left w:val="single" w:color="D4D6DB" w:sz="6" w:space="10"/>
        </w:pBdr>
        <w:spacing w:after="0" w:before="150"/>
        <w:ind w:lef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복지비를 취업규칙에 넣으면 축소·폐지 시 근로자 과반수의 동의가 필요해진다. 별도 지침으로 두는 이유가 여기에 있다. 다만 오랜 기간 같은 조건으로 지급하면 관행으로 인정되어 일방적으로 줄이기 어려울 수 있으므로, 제1항의 문구를 지침에 유지한다.</w:t>
      </w:r>
    </w:p>
    <w:p>
      <w:pPr>
        <w:spacing w:after="3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130" w:before="0" w:line="288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시행일        년        월        일</w:t>
      </w:r>
    </w:p>
    <w:p>
      <w:pPr>
        <w:spacing w:after="100" w:before="0" w:line="288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마인드(MIN.D)</w:t>
      </w:r>
    </w:p>
    <w:p>
      <w:pPr>
        <w:spacing w:after="100" w:before="0" w:line="288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대표    최 민 숙</w:t>
      </w:r>
    </w:p>
    <w:p>
      <w:r>
        <w:br w:type="page"/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6"/>
          <w:szCs w:val="26"/>
        </w:rPr>
        <w:t xml:space="preserve">【별첨】 복지비 사용 항목 상세</w:t>
      </w:r>
    </w:p>
    <w:p>
      <w:pPr>
        <w:pBdr>
          <w:bottom w:val="single" w:color="14161B" w:sz="8" w:space="8"/>
        </w:pBdr>
        <w:spacing w:after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본문 제2항과 제3항의 세부 기준이다. 여기에 없는 항목은 제3면의 판단 기준으로 정한다.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1. 사용할 수 있는 항목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도서 · 교육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도서(전자책 포함), 잡지 정기구독, 온라인 강의, 오프라인 세미나·워크숍·컨퍼런스 참가비, 어학 학원 및 어학 앱 구독, 자격증 응시료와 교재, 유료 스터디 참가비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문화 · 여가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영화·공연·뮤지컬·콘서트·연극, 전시와 미술관·박물관 입장료, 영상·음악 등 콘텐츠 구독 서비스, 독서실 이용료, 취미 클래스(도예·회화·악기·요리 등)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건강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헬스장·필라테스·요가·수영 등 운동시설 등록비와 퍼스널 트레이닝, 병원 진료비와 약제비의 본인 부담분, 건강검진 자부담분, 안경과 콘택트렌즈, 치과·한의원, 심리상담. 모두 사원 본인의 것에 한한다.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자기계발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개인 학습이나 개인 창작에 사용하는 소프트웨어 구독, 개인 명의로 구매하여 개인 작업에 사용하는 폰트와 디자인 자산</w:t>
      </w:r>
    </w:p>
    <w:p>
      <w:pPr>
        <w:pBdr>
          <w:left w:val="single" w:color="D4D6DB" w:sz="6" w:space="10"/>
        </w:pBdr>
        <w:spacing w:after="0" w:before="150"/>
        <w:ind w:lef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업무에 사용할 소프트웨어·폰트·자산은 이 항목이 아니라 회사 경비이다. 회사에 요청한다.</w:t>
      </w:r>
    </w:p>
    <w:p>
      <w:pPr>
        <w:spacing w:after="1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네 분류 모두 사원 본인에게 쓰는 것을 전제로 한다. 가족을 위한 지출과 여행·숙박은 본문 제3항에 따라 대상에서 제외한다.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2. 사용할 수 없는 항목과 그 이유</w:t>
      </w:r>
    </w:p>
    <w:tbl>
      <w:tblPr>
        <w:tblW w:type="dxa" w:w="82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2400"/>
        <w:gridCol w:w="5800"/>
      </w:tblGrid>
      <w:tr>
        <w:trPr>
          <w:tblHeader/>
        </w:trPr>
        <w:tc>
          <w:tcPr>
            <w:tcW w:type="dxa" w:w="24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항목</w:t>
            </w:r>
          </w:p>
        </w:tc>
        <w:tc>
          <w:tcPr>
            <w:tcW w:type="dxa" w:w="58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2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주류·유흥업소</w:t>
            </w:r>
          </w:p>
        </w:tc>
        <w:tc>
          <w:tcPr>
            <w:tcW w:type="dxa" w:w="5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복리후생의 취지에 맞지 아니한다.</w:t>
            </w:r>
          </w:p>
        </w:tc>
      </w:tr>
      <w:tr>
        <w:tc>
          <w:tcPr>
            <w:tcW w:type="dxa" w:w="2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상품권·기프트카드·포인트 충전</w:t>
            </w:r>
          </w:p>
        </w:tc>
        <w:tc>
          <w:tcPr>
            <w:tcW w:type="dxa" w:w="5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현금성 자산이어서 실제 사용처를 확인할 수 없다.</w:t>
            </w:r>
          </w:p>
        </w:tc>
      </w:tr>
      <w:tr>
        <w:tc>
          <w:tcPr>
            <w:tcW w:type="dxa" w:w="2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현금 인출·계좌 이체</w:t>
            </w:r>
          </w:p>
        </w:tc>
        <w:tc>
          <w:tcPr>
            <w:tcW w:type="dxa" w:w="5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같은 이유로 복지비의 사용으로 보지 아니한다.</w:t>
            </w:r>
          </w:p>
        </w:tc>
      </w:tr>
      <w:tr>
        <w:tc>
          <w:tcPr>
            <w:tcW w:type="dxa" w:w="2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타인을 위한 지출</w:t>
            </w:r>
          </w:p>
        </w:tc>
        <w:tc>
          <w:tcPr>
            <w:tcW w:type="dxa" w:w="5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본인의 복리후생이 아니다. 카드를 타인이 쓰게 하는 것도 같다.</w:t>
            </w:r>
          </w:p>
        </w:tc>
      </w:tr>
      <w:tr>
        <w:tc>
          <w:tcPr>
            <w:tcW w:type="dxa" w:w="2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여행·숙박·항공</w:t>
            </w:r>
          </w:p>
        </w:tc>
        <w:tc>
          <w:tcPr>
            <w:tcW w:type="dxa" w:w="5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본문 제3항에서 제외하였다.</w:t>
            </w:r>
          </w:p>
        </w:tc>
      </w:tr>
      <w:tr>
        <w:tc>
          <w:tcPr>
            <w:tcW w:type="dxa" w:w="2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가족을 위한 지출</w:t>
            </w:r>
          </w:p>
        </w:tc>
        <w:tc>
          <w:tcPr>
            <w:tcW w:type="dxa" w:w="5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자녀 학원비, 가족 문화생활, 부모 건강검진 모두 제외한다.</w:t>
            </w:r>
          </w:p>
        </w:tc>
      </w:tr>
      <w:tr>
        <w:tc>
          <w:tcPr>
            <w:tcW w:type="dxa" w:w="2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업무 수행에 필요한 비용</w:t>
            </w:r>
          </w:p>
        </w:tc>
        <w:tc>
          <w:tcPr>
            <w:tcW w:type="dxa" w:w="5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회사 경비이다. 복지비로 부담하면 복리후생이 아니라 임금의 삭감이 된다.</w:t>
            </w:r>
          </w:p>
        </w:tc>
      </w:tr>
      <w:tr>
        <w:tc>
          <w:tcPr>
            <w:tcW w:type="dxa" w:w="2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세금·공과금·보험료·대출 상환</w:t>
            </w:r>
          </w:p>
        </w:tc>
        <w:tc>
          <w:tcPr>
            <w:tcW w:type="dxa" w:w="5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소비가 아니라 의무 지출이다.</w:t>
            </w:r>
          </w:p>
        </w:tc>
      </w:tr>
      <w:tr>
        <w:tc>
          <w:tcPr>
            <w:tcW w:type="dxa" w:w="2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식사비·카페·간식</w:t>
            </w:r>
          </w:p>
        </w:tc>
        <w:tc>
          <w:tcPr>
            <w:tcW w:type="dxa" w:w="5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식대는 임금에 별도로 포함되어 있다.</w:t>
            </w:r>
          </w:p>
        </w:tc>
      </w:tr>
      <w:tr>
        <w:tc>
          <w:tcPr>
            <w:tcW w:type="dxa" w:w="2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담배</w:t>
            </w:r>
          </w:p>
        </w:tc>
        <w:tc>
          <w:tcPr>
            <w:tcW w:type="dxa" w:w="5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건강 항목의 취지에 반한다.</w:t>
            </w:r>
          </w:p>
        </w:tc>
      </w:tr>
      <w:tr>
        <w:tc>
          <w:tcPr>
            <w:tcW w:type="dxa" w:w="2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도박성 콘텐츠·게임 아이템</w:t>
            </w:r>
          </w:p>
        </w:tc>
        <w:tc>
          <w:tcPr>
            <w:tcW w:type="dxa" w:w="5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복리후생의 취지에 맞지 아니한다.</w:t>
            </w:r>
          </w:p>
        </w:tc>
      </w:tr>
    </w:tbl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3. 헷갈리는 경우의 판정</w:t>
      </w:r>
    </w:p>
    <w:p>
      <w:pPr>
        <w:spacing w:after="16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기준은 둘이다. 그것으로 회사 일을 하면 회사 경비이고, 본인이 배우고 즐기고 회복하는 데 쓰면 복지비이다. 그리고 복지비는 사원 본인에게 쓰는 것만 해당한다. 가족을 위한 지출과 여행·숙박은 들어가지 아니한다.</w:t>
      </w:r>
    </w:p>
    <w:tbl>
      <w:tblPr>
        <w:tblW w:type="dxa" w:w="82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3200"/>
        <w:gridCol w:w="1200"/>
        <w:gridCol w:w="3800"/>
      </w:tblGrid>
      <w:tr>
        <w:trPr>
          <w:tblHeader/>
        </w:trPr>
        <w:tc>
          <w:tcPr>
            <w:tcW w:type="dxa" w:w="32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상황</w:t>
            </w:r>
          </w:p>
        </w:tc>
        <w:tc>
          <w:tcPr>
            <w:tcW w:type="dxa" w:w="12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판정</w:t>
            </w:r>
          </w:p>
        </w:tc>
        <w:tc>
          <w:tcPr>
            <w:tcW w:type="dxa" w:w="38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3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업무에 사용할 디자인 툴 유료 플랜</w:t>
            </w:r>
          </w:p>
        </w:tc>
        <w:tc>
          <w:tcPr>
            <w:tcW w:type="dxa" w:w="1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불가</w:t>
            </w:r>
          </w:p>
        </w:tc>
        <w:tc>
          <w:tcPr>
            <w:tcW w:type="dxa" w:w="3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회사 경비</w:t>
            </w:r>
          </w:p>
        </w:tc>
      </w:tr>
      <w:tr>
        <w:tc>
          <w:tcPr>
            <w:tcW w:type="dxa" w:w="3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개인 포트폴리오 작업용 디자인 툴 플랜</w:t>
            </w:r>
          </w:p>
        </w:tc>
        <w:tc>
          <w:tcPr>
            <w:tcW w:type="dxa" w:w="1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가능</w:t>
            </w:r>
          </w:p>
        </w:tc>
        <w:tc>
          <w:tcPr>
            <w:tcW w:type="dxa" w:w="3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개인 창작</w:t>
            </w:r>
          </w:p>
        </w:tc>
      </w:tr>
      <w:tr>
        <w:tc>
          <w:tcPr>
            <w:tcW w:type="dxa" w:w="3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클라이언트 납품물에 사용할 폰트</w:t>
            </w:r>
          </w:p>
        </w:tc>
        <w:tc>
          <w:tcPr>
            <w:tcW w:type="dxa" w:w="1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불가</w:t>
            </w:r>
          </w:p>
        </w:tc>
        <w:tc>
          <w:tcPr>
            <w:tcW w:type="dxa" w:w="3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회사 경비. 라이선스는 회사가 확보한다</w:t>
            </w:r>
          </w:p>
        </w:tc>
      </w:tr>
      <w:tr>
        <w:tc>
          <w:tcPr>
            <w:tcW w:type="dxa" w:w="3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개인 작업에 사용할 폰트</w:t>
            </w:r>
          </w:p>
        </w:tc>
        <w:tc>
          <w:tcPr>
            <w:tcW w:type="dxa" w:w="1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가능</w:t>
            </w:r>
          </w:p>
        </w:tc>
        <w:tc>
          <w:tcPr>
            <w:tcW w:type="dxa" w:w="3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자기계발</w:t>
            </w:r>
          </w:p>
        </w:tc>
      </w:tr>
      <w:tr>
        <w:tc>
          <w:tcPr>
            <w:tcW w:type="dxa" w:w="3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업무와 관련된 UX 서적</w:t>
            </w:r>
          </w:p>
        </w:tc>
        <w:tc>
          <w:tcPr>
            <w:tcW w:type="dxa" w:w="1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가능</w:t>
            </w:r>
          </w:p>
        </w:tc>
        <w:tc>
          <w:tcPr>
            <w:tcW w:type="dxa" w:w="3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학습은 복리후생으로 본다</w:t>
            </w:r>
          </w:p>
        </w:tc>
      </w:tr>
      <w:tr>
        <w:tc>
          <w:tcPr>
            <w:tcW w:type="dxa" w:w="3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업무용 모니터·키보드·태블릿</w:t>
            </w:r>
          </w:p>
        </w:tc>
        <w:tc>
          <w:tcPr>
            <w:tcW w:type="dxa" w:w="1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불가</w:t>
            </w:r>
          </w:p>
        </w:tc>
        <w:tc>
          <w:tcPr>
            <w:tcW w:type="dxa" w:w="3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회사 경비</w:t>
            </w:r>
          </w:p>
        </w:tc>
      </w:tr>
      <w:tr>
        <w:tc>
          <w:tcPr>
            <w:tcW w:type="dxa" w:w="3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팀 회식·동료와의 식사</w:t>
            </w:r>
          </w:p>
        </w:tc>
        <w:tc>
          <w:tcPr>
            <w:tcW w:type="dxa" w:w="1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불가</w:t>
            </w:r>
          </w:p>
        </w:tc>
        <w:tc>
          <w:tcPr>
            <w:tcW w:type="dxa" w:w="3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회사 경비이거나 타인 포함</w:t>
            </w:r>
          </w:p>
        </w:tc>
      </w:tr>
      <w:tr>
        <w:tc>
          <w:tcPr>
            <w:tcW w:type="dxa" w:w="3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본인이 보는 영화·전시·공연</w:t>
            </w:r>
          </w:p>
        </w:tc>
        <w:tc>
          <w:tcPr>
            <w:tcW w:type="dxa" w:w="1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가능</w:t>
            </w:r>
          </w:p>
        </w:tc>
        <w:tc>
          <w:tcPr>
            <w:tcW w:type="dxa" w:w="3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문화·여가</w:t>
            </w:r>
          </w:p>
        </w:tc>
      </w:tr>
      <w:tr>
        <w:tc>
          <w:tcPr>
            <w:tcW w:type="dxa" w:w="3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가족과 함께 본 영화</w:t>
            </w:r>
          </w:p>
        </w:tc>
        <w:tc>
          <w:tcPr>
            <w:tcW w:type="dxa" w:w="1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불가</w:t>
            </w:r>
          </w:p>
        </w:tc>
        <w:tc>
          <w:tcPr>
            <w:tcW w:type="dxa" w:w="3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가족을 위한 지출은 제외한다</w:t>
            </w:r>
          </w:p>
        </w:tc>
      </w:tr>
      <w:tr>
        <w:tc>
          <w:tcPr>
            <w:tcW w:type="dxa" w:w="3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배우자만 등록한 헬스장</w:t>
            </w:r>
          </w:p>
        </w:tc>
        <w:tc>
          <w:tcPr>
            <w:tcW w:type="dxa" w:w="1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불가</w:t>
            </w:r>
          </w:p>
        </w:tc>
        <w:tc>
          <w:tcPr>
            <w:tcW w:type="dxa" w:w="3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본인이 아니다</w:t>
            </w:r>
          </w:p>
        </w:tc>
      </w:tr>
      <w:tr>
        <w:tc>
          <w:tcPr>
            <w:tcW w:type="dxa" w:w="3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자녀 학원비</w:t>
            </w:r>
          </w:p>
        </w:tc>
        <w:tc>
          <w:tcPr>
            <w:tcW w:type="dxa" w:w="1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불가</w:t>
            </w:r>
          </w:p>
        </w:tc>
        <w:tc>
          <w:tcPr>
            <w:tcW w:type="dxa" w:w="3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가족을 위한 지출은 제외한다</w:t>
            </w:r>
          </w:p>
        </w:tc>
      </w:tr>
      <w:tr>
        <w:tc>
          <w:tcPr>
            <w:tcW w:type="dxa" w:w="3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야근 후 택시비</w:t>
            </w:r>
          </w:p>
        </w:tc>
        <w:tc>
          <w:tcPr>
            <w:tcW w:type="dxa" w:w="1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불가</w:t>
            </w:r>
          </w:p>
        </w:tc>
        <w:tc>
          <w:tcPr>
            <w:tcW w:type="dxa" w:w="3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업무 관련 비용. 회사에 청구한다</w:t>
            </w:r>
          </w:p>
        </w:tc>
      </w:tr>
      <w:tr>
        <w:tc>
          <w:tcPr>
            <w:tcW w:type="dxa" w:w="3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출장 중 숙박비</w:t>
            </w:r>
          </w:p>
        </w:tc>
        <w:tc>
          <w:tcPr>
            <w:tcW w:type="dxa" w:w="1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불가</w:t>
            </w:r>
          </w:p>
        </w:tc>
        <w:tc>
          <w:tcPr>
            <w:tcW w:type="dxa" w:w="3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업무 관련 비용. 회사에 청구한다</w:t>
            </w:r>
          </w:p>
        </w:tc>
      </w:tr>
      <w:tr>
        <w:tc>
          <w:tcPr>
            <w:tcW w:type="dxa" w:w="3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개인 여행 중 숙박비</w:t>
            </w:r>
          </w:p>
        </w:tc>
        <w:tc>
          <w:tcPr>
            <w:tcW w:type="dxa" w:w="1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불가</w:t>
            </w:r>
          </w:p>
        </w:tc>
        <w:tc>
          <w:tcPr>
            <w:tcW w:type="dxa" w:w="3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여행·숙박은 제외한다</w:t>
            </w:r>
          </w:p>
        </w:tc>
      </w:tr>
      <w:tr>
        <w:tc>
          <w:tcPr>
            <w:tcW w:type="dxa" w:w="3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편의점 도시락·커피</w:t>
            </w:r>
          </w:p>
        </w:tc>
        <w:tc>
          <w:tcPr>
            <w:tcW w:type="dxa" w:w="1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불가</w:t>
            </w:r>
          </w:p>
        </w:tc>
        <w:tc>
          <w:tcPr>
            <w:tcW w:type="dxa" w:w="3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식대는 임금에 포함되어 있다</w:t>
            </w:r>
          </w:p>
        </w:tc>
      </w:tr>
      <w:tr>
        <w:tc>
          <w:tcPr>
            <w:tcW w:type="dxa" w:w="3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건강검진 중 회사 부담분</w:t>
            </w:r>
          </w:p>
        </w:tc>
        <w:tc>
          <w:tcPr>
            <w:tcW w:type="dxa" w:w="1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불가</w:t>
            </w:r>
          </w:p>
        </w:tc>
        <w:tc>
          <w:tcPr>
            <w:tcW w:type="dxa" w:w="3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회사가 이미 부담한다</w:t>
            </w:r>
          </w:p>
        </w:tc>
      </w:tr>
      <w:tr>
        <w:tc>
          <w:tcPr>
            <w:tcW w:type="dxa" w:w="3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건강검진 중 추가 검사 자부담분</w:t>
            </w:r>
          </w:p>
        </w:tc>
        <w:tc>
          <w:tcPr>
            <w:tcW w:type="dxa" w:w="1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가능</w:t>
            </w:r>
          </w:p>
        </w:tc>
        <w:tc>
          <w:tcPr>
            <w:tcW w:type="dxa" w:w="3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건강</w:t>
            </w:r>
          </w:p>
        </w:tc>
      </w:tr>
    </w:tbl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pBdr>
          <w:left w:val="single" w:color="D4D6DB" w:sz="6" w:space="10"/>
        </w:pBdr>
        <w:spacing w:after="0" w:before="150"/>
        <w:ind w:lef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판단이 서지 않으면 결제 전에 먼저 묻는다. 결제한 뒤에 불가로 판정되면 본인이 부담하게 된다.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4. 증빙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1. 복지카드로 결제하면 카드 사용 내역이 증빙이 되므로 따로 제출할 것이 없다.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2. 다만 상호만으로 품목을 알 수 없는 결제(온라인 결제, 복합 매장 등)는 회사가 영수증이나 내역을 요청할 수 있다.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3. 본문 제4항 단서에 따라 본인 명의 카드로 결제한 경우에는 매출전표 또는 영수증을 매월 말일까지 제출한다. 상호·일자·금액·품목을 확인할 수 있어야 한다.</w:t>
      </w:r>
    </w:p>
    <w:p>
      <w:pPr>
        <w:spacing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ind w:lef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이 별첨은 본문과 함께 효력을 가지며, 항목의 추가와 삭제는 본문 제6조에 따른다.</w:t>
      </w:r>
    </w:p>
    <w:sectPr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4161B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2026-10-02T09:18:25.780Z</dcterms:created>
  <dcterms:modified xsi:type="dcterms:W3CDTF">2026-10-02T09:18:25.780Z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