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Brief Dresskode — Contexte, charte et écrans à designer (v0.2)</w:t>
      </w:r>
    </w:p>
    <w:p>
      <w:pPr>
        <w:spacing w:after="120"/>
      </w:pPr>
      <w:r>
        <w:t xml:space="preserve">17/09/2026 — Document de contexte à donner à Claude Design pour produire le design system et les maquettes de l'application Dresskode.</w:t>
      </w:r>
    </w:p>
    <w:p>
      <w:pPr>
        <w:pStyle w:val="Heading1"/>
        <w:spacing w:after="150" w:before="300"/>
      </w:pPr>
      <w:r>
        <w:t xml:space="preserve">Contexte</w:t>
      </w:r>
    </w:p>
    <w:p>
      <w:pPr>
        <w:spacing w:after="120"/>
      </w:pPr>
      <w:r>
        <w:t xml:space="preserve">Dresskode est une application mobile (iOS d'abord) de garde-robe numérique avec un styliste IA appelé Kode. L'utilisatrice photographie ses vêtements, l'app les range en catégories, puis compose des tenues selon sa silhouette, son humeur, la météo et son agenda. Pas de publicité, pas de recommandation d'enseigne, pas de styliste humaine : 100 % IA.</w:t>
      </w:r>
    </w:p>
    <w:p>
      <w:pPr>
        <w:spacing w:after="120"/>
      </w:pPr>
      <w:r>
        <w:t xml:space="preserve">Cible principale : femmes de 18 à 34 ans, France, sensibles à la mode mais fatiguées de l'achat impulsif. Promesse : « Porte mieux, achète moins. »</w:t>
      </w:r>
    </w:p>
    <w:p>
      <w:pPr>
        <w:spacing w:after="120"/>
      </w:pPr>
      <w:r>
        <w:t xml:space="preserve">Direction artistique à tenir : épuré, lisse, premium, comme la vitrine d'un magasin de vêtements. Beaucoup de vide, aucune bordure, ombres très douces, la couleur vient uniquement des vêtements. Interface d'application d'aujourd'hui, pas de style éditorial ou magazine.</w:t>
      </w:r>
    </w:p>
    <w:p>
      <w:pPr>
        <w:pStyle w:val="Heading1"/>
        <w:spacing w:after="150" w:before="300"/>
      </w:pPr>
      <w:r>
        <w:t xml:space="preserve">Charte à respecter (tokens)</w:t>
      </w:r>
    </w:p>
    <w:p>
      <w:pPr>
        <w:pStyle w:val="Heading2"/>
        <w:spacing w:after="120" w:before="240"/>
      </w:pPr>
      <w:r>
        <w:t xml:space="preserve">Typographie</w:t>
      </w:r>
    </w:p>
    <w:tbl>
      <w:tblPr>
        <w:tblW w:type="pct" w:w="100%"/>
        <w:tblBorders>
          <w:top w:val="single" w:color="ECEAE6" w:sz="2"/>
          <w:left w:val="single" w:color="ECEAE6" w:sz="2"/>
          <w:bottom w:val="single" w:color="ECEAE6" w:sz="2"/>
          <w:right w:val="single" w:color="ECEAE6" w:sz="2"/>
          <w:insideH w:val="single" w:color="ECEAE6" w:sz="2"/>
          <w:insideV w:val="single" w:color="ECEAE6" w:sz="2"/>
        </w:tblBorders>
      </w:tblPr>
      <w:tblGrid>
        <w:gridCol w:w="100"/>
        <w:gridCol w:w="100"/>
        <w:gridCol w:w="100"/>
      </w:tblGrid>
      <w:tr>
        <w:trPr>
          <w:tblHeader/>
        </w:trPr>
        <w:tc>
          <w:tcPr>
            <w:tcW w:type="pct" w:w="22%"/>
            <w:shd w:fill="F3F2EF" w:val="clear"/>
            <w:tcMar>
              <w:top w:type="dxa" w:w="80"/>
              <w:left w:type="dxa" w:w="100"/>
              <w:bottom w:type="dxa" w:w="80"/>
              <w:right w:type="dxa" w:w="100"/>
            </w:tcMar>
          </w:tcPr>
          <w:p>
            <w:r>
              <w:rPr>
                <w:b/>
                <w:bCs/>
                <w:sz w:val="20"/>
                <w:szCs w:val="20"/>
              </w:rPr>
              <w:t xml:space="preserve">Usage</w:t>
            </w:r>
          </w:p>
        </w:tc>
        <w:tc>
          <w:tcPr>
            <w:tcW w:type="pct" w:w="34%"/>
            <w:shd w:fill="F3F2EF" w:val="clear"/>
            <w:tcMar>
              <w:top w:type="dxa" w:w="80"/>
              <w:left w:type="dxa" w:w="100"/>
              <w:bottom w:type="dxa" w:w="80"/>
              <w:right w:type="dxa" w:w="100"/>
            </w:tcMar>
          </w:tcPr>
          <w:p>
            <w:r>
              <w:rPr>
                <w:b/>
                <w:bCs/>
                <w:sz w:val="20"/>
                <w:szCs w:val="20"/>
              </w:rPr>
              <w:t xml:space="preserve">Police</w:t>
            </w:r>
          </w:p>
        </w:tc>
        <w:tc>
          <w:tcPr>
            <w:tcW w:type="pct" w:w="44%"/>
            <w:shd w:fill="F3F2EF" w:val="clear"/>
            <w:tcMar>
              <w:top w:type="dxa" w:w="80"/>
              <w:left w:type="dxa" w:w="100"/>
              <w:bottom w:type="dxa" w:w="80"/>
              <w:right w:type="dxa" w:w="100"/>
            </w:tcMar>
          </w:tcPr>
          <w:p>
            <w:r>
              <w:rPr>
                <w:b/>
                <w:bCs/>
                <w:sz w:val="20"/>
                <w:szCs w:val="20"/>
              </w:rPr>
              <w:t xml:space="preserve">Réglages</w:t>
            </w:r>
          </w:p>
        </w:tc>
      </w:tr>
      <w:tr>
        <w:tc>
          <w:tcPr>
            <w:tcW w:type="pct" w:w="22%"/>
            <w:tcMar>
              <w:top w:type="dxa" w:w="80"/>
              <w:left w:type="dxa" w:w="100"/>
              <w:bottom w:type="dxa" w:w="80"/>
              <w:right w:type="dxa" w:w="100"/>
            </w:tcMar>
          </w:tcPr>
          <w:p>
            <w:r>
              <w:rPr>
                <w:b w:val="false"/>
                <w:bCs w:val="false"/>
                <w:sz w:val="20"/>
                <w:szCs w:val="20"/>
              </w:rPr>
              <w:t xml:space="preserve">Titres et chiffres</w:t>
            </w:r>
          </w:p>
        </w:tc>
        <w:tc>
          <w:tcPr>
            <w:tcW w:type="pct" w:w="34%"/>
            <w:tcMar>
              <w:top w:type="dxa" w:w="80"/>
              <w:left w:type="dxa" w:w="100"/>
              <w:bottom w:type="dxa" w:w="80"/>
              <w:right w:type="dxa" w:w="100"/>
            </w:tcMar>
          </w:tcPr>
          <w:p>
            <w:r>
              <w:rPr>
                <w:b w:val="false"/>
                <w:bCs w:val="false"/>
                <w:sz w:val="20"/>
                <w:szCs w:val="20"/>
              </w:rPr>
              <w:t xml:space="preserve">Archivo (variable, largeur 62–125)</w:t>
            </w:r>
          </w:p>
        </w:tc>
        <w:tc>
          <w:tcPr>
            <w:tcW w:type="pct" w:w="44%"/>
            <w:tcMar>
              <w:top w:type="dxa" w:w="80"/>
              <w:left w:type="dxa" w:w="100"/>
              <w:bottom w:type="dxa" w:w="80"/>
              <w:right w:type="dxa" w:w="100"/>
            </w:tcMar>
          </w:tcPr>
          <w:p>
            <w:r>
              <w:rPr>
                <w:b w:val="false"/>
                <w:bCs w:val="false"/>
                <w:sz w:val="20"/>
                <w:szCs w:val="20"/>
              </w:rPr>
              <w:t xml:space="preserve">Largeur 108–118 %, graisse 600–700, interlettrage −0,02 em.</w:t>
            </w:r>
          </w:p>
        </w:tc>
      </w:tr>
      <w:tr>
        <w:tc>
          <w:tcPr>
            <w:tcW w:type="pct" w:w="22%"/>
            <w:tcMar>
              <w:top w:type="dxa" w:w="80"/>
              <w:left w:type="dxa" w:w="100"/>
              <w:bottom w:type="dxa" w:w="80"/>
              <w:right w:type="dxa" w:w="100"/>
            </w:tcMar>
          </w:tcPr>
          <w:p>
            <w:r>
              <w:rPr>
                <w:b w:val="false"/>
                <w:bCs w:val="false"/>
                <w:sz w:val="20"/>
                <w:szCs w:val="20"/>
              </w:rPr>
              <w:t xml:space="preserve">Texte et interface</w:t>
            </w:r>
          </w:p>
        </w:tc>
        <w:tc>
          <w:tcPr>
            <w:tcW w:type="pct" w:w="34%"/>
            <w:tcMar>
              <w:top w:type="dxa" w:w="80"/>
              <w:left w:type="dxa" w:w="100"/>
              <w:bottom w:type="dxa" w:w="80"/>
              <w:right w:type="dxa" w:w="100"/>
            </w:tcMar>
          </w:tcPr>
          <w:p>
            <w:r>
              <w:rPr>
                <w:b w:val="false"/>
                <w:bCs w:val="false"/>
                <w:sz w:val="20"/>
                <w:szCs w:val="20"/>
              </w:rPr>
              <w:t xml:space="preserve">Hanken Grotesk</w:t>
            </w:r>
          </w:p>
        </w:tc>
        <w:tc>
          <w:tcPr>
            <w:tcW w:type="pct" w:w="44%"/>
            <w:tcMar>
              <w:top w:type="dxa" w:w="80"/>
              <w:left w:type="dxa" w:w="100"/>
              <w:bottom w:type="dxa" w:w="80"/>
              <w:right w:type="dxa" w:w="100"/>
            </w:tcMar>
          </w:tcPr>
          <w:p>
            <w:r>
              <w:rPr>
                <w:b w:val="false"/>
                <w:bCs w:val="false"/>
                <w:sz w:val="20"/>
                <w:szCs w:val="20"/>
              </w:rPr>
              <w:t xml:space="preserve">400 / 500 / 600. Base 15 px, interligne 1,45.</w:t>
            </w:r>
          </w:p>
        </w:tc>
      </w:tr>
      <w:tr>
        <w:tc>
          <w:tcPr>
            <w:tcW w:type="pct" w:w="22%"/>
            <w:tcMar>
              <w:top w:type="dxa" w:w="80"/>
              <w:left w:type="dxa" w:w="100"/>
              <w:bottom w:type="dxa" w:w="80"/>
              <w:right w:type="dxa" w:w="100"/>
            </w:tcMar>
          </w:tcPr>
          <w:p>
            <w:r>
              <w:rPr>
                <w:b w:val="false"/>
                <w:bCs w:val="false"/>
                <w:sz w:val="20"/>
                <w:szCs w:val="20"/>
              </w:rPr>
              <w:t xml:space="preserve">Marque</w:t>
            </w:r>
          </w:p>
        </w:tc>
        <w:tc>
          <w:tcPr>
            <w:tcW w:type="pct" w:w="34%"/>
            <w:tcMar>
              <w:top w:type="dxa" w:w="80"/>
              <w:left w:type="dxa" w:w="100"/>
              <w:bottom w:type="dxa" w:w="80"/>
              <w:right w:type="dxa" w:w="100"/>
            </w:tcMar>
          </w:tcPr>
          <w:p>
            <w:r>
              <w:rPr>
                <w:b w:val="false"/>
                <w:bCs w:val="false"/>
                <w:sz w:val="20"/>
                <w:szCs w:val="20"/>
              </w:rPr>
              <w:t xml:space="preserve">Archivo largeur 125 %, capitales, interlettrage 0,2 em</w:t>
            </w:r>
          </w:p>
        </w:tc>
        <w:tc>
          <w:tcPr>
            <w:tcW w:type="pct" w:w="44%"/>
            <w:tcMar>
              <w:top w:type="dxa" w:w="80"/>
              <w:left w:type="dxa" w:w="100"/>
              <w:bottom w:type="dxa" w:w="80"/>
              <w:right w:type="dxa" w:w="100"/>
            </w:tcMar>
          </w:tcPr>
          <w:p>
            <w:r>
              <w:rPr>
                <w:b w:val="false"/>
                <w:bCs w:val="false"/>
                <w:sz w:val="20"/>
                <w:szCs w:val="20"/>
              </w:rPr>
              <w:t xml:space="preserve">« DRESSKODE »</w:t>
            </w:r>
          </w:p>
        </w:tc>
      </w:tr>
      <w:tr>
        <w:tc>
          <w:tcPr>
            <w:tcW w:type="pct" w:w="22%"/>
            <w:tcMar>
              <w:top w:type="dxa" w:w="80"/>
              <w:left w:type="dxa" w:w="100"/>
              <w:bottom w:type="dxa" w:w="80"/>
              <w:right w:type="dxa" w:w="100"/>
            </w:tcMar>
          </w:tcPr>
          <w:p>
            <w:r>
              <w:rPr>
                <w:b w:val="false"/>
                <w:bCs w:val="false"/>
                <w:sz w:val="20"/>
                <w:szCs w:val="20"/>
              </w:rPr>
              <w:t xml:space="preserve">Échelle</w:t>
            </w:r>
          </w:p>
        </w:tc>
        <w:tc>
          <w:tcPr>
            <w:tcW w:type="pct" w:w="34%"/>
            <w:tcMar>
              <w:top w:type="dxa" w:w="80"/>
              <w:left w:type="dxa" w:w="100"/>
              <w:bottom w:type="dxa" w:w="80"/>
              <w:right w:type="dxa" w:w="100"/>
            </w:tcMar>
          </w:tcPr>
          <w:p>
            <w:r>
              <w:rPr>
                <w:b w:val="false"/>
                <w:bCs w:val="false"/>
                <w:sz w:val="20"/>
                <w:szCs w:val="20"/>
              </w:rPr>
              <w:t xml:space="preserve">—</w:t>
            </w:r>
          </w:p>
        </w:tc>
        <w:tc>
          <w:tcPr>
            <w:tcW w:type="pct" w:w="44%"/>
            <w:tcMar>
              <w:top w:type="dxa" w:w="80"/>
              <w:left w:type="dxa" w:w="100"/>
              <w:bottom w:type="dxa" w:w="80"/>
              <w:right w:type="dxa" w:w="100"/>
            </w:tcMar>
          </w:tcPr>
          <w:p>
            <w:r>
              <w:rPr>
                <w:b w:val="false"/>
                <w:bCs w:val="false"/>
                <w:sz w:val="20"/>
                <w:szCs w:val="20"/>
              </w:rPr>
              <w:t xml:space="preserve">Titre XL 34–38 px, titre 22–25 px, corps 15 px, secondaire 13 px, micro 11,5 px.</w:t>
            </w:r>
          </w:p>
        </w:tc>
      </w:tr>
    </w:tbl>
    <w:p>
      <w:pPr>
        <w:spacing w:after="150"/>
      </w:pPr>
    </w:p>
    <w:p>
      <w:pPr>
        <w:pStyle w:val="Heading2"/>
        <w:spacing w:after="120" w:before="240"/>
      </w:pPr>
      <w:r>
        <w:t xml:space="preserve">Couleurs — clair</w:t>
      </w:r>
    </w:p>
    <w:tbl>
      <w:tblPr>
        <w:tblW w:type="pct" w:w="100%"/>
        <w:tblBorders>
          <w:top w:val="single" w:color="ECEAE6" w:sz="2"/>
          <w:left w:val="single" w:color="ECEAE6" w:sz="2"/>
          <w:bottom w:val="single" w:color="ECEAE6" w:sz="2"/>
          <w:right w:val="single" w:color="ECEAE6" w:sz="2"/>
          <w:insideH w:val="single" w:color="ECEAE6" w:sz="2"/>
          <w:insideV w:val="single" w:color="ECEAE6" w:sz="2"/>
        </w:tblBorders>
      </w:tblPr>
      <w:tblGrid>
        <w:gridCol w:w="100"/>
        <w:gridCol w:w="100"/>
        <w:gridCol w:w="100"/>
      </w:tblGrid>
      <w:tr>
        <w:trPr>
          <w:tblHeader/>
        </w:trPr>
        <w:tc>
          <w:tcPr>
            <w:tcW w:type="pct" w:w="20%"/>
            <w:shd w:fill="F3F2EF" w:val="clear"/>
            <w:tcMar>
              <w:top w:type="dxa" w:w="80"/>
              <w:left w:type="dxa" w:w="100"/>
              <w:bottom w:type="dxa" w:w="80"/>
              <w:right w:type="dxa" w:w="100"/>
            </w:tcMar>
          </w:tcPr>
          <w:p>
            <w:r>
              <w:rPr>
                <w:b/>
                <w:bCs/>
                <w:sz w:val="20"/>
                <w:szCs w:val="20"/>
              </w:rPr>
              <w:t xml:space="preserve">Token</w:t>
            </w:r>
          </w:p>
        </w:tc>
        <w:tc>
          <w:tcPr>
            <w:tcW w:type="pct" w:w="20%"/>
            <w:shd w:fill="F3F2EF" w:val="clear"/>
            <w:tcMar>
              <w:top w:type="dxa" w:w="80"/>
              <w:left w:type="dxa" w:w="100"/>
              <w:bottom w:type="dxa" w:w="80"/>
              <w:right w:type="dxa" w:w="100"/>
            </w:tcMar>
          </w:tcPr>
          <w:p>
            <w:r>
              <w:rPr>
                <w:b/>
                <w:bCs/>
                <w:sz w:val="20"/>
                <w:szCs w:val="20"/>
              </w:rPr>
              <w:t xml:space="preserve">Valeur</w:t>
            </w:r>
          </w:p>
        </w:tc>
        <w:tc>
          <w:tcPr>
            <w:tcW w:type="pct" w:w="60%"/>
            <w:shd w:fill="F3F2EF" w:val="clear"/>
            <w:tcMar>
              <w:top w:type="dxa" w:w="80"/>
              <w:left w:type="dxa" w:w="100"/>
              <w:bottom w:type="dxa" w:w="80"/>
              <w:right w:type="dxa" w:w="100"/>
            </w:tcMar>
          </w:tcPr>
          <w:p>
            <w:r>
              <w:rPr>
                <w:b/>
                <w:bCs/>
                <w:sz w:val="20"/>
                <w:szCs w:val="20"/>
              </w:rPr>
              <w:t xml:space="preserve">Rôle</w:t>
            </w:r>
          </w:p>
        </w:tc>
      </w:tr>
      <w:tr>
        <w:tc>
          <w:tcPr>
            <w:tcW w:type="pct" w:w="20%"/>
            <w:tcMar>
              <w:top w:type="dxa" w:w="80"/>
              <w:left w:type="dxa" w:w="100"/>
              <w:bottom w:type="dxa" w:w="80"/>
              <w:right w:type="dxa" w:w="100"/>
            </w:tcMar>
          </w:tcPr>
          <w:p>
            <w:r>
              <w:rPr>
                <w:b w:val="false"/>
                <w:bCs w:val="false"/>
                <w:sz w:val="20"/>
                <w:szCs w:val="20"/>
              </w:rPr>
              <w:t xml:space="preserve">desk</w:t>
            </w:r>
          </w:p>
        </w:tc>
        <w:tc>
          <w:tcPr>
            <w:tcW w:type="pct" w:w="20%"/>
            <w:tcMar>
              <w:top w:type="dxa" w:w="80"/>
              <w:left w:type="dxa" w:w="100"/>
              <w:bottom w:type="dxa" w:w="80"/>
              <w:right w:type="dxa" w:w="100"/>
            </w:tcMar>
          </w:tcPr>
          <w:p>
            <w:r>
              <w:rPr>
                <w:b w:val="false"/>
                <w:bCs w:val="false"/>
                <w:sz w:val="20"/>
                <w:szCs w:val="20"/>
              </w:rPr>
              <w:t xml:space="preserve">#EEEDEA</w:t>
            </w:r>
          </w:p>
        </w:tc>
        <w:tc>
          <w:tcPr>
            <w:tcW w:type="pct" w:w="60%"/>
            <w:tcMar>
              <w:top w:type="dxa" w:w="80"/>
              <w:left w:type="dxa" w:w="100"/>
              <w:bottom w:type="dxa" w:w="80"/>
              <w:right w:type="dxa" w:w="100"/>
            </w:tcMar>
          </w:tcPr>
          <w:p>
            <w:r>
              <w:rPr>
                <w:b w:val="false"/>
                <w:bCs w:val="false"/>
                <w:sz w:val="20"/>
                <w:szCs w:val="20"/>
              </w:rPr>
              <w:t xml:space="preserve">Fond hors app</w:t>
            </w:r>
          </w:p>
        </w:tc>
      </w:tr>
      <w:tr>
        <w:tc>
          <w:tcPr>
            <w:tcW w:type="pct" w:w="20%"/>
            <w:tcMar>
              <w:top w:type="dxa" w:w="80"/>
              <w:left w:type="dxa" w:w="100"/>
              <w:bottom w:type="dxa" w:w="80"/>
              <w:right w:type="dxa" w:w="100"/>
            </w:tcMar>
          </w:tcPr>
          <w:p>
            <w:r>
              <w:rPr>
                <w:b w:val="false"/>
                <w:bCs w:val="false"/>
                <w:sz w:val="20"/>
                <w:szCs w:val="20"/>
              </w:rPr>
              <w:t xml:space="preserve">ground</w:t>
            </w:r>
          </w:p>
        </w:tc>
        <w:tc>
          <w:tcPr>
            <w:tcW w:type="pct" w:w="20%"/>
            <w:tcMar>
              <w:top w:type="dxa" w:w="80"/>
              <w:left w:type="dxa" w:w="100"/>
              <w:bottom w:type="dxa" w:w="80"/>
              <w:right w:type="dxa" w:w="100"/>
            </w:tcMar>
          </w:tcPr>
          <w:p>
            <w:r>
              <w:rPr>
                <w:b w:val="false"/>
                <w:bCs w:val="false"/>
                <w:sz w:val="20"/>
                <w:szCs w:val="20"/>
              </w:rPr>
              <w:t xml:space="preserve">#FFFFFF</w:t>
            </w:r>
          </w:p>
        </w:tc>
        <w:tc>
          <w:tcPr>
            <w:tcW w:type="pct" w:w="60%"/>
            <w:tcMar>
              <w:top w:type="dxa" w:w="80"/>
              <w:left w:type="dxa" w:w="100"/>
              <w:bottom w:type="dxa" w:w="80"/>
              <w:right w:type="dxa" w:w="100"/>
            </w:tcMar>
          </w:tcPr>
          <w:p>
            <w:r>
              <w:rPr>
                <w:b w:val="false"/>
                <w:bCs w:val="false"/>
                <w:sz w:val="20"/>
                <w:szCs w:val="20"/>
              </w:rPr>
              <w:t xml:space="preserve">Surfaces</w:t>
            </w:r>
          </w:p>
        </w:tc>
      </w:tr>
      <w:tr>
        <w:tc>
          <w:tcPr>
            <w:tcW w:type="pct" w:w="20%"/>
            <w:tcMar>
              <w:top w:type="dxa" w:w="80"/>
              <w:left w:type="dxa" w:w="100"/>
              <w:bottom w:type="dxa" w:w="80"/>
              <w:right w:type="dxa" w:w="100"/>
            </w:tcMar>
          </w:tcPr>
          <w:p>
            <w:r>
              <w:rPr>
                <w:b w:val="false"/>
                <w:bCs w:val="false"/>
                <w:sz w:val="20"/>
                <w:szCs w:val="20"/>
              </w:rPr>
              <w:t xml:space="preserve">tile</w:t>
            </w:r>
          </w:p>
        </w:tc>
        <w:tc>
          <w:tcPr>
            <w:tcW w:type="pct" w:w="20%"/>
            <w:tcMar>
              <w:top w:type="dxa" w:w="80"/>
              <w:left w:type="dxa" w:w="100"/>
              <w:bottom w:type="dxa" w:w="80"/>
              <w:right w:type="dxa" w:w="100"/>
            </w:tcMar>
          </w:tcPr>
          <w:p>
            <w:r>
              <w:rPr>
                <w:b w:val="false"/>
                <w:bCs w:val="false"/>
                <w:sz w:val="20"/>
                <w:szCs w:val="20"/>
              </w:rPr>
              <w:t xml:space="preserve">#F3F2EF</w:t>
            </w:r>
          </w:p>
        </w:tc>
        <w:tc>
          <w:tcPr>
            <w:tcW w:type="pct" w:w="60%"/>
            <w:tcMar>
              <w:top w:type="dxa" w:w="80"/>
              <w:left w:type="dxa" w:w="100"/>
              <w:bottom w:type="dxa" w:w="80"/>
              <w:right w:type="dxa" w:w="100"/>
            </w:tcMar>
          </w:tcPr>
          <w:p>
            <w:r>
              <w:rPr>
                <w:b w:val="false"/>
                <w:bCs w:val="false"/>
                <w:sz w:val="20"/>
                <w:szCs w:val="20"/>
              </w:rPr>
              <w:t xml:space="preserve">Vignettes, portants</w:t>
            </w:r>
          </w:p>
        </w:tc>
      </w:tr>
      <w:tr>
        <w:tc>
          <w:tcPr>
            <w:tcW w:type="pct" w:w="20%"/>
            <w:tcMar>
              <w:top w:type="dxa" w:w="80"/>
              <w:left w:type="dxa" w:w="100"/>
              <w:bottom w:type="dxa" w:w="80"/>
              <w:right w:type="dxa" w:w="100"/>
            </w:tcMar>
          </w:tcPr>
          <w:p>
            <w:r>
              <w:rPr>
                <w:b w:val="false"/>
                <w:bCs w:val="false"/>
                <w:sz w:val="20"/>
                <w:szCs w:val="20"/>
              </w:rPr>
              <w:t xml:space="preserve">tile-2</w:t>
            </w:r>
          </w:p>
        </w:tc>
        <w:tc>
          <w:tcPr>
            <w:tcW w:type="pct" w:w="20%"/>
            <w:tcMar>
              <w:top w:type="dxa" w:w="80"/>
              <w:left w:type="dxa" w:w="100"/>
              <w:bottom w:type="dxa" w:w="80"/>
              <w:right w:type="dxa" w:w="100"/>
            </w:tcMar>
          </w:tcPr>
          <w:p>
            <w:r>
              <w:rPr>
                <w:b w:val="false"/>
                <w:bCs w:val="false"/>
                <w:sz w:val="20"/>
                <w:szCs w:val="20"/>
              </w:rPr>
              <w:t xml:space="preserve">#E7E5E0</w:t>
            </w:r>
          </w:p>
        </w:tc>
        <w:tc>
          <w:tcPr>
            <w:tcW w:type="pct" w:w="60%"/>
            <w:tcMar>
              <w:top w:type="dxa" w:w="80"/>
              <w:left w:type="dxa" w:w="100"/>
              <w:bottom w:type="dxa" w:w="80"/>
              <w:right w:type="dxa" w:w="100"/>
            </w:tcMar>
          </w:tcPr>
          <w:p>
            <w:r>
              <w:rPr>
                <w:b w:val="false"/>
                <w:bCs w:val="false"/>
                <w:sz w:val="20"/>
                <w:szCs w:val="20"/>
              </w:rPr>
              <w:t xml:space="preserve">Dégradé</w:t>
            </w:r>
          </w:p>
        </w:tc>
      </w:tr>
      <w:tr>
        <w:tc>
          <w:tcPr>
            <w:tcW w:type="pct" w:w="20%"/>
            <w:tcMar>
              <w:top w:type="dxa" w:w="80"/>
              <w:left w:type="dxa" w:w="100"/>
              <w:bottom w:type="dxa" w:w="80"/>
              <w:right w:type="dxa" w:w="100"/>
            </w:tcMar>
          </w:tcPr>
          <w:p>
            <w:r>
              <w:rPr>
                <w:b w:val="false"/>
                <w:bCs w:val="false"/>
                <w:sz w:val="20"/>
                <w:szCs w:val="20"/>
              </w:rPr>
              <w:t xml:space="preserve">ink</w:t>
            </w:r>
          </w:p>
        </w:tc>
        <w:tc>
          <w:tcPr>
            <w:tcW w:type="pct" w:w="20%"/>
            <w:tcMar>
              <w:top w:type="dxa" w:w="80"/>
              <w:left w:type="dxa" w:w="100"/>
              <w:bottom w:type="dxa" w:w="80"/>
              <w:right w:type="dxa" w:w="100"/>
            </w:tcMar>
          </w:tcPr>
          <w:p>
            <w:r>
              <w:rPr>
                <w:b w:val="false"/>
                <w:bCs w:val="false"/>
                <w:sz w:val="20"/>
                <w:szCs w:val="20"/>
              </w:rPr>
              <w:t xml:space="preserve">#0D0D0E</w:t>
            </w:r>
          </w:p>
        </w:tc>
        <w:tc>
          <w:tcPr>
            <w:tcW w:type="pct" w:w="60%"/>
            <w:tcMar>
              <w:top w:type="dxa" w:w="80"/>
              <w:left w:type="dxa" w:w="100"/>
              <w:bottom w:type="dxa" w:w="80"/>
              <w:right w:type="dxa" w:w="100"/>
            </w:tcMar>
          </w:tcPr>
          <w:p>
            <w:r>
              <w:rPr>
                <w:b w:val="false"/>
                <w:bCs w:val="false"/>
                <w:sz w:val="20"/>
                <w:szCs w:val="20"/>
              </w:rPr>
              <w:t xml:space="preserve">Texte, boutons pleins</w:t>
            </w:r>
          </w:p>
        </w:tc>
      </w:tr>
      <w:tr>
        <w:tc>
          <w:tcPr>
            <w:tcW w:type="pct" w:w="20%"/>
            <w:tcMar>
              <w:top w:type="dxa" w:w="80"/>
              <w:left w:type="dxa" w:w="100"/>
              <w:bottom w:type="dxa" w:w="80"/>
              <w:right w:type="dxa" w:w="100"/>
            </w:tcMar>
          </w:tcPr>
          <w:p>
            <w:r>
              <w:rPr>
                <w:b w:val="false"/>
                <w:bCs w:val="false"/>
                <w:sz w:val="20"/>
                <w:szCs w:val="20"/>
              </w:rPr>
              <w:t xml:space="preserve">muted</w:t>
            </w:r>
          </w:p>
        </w:tc>
        <w:tc>
          <w:tcPr>
            <w:tcW w:type="pct" w:w="20%"/>
            <w:tcMar>
              <w:top w:type="dxa" w:w="80"/>
              <w:left w:type="dxa" w:w="100"/>
              <w:bottom w:type="dxa" w:w="80"/>
              <w:right w:type="dxa" w:w="100"/>
            </w:tcMar>
          </w:tcPr>
          <w:p>
            <w:r>
              <w:rPr>
                <w:b w:val="false"/>
                <w:bCs w:val="false"/>
                <w:sz w:val="20"/>
                <w:szCs w:val="20"/>
              </w:rPr>
              <w:t xml:space="preserve">#8A8884</w:t>
            </w:r>
          </w:p>
        </w:tc>
        <w:tc>
          <w:tcPr>
            <w:tcW w:type="pct" w:w="60%"/>
            <w:tcMar>
              <w:top w:type="dxa" w:w="80"/>
              <w:left w:type="dxa" w:w="100"/>
              <w:bottom w:type="dxa" w:w="80"/>
              <w:right w:type="dxa" w:w="100"/>
            </w:tcMar>
          </w:tcPr>
          <w:p>
            <w:r>
              <w:rPr>
                <w:b w:val="false"/>
                <w:bCs w:val="false"/>
                <w:sz w:val="20"/>
                <w:szCs w:val="20"/>
              </w:rPr>
              <w:t xml:space="preserve">Texte secondaire</w:t>
            </w:r>
          </w:p>
        </w:tc>
      </w:tr>
      <w:tr>
        <w:tc>
          <w:tcPr>
            <w:tcW w:type="pct" w:w="20%"/>
            <w:tcMar>
              <w:top w:type="dxa" w:w="80"/>
              <w:left w:type="dxa" w:w="100"/>
              <w:bottom w:type="dxa" w:w="80"/>
              <w:right w:type="dxa" w:w="100"/>
            </w:tcMar>
          </w:tcPr>
          <w:p>
            <w:r>
              <w:rPr>
                <w:b w:val="false"/>
                <w:bCs w:val="false"/>
                <w:sz w:val="20"/>
                <w:szCs w:val="20"/>
              </w:rPr>
              <w:t xml:space="preserve">line</w:t>
            </w:r>
          </w:p>
        </w:tc>
        <w:tc>
          <w:tcPr>
            <w:tcW w:type="pct" w:w="20%"/>
            <w:tcMar>
              <w:top w:type="dxa" w:w="80"/>
              <w:left w:type="dxa" w:w="100"/>
              <w:bottom w:type="dxa" w:w="80"/>
              <w:right w:type="dxa" w:w="100"/>
            </w:tcMar>
          </w:tcPr>
          <w:p>
            <w:r>
              <w:rPr>
                <w:b w:val="false"/>
                <w:bCs w:val="false"/>
                <w:sz w:val="20"/>
                <w:szCs w:val="20"/>
              </w:rPr>
              <w:t xml:space="preserve">#ECEAE6</w:t>
            </w:r>
          </w:p>
        </w:tc>
        <w:tc>
          <w:tcPr>
            <w:tcW w:type="pct" w:w="60%"/>
            <w:tcMar>
              <w:top w:type="dxa" w:w="80"/>
              <w:left w:type="dxa" w:w="100"/>
              <w:bottom w:type="dxa" w:w="80"/>
              <w:right w:type="dxa" w:w="100"/>
            </w:tcMar>
          </w:tcPr>
          <w:p>
            <w:r>
              <w:rPr>
                <w:b w:val="false"/>
                <w:bCs w:val="false"/>
                <w:sz w:val="20"/>
                <w:szCs w:val="20"/>
              </w:rPr>
              <w:t xml:space="preserve">Filets 1 px</w:t>
            </w:r>
          </w:p>
        </w:tc>
      </w:tr>
      <w:tr>
        <w:tc>
          <w:tcPr>
            <w:tcW w:type="pct" w:w="20%"/>
            <w:tcMar>
              <w:top w:type="dxa" w:w="80"/>
              <w:left w:type="dxa" w:w="100"/>
              <w:bottom w:type="dxa" w:w="80"/>
              <w:right w:type="dxa" w:w="100"/>
            </w:tcMar>
          </w:tcPr>
          <w:p>
            <w:r>
              <w:rPr>
                <w:b w:val="false"/>
                <w:bCs w:val="false"/>
                <w:sz w:val="20"/>
                <w:szCs w:val="20"/>
              </w:rPr>
              <w:t xml:space="preserve">hi</w:t>
            </w:r>
          </w:p>
        </w:tc>
        <w:tc>
          <w:tcPr>
            <w:tcW w:type="pct" w:w="20%"/>
            <w:tcMar>
              <w:top w:type="dxa" w:w="80"/>
              <w:left w:type="dxa" w:w="100"/>
              <w:bottom w:type="dxa" w:w="80"/>
              <w:right w:type="dxa" w:w="100"/>
            </w:tcMar>
          </w:tcPr>
          <w:p>
            <w:r>
              <w:rPr>
                <w:b w:val="false"/>
                <w:bCs w:val="false"/>
                <w:sz w:val="20"/>
                <w:szCs w:val="20"/>
              </w:rPr>
              <w:t xml:space="preserve">#A88B61</w:t>
            </w:r>
          </w:p>
        </w:tc>
        <w:tc>
          <w:tcPr>
            <w:tcW w:type="pct" w:w="60%"/>
            <w:tcMar>
              <w:top w:type="dxa" w:w="80"/>
              <w:left w:type="dxa" w:w="100"/>
              <w:bottom w:type="dxa" w:w="80"/>
              <w:right w:type="dxa" w:w="100"/>
            </w:tcMar>
          </w:tcPr>
          <w:p>
            <w:r>
              <w:rPr>
                <w:b w:val="false"/>
                <w:bCs w:val="false"/>
                <w:sz w:val="20"/>
                <w:szCs w:val="20"/>
              </w:rPr>
              <w:t xml:space="preserve">Accent laiton, très rare</w:t>
            </w:r>
          </w:p>
        </w:tc>
      </w:tr>
    </w:tbl>
    <w:p>
      <w:pPr>
        <w:spacing w:after="150"/>
      </w:pPr>
    </w:p>
    <w:p>
      <w:pPr>
        <w:pStyle w:val="Heading2"/>
        <w:spacing w:after="120" w:before="240"/>
      </w:pPr>
      <w:r>
        <w:t xml:space="preserve">Couleurs — sombre</w:t>
      </w:r>
    </w:p>
    <w:tbl>
      <w:tblPr>
        <w:tblW w:type="pct" w:w="100%"/>
        <w:tblBorders>
          <w:top w:val="single" w:color="ECEAE6" w:sz="2"/>
          <w:left w:val="single" w:color="ECEAE6" w:sz="2"/>
          <w:bottom w:val="single" w:color="ECEAE6" w:sz="2"/>
          <w:right w:val="single" w:color="ECEAE6" w:sz="2"/>
          <w:insideH w:val="single" w:color="ECEAE6" w:sz="2"/>
          <w:insideV w:val="single" w:color="ECEAE6" w:sz="2"/>
        </w:tblBorders>
      </w:tblPr>
      <w:tblGrid>
        <w:gridCol w:w="100"/>
        <w:gridCol w:w="100"/>
      </w:tblGrid>
      <w:tr>
        <w:trPr>
          <w:tblHeader/>
        </w:trPr>
        <w:tc>
          <w:tcPr>
            <w:tcW w:type="pct" w:w="30%"/>
            <w:shd w:fill="F3F2EF" w:val="clear"/>
            <w:tcMar>
              <w:top w:type="dxa" w:w="80"/>
              <w:left w:type="dxa" w:w="100"/>
              <w:bottom w:type="dxa" w:w="80"/>
              <w:right w:type="dxa" w:w="100"/>
            </w:tcMar>
          </w:tcPr>
          <w:p>
            <w:r>
              <w:rPr>
                <w:b/>
                <w:bCs/>
                <w:sz w:val="20"/>
                <w:szCs w:val="20"/>
              </w:rPr>
              <w:t xml:space="preserve">Token</w:t>
            </w:r>
          </w:p>
        </w:tc>
        <w:tc>
          <w:tcPr>
            <w:tcW w:type="pct" w:w="70%"/>
            <w:shd w:fill="F3F2EF" w:val="clear"/>
            <w:tcMar>
              <w:top w:type="dxa" w:w="80"/>
              <w:left w:type="dxa" w:w="100"/>
              <w:bottom w:type="dxa" w:w="80"/>
              <w:right w:type="dxa" w:w="100"/>
            </w:tcMar>
          </w:tcPr>
          <w:p>
            <w:r>
              <w:rPr>
                <w:b/>
                <w:bCs/>
                <w:sz w:val="20"/>
                <w:szCs w:val="20"/>
              </w:rPr>
              <w:t xml:space="preserve">Valeur</w:t>
            </w:r>
          </w:p>
        </w:tc>
      </w:tr>
      <w:tr>
        <w:tc>
          <w:tcPr>
            <w:tcW w:type="pct" w:w="30%"/>
            <w:tcMar>
              <w:top w:type="dxa" w:w="80"/>
              <w:left w:type="dxa" w:w="100"/>
              <w:bottom w:type="dxa" w:w="80"/>
              <w:right w:type="dxa" w:w="100"/>
            </w:tcMar>
          </w:tcPr>
          <w:p>
            <w:r>
              <w:rPr>
                <w:b w:val="false"/>
                <w:bCs w:val="false"/>
                <w:sz w:val="20"/>
                <w:szCs w:val="20"/>
              </w:rPr>
              <w:t xml:space="preserve">desk</w:t>
            </w:r>
          </w:p>
        </w:tc>
        <w:tc>
          <w:tcPr>
            <w:tcW w:type="pct" w:w="70%"/>
            <w:tcMar>
              <w:top w:type="dxa" w:w="80"/>
              <w:left w:type="dxa" w:w="100"/>
              <w:bottom w:type="dxa" w:w="80"/>
              <w:right w:type="dxa" w:w="100"/>
            </w:tcMar>
          </w:tcPr>
          <w:p>
            <w:r>
              <w:rPr>
                <w:b w:val="false"/>
                <w:bCs w:val="false"/>
                <w:sz w:val="20"/>
                <w:szCs w:val="20"/>
              </w:rPr>
              <w:t xml:space="preserve">#0A0A0B</w:t>
            </w:r>
          </w:p>
        </w:tc>
      </w:tr>
      <w:tr>
        <w:tc>
          <w:tcPr>
            <w:tcW w:type="pct" w:w="30%"/>
            <w:tcMar>
              <w:top w:type="dxa" w:w="80"/>
              <w:left w:type="dxa" w:w="100"/>
              <w:bottom w:type="dxa" w:w="80"/>
              <w:right w:type="dxa" w:w="100"/>
            </w:tcMar>
          </w:tcPr>
          <w:p>
            <w:r>
              <w:rPr>
                <w:b w:val="false"/>
                <w:bCs w:val="false"/>
                <w:sz w:val="20"/>
                <w:szCs w:val="20"/>
              </w:rPr>
              <w:t xml:space="preserve">ground</w:t>
            </w:r>
          </w:p>
        </w:tc>
        <w:tc>
          <w:tcPr>
            <w:tcW w:type="pct" w:w="70%"/>
            <w:tcMar>
              <w:top w:type="dxa" w:w="80"/>
              <w:left w:type="dxa" w:w="100"/>
              <w:bottom w:type="dxa" w:w="80"/>
              <w:right w:type="dxa" w:w="100"/>
            </w:tcMar>
          </w:tcPr>
          <w:p>
            <w:r>
              <w:rPr>
                <w:b w:val="false"/>
                <w:bCs w:val="false"/>
                <w:sz w:val="20"/>
                <w:szCs w:val="20"/>
              </w:rPr>
              <w:t xml:space="preserve">#141416</w:t>
            </w:r>
          </w:p>
        </w:tc>
      </w:tr>
      <w:tr>
        <w:tc>
          <w:tcPr>
            <w:tcW w:type="pct" w:w="30%"/>
            <w:tcMar>
              <w:top w:type="dxa" w:w="80"/>
              <w:left w:type="dxa" w:w="100"/>
              <w:bottom w:type="dxa" w:w="80"/>
              <w:right w:type="dxa" w:w="100"/>
            </w:tcMar>
          </w:tcPr>
          <w:p>
            <w:r>
              <w:rPr>
                <w:b w:val="false"/>
                <w:bCs w:val="false"/>
                <w:sz w:val="20"/>
                <w:szCs w:val="20"/>
              </w:rPr>
              <w:t xml:space="preserve">tile</w:t>
            </w:r>
          </w:p>
        </w:tc>
        <w:tc>
          <w:tcPr>
            <w:tcW w:type="pct" w:w="70%"/>
            <w:tcMar>
              <w:top w:type="dxa" w:w="80"/>
              <w:left w:type="dxa" w:w="100"/>
              <w:bottom w:type="dxa" w:w="80"/>
              <w:right w:type="dxa" w:w="100"/>
            </w:tcMar>
          </w:tcPr>
          <w:p>
            <w:r>
              <w:rPr>
                <w:b w:val="false"/>
                <w:bCs w:val="false"/>
                <w:sz w:val="20"/>
                <w:szCs w:val="20"/>
              </w:rPr>
              <w:t xml:space="preserve">#1B1B1E</w:t>
            </w:r>
          </w:p>
        </w:tc>
      </w:tr>
      <w:tr>
        <w:tc>
          <w:tcPr>
            <w:tcW w:type="pct" w:w="30%"/>
            <w:tcMar>
              <w:top w:type="dxa" w:w="80"/>
              <w:left w:type="dxa" w:w="100"/>
              <w:bottom w:type="dxa" w:w="80"/>
              <w:right w:type="dxa" w:w="100"/>
            </w:tcMar>
          </w:tcPr>
          <w:p>
            <w:r>
              <w:rPr>
                <w:b w:val="false"/>
                <w:bCs w:val="false"/>
                <w:sz w:val="20"/>
                <w:szCs w:val="20"/>
              </w:rPr>
              <w:t xml:space="preserve">tile-2</w:t>
            </w:r>
          </w:p>
        </w:tc>
        <w:tc>
          <w:tcPr>
            <w:tcW w:type="pct" w:w="70%"/>
            <w:tcMar>
              <w:top w:type="dxa" w:w="80"/>
              <w:left w:type="dxa" w:w="100"/>
              <w:bottom w:type="dxa" w:w="80"/>
              <w:right w:type="dxa" w:w="100"/>
            </w:tcMar>
          </w:tcPr>
          <w:p>
            <w:r>
              <w:rPr>
                <w:b w:val="false"/>
                <w:bCs w:val="false"/>
                <w:sz w:val="20"/>
                <w:szCs w:val="20"/>
              </w:rPr>
              <w:t xml:space="preserve">#232327</w:t>
            </w:r>
          </w:p>
        </w:tc>
      </w:tr>
      <w:tr>
        <w:tc>
          <w:tcPr>
            <w:tcW w:type="pct" w:w="30%"/>
            <w:tcMar>
              <w:top w:type="dxa" w:w="80"/>
              <w:left w:type="dxa" w:w="100"/>
              <w:bottom w:type="dxa" w:w="80"/>
              <w:right w:type="dxa" w:w="100"/>
            </w:tcMar>
          </w:tcPr>
          <w:p>
            <w:r>
              <w:rPr>
                <w:b w:val="false"/>
                <w:bCs w:val="false"/>
                <w:sz w:val="20"/>
                <w:szCs w:val="20"/>
              </w:rPr>
              <w:t xml:space="preserve">ink</w:t>
            </w:r>
          </w:p>
        </w:tc>
        <w:tc>
          <w:tcPr>
            <w:tcW w:type="pct" w:w="70%"/>
            <w:tcMar>
              <w:top w:type="dxa" w:w="80"/>
              <w:left w:type="dxa" w:w="100"/>
              <w:bottom w:type="dxa" w:w="80"/>
              <w:right w:type="dxa" w:w="100"/>
            </w:tcMar>
          </w:tcPr>
          <w:p>
            <w:r>
              <w:rPr>
                <w:b w:val="false"/>
                <w:bCs w:val="false"/>
                <w:sz w:val="20"/>
                <w:szCs w:val="20"/>
              </w:rPr>
              <w:t xml:space="preserve">#F2F1EE</w:t>
            </w:r>
          </w:p>
        </w:tc>
      </w:tr>
      <w:tr>
        <w:tc>
          <w:tcPr>
            <w:tcW w:type="pct" w:w="30%"/>
            <w:tcMar>
              <w:top w:type="dxa" w:w="80"/>
              <w:left w:type="dxa" w:w="100"/>
              <w:bottom w:type="dxa" w:w="80"/>
              <w:right w:type="dxa" w:w="100"/>
            </w:tcMar>
          </w:tcPr>
          <w:p>
            <w:r>
              <w:rPr>
                <w:b w:val="false"/>
                <w:bCs w:val="false"/>
                <w:sz w:val="20"/>
                <w:szCs w:val="20"/>
              </w:rPr>
              <w:t xml:space="preserve">muted</w:t>
            </w:r>
          </w:p>
        </w:tc>
        <w:tc>
          <w:tcPr>
            <w:tcW w:type="pct" w:w="70%"/>
            <w:tcMar>
              <w:top w:type="dxa" w:w="80"/>
              <w:left w:type="dxa" w:w="100"/>
              <w:bottom w:type="dxa" w:w="80"/>
              <w:right w:type="dxa" w:w="100"/>
            </w:tcMar>
          </w:tcPr>
          <w:p>
            <w:r>
              <w:rPr>
                <w:b w:val="false"/>
                <w:bCs w:val="false"/>
                <w:sz w:val="20"/>
                <w:szCs w:val="20"/>
              </w:rPr>
              <w:t xml:space="preserve">#8E8C88</w:t>
            </w:r>
          </w:p>
        </w:tc>
      </w:tr>
      <w:tr>
        <w:tc>
          <w:tcPr>
            <w:tcW w:type="pct" w:w="30%"/>
            <w:tcMar>
              <w:top w:type="dxa" w:w="80"/>
              <w:left w:type="dxa" w:w="100"/>
              <w:bottom w:type="dxa" w:w="80"/>
              <w:right w:type="dxa" w:w="100"/>
            </w:tcMar>
          </w:tcPr>
          <w:p>
            <w:r>
              <w:rPr>
                <w:b w:val="false"/>
                <w:bCs w:val="false"/>
                <w:sz w:val="20"/>
                <w:szCs w:val="20"/>
              </w:rPr>
              <w:t xml:space="preserve">line</w:t>
            </w:r>
          </w:p>
        </w:tc>
        <w:tc>
          <w:tcPr>
            <w:tcW w:type="pct" w:w="70%"/>
            <w:tcMar>
              <w:top w:type="dxa" w:w="80"/>
              <w:left w:type="dxa" w:w="100"/>
              <w:bottom w:type="dxa" w:w="80"/>
              <w:right w:type="dxa" w:w="100"/>
            </w:tcMar>
          </w:tcPr>
          <w:p>
            <w:r>
              <w:rPr>
                <w:b w:val="false"/>
                <w:bCs w:val="false"/>
                <w:sz w:val="20"/>
                <w:szCs w:val="20"/>
              </w:rPr>
              <w:t xml:space="preserve">#262629</w:t>
            </w:r>
          </w:p>
        </w:tc>
      </w:tr>
      <w:tr>
        <w:tc>
          <w:tcPr>
            <w:tcW w:type="pct" w:w="30%"/>
            <w:tcMar>
              <w:top w:type="dxa" w:w="80"/>
              <w:left w:type="dxa" w:w="100"/>
              <w:bottom w:type="dxa" w:w="80"/>
              <w:right w:type="dxa" w:w="100"/>
            </w:tcMar>
          </w:tcPr>
          <w:p>
            <w:r>
              <w:rPr>
                <w:b w:val="false"/>
                <w:bCs w:val="false"/>
                <w:sz w:val="20"/>
                <w:szCs w:val="20"/>
              </w:rPr>
              <w:t xml:space="preserve">hi</w:t>
            </w:r>
          </w:p>
        </w:tc>
        <w:tc>
          <w:tcPr>
            <w:tcW w:type="pct" w:w="70%"/>
            <w:tcMar>
              <w:top w:type="dxa" w:w="80"/>
              <w:left w:type="dxa" w:w="100"/>
              <w:bottom w:type="dxa" w:w="80"/>
              <w:right w:type="dxa" w:w="100"/>
            </w:tcMar>
          </w:tcPr>
          <w:p>
            <w:r>
              <w:rPr>
                <w:b w:val="false"/>
                <w:bCs w:val="false"/>
                <w:sz w:val="20"/>
                <w:szCs w:val="20"/>
              </w:rPr>
              <w:t xml:space="preserve">#C4A575</w:t>
            </w:r>
          </w:p>
        </w:tc>
      </w:tr>
    </w:tbl>
    <w:p>
      <w:pPr>
        <w:spacing w:after="150"/>
      </w:pPr>
    </w:p>
    <w:p>
      <w:pPr>
        <w:pStyle w:val="Heading2"/>
        <w:spacing w:after="120" w:before="240"/>
      </w:pPr>
      <w:r>
        <w:t xml:space="preserve">Formes</w:t>
      </w:r>
    </w:p>
    <w:p>
      <w:pPr>
        <w:pStyle w:val="ListParagraph"/>
        <w:numPr>
          <w:ilvl w:val="0"/>
          <w:numId w:val="1"/>
        </w:numPr>
        <w:spacing w:after="60"/>
      </w:pPr>
      <w:r>
        <w:t xml:space="preserve">Tout ce qui se clique : rayon 999 px. Cartes et vignettes : 20–28 px.</w:t>
      </w:r>
    </w:p>
    <w:p>
      <w:pPr>
        <w:pStyle w:val="ListParagraph"/>
        <w:numPr>
          <w:ilvl w:val="0"/>
          <w:numId w:val="1"/>
        </w:numPr>
        <w:spacing w:after="60"/>
      </w:pPr>
      <w:r>
        <w:t xml:space="preserve">Jamais de contour de carte : uniquement des fonds et des ombres diffuses (0 10px 30px rgba(0,0,0,.06)).</w:t>
      </w:r>
    </w:p>
    <w:p>
      <w:pPr>
        <w:pStyle w:val="ListParagraph"/>
        <w:numPr>
          <w:ilvl w:val="0"/>
          <w:numId w:val="1"/>
        </w:numPr>
        <w:spacing w:after="60"/>
      </w:pPr>
      <w:r>
        <w:t xml:space="preserve">Grille : marge latérale 20 px, gouttière 12 px, espacement vertical par pas de 4 px.</w:t>
      </w:r>
    </w:p>
    <w:p>
      <w:pPr>
        <w:pStyle w:val="ListParagraph"/>
        <w:numPr>
          <w:ilvl w:val="0"/>
          <w:numId w:val="1"/>
        </w:numPr>
        <w:spacing w:after="60"/>
      </w:pPr>
      <w:r>
        <w:t xml:space="preserve">Barre d'onglets flottante en verre (translucide + flou), détachée du bas de 12 px, 5 onglets : Accueil, Dressing, Kode (pastille noire centrale), Agenda, Moi.</w:t>
      </w:r>
    </w:p>
    <w:p>
      <w:pPr>
        <w:pStyle w:val="Heading2"/>
        <w:spacing w:after="120" w:before="240"/>
      </w:pPr>
      <w:r>
        <w:t xml:space="preserve">Mouvement</w:t>
      </w:r>
    </w:p>
    <w:p>
      <w:pPr>
        <w:pStyle w:val="ListParagraph"/>
        <w:numPr>
          <w:ilvl w:val="0"/>
          <w:numId w:val="1"/>
        </w:numPr>
        <w:spacing w:after="60"/>
      </w:pPr>
      <w:r>
        <w:t xml:space="preserve">Transitions 200–280 ms, courbe cubic-bezier(.2,.8,.2,1). Tout se désactive avec prefers-reduced-motion.</w:t>
      </w:r>
    </w:p>
    <w:p>
      <w:pPr>
        <w:pStyle w:val="Heading1"/>
        <w:spacing w:after="150" w:before="300"/>
      </w:pPr>
      <w:r>
        <w:t xml:space="preserve">Écrans à dessiner</w:t>
      </w:r>
    </w:p>
    <w:p>
      <w:pPr>
        <w:spacing w:after="120"/>
      </w:pPr>
      <w:r>
        <w:t xml:space="preserve">Pour chaque écran : version claire et sombre, format 390 × 844, plus les états vides et de chargement quand c'est pertinent.</w:t>
      </w:r>
    </w:p>
    <w:p>
      <w:pPr>
        <w:spacing w:after="120"/>
      </w:pPr>
      <w:r>
        <w:rPr>
          <w:b/>
          <w:bCs/>
        </w:rPr>
        <w:t xml:space="preserve">1. Bienvenue</w:t>
      </w:r>
    </w:p>
    <w:p>
      <w:pPr>
        <w:spacing w:after="120"/>
      </w:pPr>
      <w:r>
        <w:t xml:space="preserve">Collage de vêtements à plat, titre « Ton dressing, en vitrine. », un seul bouton.</w:t>
      </w:r>
    </w:p>
    <w:p>
      <w:pPr>
        <w:spacing w:after="120"/>
      </w:pPr>
      <w:r>
        <w:rPr>
          <w:b/>
          <w:bCs/>
        </w:rPr>
        <w:t xml:space="preserve">2. Onboarding en 3 étapes</w:t>
      </w:r>
    </w:p>
    <w:p>
      <w:pPr>
        <w:spacing w:after="120"/>
      </w:pPr>
      <w:r>
        <w:t xml:space="preserve">(a) silhouette (5 pictogrammes : triangle, triangle inversé, rectangle, sablier, ronde) + taille ; (b) « Affine ta silhouette », facultative : 4 mesures, mannequin qui se déforme en direct, score de précision ; (c) styles et couleurs portées volontiers.</w:t>
      </w:r>
    </w:p>
    <w:p>
      <w:pPr>
        <w:spacing w:after="120"/>
      </w:pPr>
      <w:r>
        <w:rPr>
          <w:b/>
          <w:bCs/>
        </w:rPr>
        <w:t xml:space="preserve">3. Accueil</w:t>
      </w:r>
    </w:p>
    <w:p>
      <w:pPr>
        <w:spacing w:after="120"/>
      </w:pPr>
      <w:r>
        <w:t xml:space="preserve">Modules réordonnables : Tenue du jour (grande planche de vêtements à plat, chips d'humeur, « Je la porte » / « Autre »), Kode, Cette semaine, Tendances, À ressortir, Prêtés par tes amies, En chiffres, Voyage.</w:t>
      </w:r>
    </w:p>
    <w:p>
      <w:pPr>
        <w:spacing w:after="120"/>
      </w:pPr>
      <w:r>
        <w:rPr>
          <w:b/>
          <w:bCs/>
        </w:rPr>
        <w:t xml:space="preserve">4. Dressing, vue Portants</w:t>
      </w:r>
    </w:p>
    <w:p>
      <w:pPr>
        <w:spacing w:after="120"/>
      </w:pPr>
      <w:r>
        <w:t xml:space="preserve">L'écran le plus important : une barre métallique par catégorie, des cintres qui défilent horizontalement, balancement des cintres pendant le défilement, mise au point sur le vêtement central, étagère pour chaussures et accessoires, portant séparé « Prêtés par tes amies ». Montrer aussi les 3 images clés de l'animation (repos, défilement rapide, arrêt).</w:t>
      </w:r>
    </w:p>
    <w:p>
      <w:pPr>
        <w:spacing w:after="120"/>
      </w:pPr>
      <w:r>
        <w:rPr>
          <w:b/>
          <w:bCs/>
        </w:rPr>
        <w:t xml:space="preserve">5. Dressing, vue Grille</w:t>
      </w:r>
    </w:p>
    <w:p>
      <w:pPr>
        <w:spacing w:after="120"/>
      </w:pPr>
      <w:r>
        <w:t xml:space="preserve">Filtres par catégorie / couleur / état, deux densités (grandes et compactes).</w:t>
      </w:r>
    </w:p>
    <w:p>
      <w:pPr>
        <w:spacing w:after="120"/>
      </w:pPr>
      <w:r>
        <w:rPr>
          <w:b/>
          <w:bCs/>
        </w:rPr>
        <w:t xml:space="preserve">6. Fiche vêtement</w:t>
      </w:r>
    </w:p>
    <w:p>
      <w:pPr>
        <w:spacing w:after="120"/>
      </w:pPr>
      <w:r>
        <w:t xml:space="preserve">Grande image, étiquette (matière, entretien), 3 chiffres (nombre de ports, coût par port, dernier port), boutons « Créer une tenue » et « Demander à Kode », actions prêter / archiver.</w:t>
      </w:r>
    </w:p>
    <w:p>
      <w:pPr>
        <w:spacing w:after="120"/>
      </w:pPr>
      <w:r>
        <w:rPr>
          <w:b/>
          <w:bCs/>
        </w:rPr>
        <w:t xml:space="preserve">7. Kode (conversation)</w:t>
      </w:r>
    </w:p>
    <w:p>
      <w:pPr>
        <w:spacing w:after="120"/>
      </w:pPr>
      <w:r>
        <w:t xml:space="preserve">En-tête avec pastille animée, badge IA ou Démo, quota restant ; bulles ; cartes de tenues construites avec les vêtements possédés (planche + titre + pourquoi + « Prévoir pour demain » / « Ajuster ») ; suggestions cliquables ; champ de saisie qui grandit.</w:t>
      </w:r>
    </w:p>
    <w:p>
      <w:pPr>
        <w:spacing w:after="120"/>
      </w:pPr>
      <w:r>
        <w:rPr>
          <w:b/>
          <w:bCs/>
        </w:rPr>
        <w:t xml:space="preserve">8. Ajouter un vêtement</w:t>
      </w:r>
    </w:p>
    <w:p>
      <w:pPr>
        <w:spacing w:after="120"/>
      </w:pPr>
      <w:r>
        <w:t xml:space="preserve">Choix (galerie / photo / scanner l'étiquette), sélection multiple dans la galerie, écran d'analyse (catégorie, couleur, matière détectées), résultat modifiable.</w:t>
      </w:r>
    </w:p>
    <w:p>
      <w:pPr>
        <w:spacing w:after="120"/>
      </w:pPr>
      <w:r>
        <w:rPr>
          <w:b/>
          <w:bCs/>
        </w:rPr>
        <w:t xml:space="preserve">9. Composer une tenue</w:t>
      </w:r>
    </w:p>
    <w:p>
      <w:pPr>
        <w:spacing w:after="120"/>
      </w:pPr>
      <w:r>
        <w:t xml:space="preserve">Planche au centre, bandeaux horizontaux de vignettes par emplacement (haut, bas, chaussures, accessoire), pastille « adaptée à la météo ».</w:t>
      </w:r>
    </w:p>
    <w:p>
      <w:pPr>
        <w:spacing w:after="120"/>
      </w:pPr>
      <w:r>
        <w:rPr>
          <w:b/>
          <w:bCs/>
        </w:rPr>
        <w:t xml:space="preserve">10. Agenda</w:t>
      </w:r>
    </w:p>
    <w:p>
      <w:pPr>
        <w:spacing w:after="120"/>
      </w:pPr>
      <w:r>
        <w:t xml:space="preserve">Semaine avec météo par jour, tenue prévue, événements à venir.</w:t>
      </w:r>
    </w:p>
    <w:p>
      <w:pPr>
        <w:spacing w:after="120"/>
      </w:pPr>
      <w:r>
        <w:rPr>
          <w:b/>
          <w:bCs/>
        </w:rPr>
        <w:t xml:space="preserve">11. Événement / Pack Occasion</w:t>
      </w:r>
    </w:p>
    <w:p>
      <w:pPr>
        <w:spacing w:after="120"/>
      </w:pPr>
      <w:r>
        <w:t xml:space="preserve">Code vestimentaire, 3 tenues (floutées avant achat), check-list, rappel J-2, bouton 3,99 € ou « inclus dans Atelier ».</w:t>
      </w:r>
    </w:p>
    <w:p>
      <w:pPr>
        <w:spacing w:after="120"/>
      </w:pPr>
      <w:r>
        <w:rPr>
          <w:b/>
          <w:bCs/>
        </w:rPr>
        <w:t xml:space="preserve">12. Ma silhouette</w:t>
      </w:r>
    </w:p>
    <w:p>
      <w:pPr>
        <w:spacing w:after="120"/>
      </w:pPr>
      <w:r>
        <w:t xml:space="preserve">Accordéons : 11 mesures optionnelles en 3 groupes avec « où mesurer », proportions, tailles habituelles, ajustement préféré (haut / bas), zones à mettre en valeur et zones de confort, alternatives (mesurer un vêtement à plat, 2 photos guidées « Bientôt »), note de confidentialité.</w:t>
      </w:r>
    </w:p>
    <w:p>
      <w:pPr>
        <w:spacing w:after="120"/>
      </w:pPr>
      <w:r>
        <w:rPr>
          <w:b/>
          <w:bCs/>
        </w:rPr>
        <w:t xml:space="preserve">13. Personnaliser</w:t>
      </w:r>
    </w:p>
    <w:p>
      <w:pPr>
        <w:spacing w:after="120"/>
      </w:pPr>
      <w:r>
        <w:t xml:space="preserve">Activer / désactiver et réordonner les modules d'accueil, vue du dressing par défaut, densité, thème.</w:t>
      </w:r>
    </w:p>
    <w:p>
      <w:pPr>
        <w:spacing w:after="120"/>
      </w:pPr>
      <w:r>
        <w:rPr>
          <w:b/>
          <w:bCs/>
        </w:rPr>
        <w:t xml:space="preserve">14. Partage à une amie</w:t>
      </w:r>
    </w:p>
    <w:p>
      <w:pPr>
        <w:spacing w:after="120"/>
      </w:pPr>
      <w:r>
        <w:t xml:space="preserve">Vêtement, liste d'amies, durée du prêt, lien d'invitation ; et l'écran d'un vêtement reçu (« Prêté par Julie jusqu'au 1er oct. »).</w:t>
      </w:r>
    </w:p>
    <w:p>
      <w:pPr>
        <w:spacing w:after="120"/>
      </w:pPr>
      <w:r>
        <w:rPr>
          <w:b/>
          <w:bCs/>
        </w:rPr>
        <w:t xml:space="preserve">15. Offres</w:t>
      </w:r>
    </w:p>
    <w:p>
      <w:pPr>
        <w:spacing w:after="120"/>
      </w:pPr>
      <w:r>
        <w:t xml:space="preserve">« Porte mieux, achète moins. », bascule Annuel (3 mois offerts) / Mensuel, encart Achat déduit (1er mois à −50 %), 3 offres : Capsule 6,99 €/mois ou 59,99 €/an, Atelier 12,99 € / 109,99 € (mise en avant), Couture 24,99 € / 219,99 €.</w:t>
      </w:r>
    </w:p>
    <w:p>
      <w:pPr>
        <w:spacing w:after="120"/>
      </w:pPr>
      <w:r>
        <w:rPr>
          <w:b/>
          <w:bCs/>
        </w:rPr>
        <w:t xml:space="preserve">16. Boutique</w:t>
      </w:r>
    </w:p>
    <w:p>
      <w:pPr>
        <w:spacing w:after="120"/>
      </w:pPr>
      <w:r>
        <w:t xml:space="preserve">Achats à l'unité : Pack Occasion 3,99 €, Capsule voyage 5,99 €, +30 places 4,99 € (une seule fois), Audit 7,99 €, Analyse couleurs 5,99 €, Défi 1,99 €.</w:t>
      </w:r>
    </w:p>
    <w:p>
      <w:pPr>
        <w:spacing w:after="120"/>
      </w:pPr>
      <w:r>
        <w:rPr>
          <w:b/>
          <w:bCs/>
        </w:rPr>
        <w:t xml:space="preserve">17. Profil (Moi)</w:t>
      </w:r>
    </w:p>
    <w:p>
      <w:pPr>
        <w:spacing w:after="120"/>
      </w:pPr>
      <w:r>
        <w:t xml:space="preserve">Carte silhouette avec score de précision, carte offre, accès silhouette / personnaliser / boutique / Kode / cercle.</w:t>
      </w:r>
    </w:p>
    <w:p>
      <w:pPr>
        <w:spacing w:after="120"/>
      </w:pPr>
      <w:r>
        <w:rPr>
          <w:b/>
          <w:bCs/>
        </w:rPr>
        <w:t xml:space="preserve">18. Feuilles de dialogue (bottom sheets)</w:t>
      </w:r>
    </w:p>
    <w:p>
      <w:pPr>
        <w:spacing w:after="120"/>
      </w:pPr>
      <w:r>
        <w:t xml:space="preserve">Achat confirmé (avec la promo −50 %), abonnement avec le détail du prix, partage envoyé.</w:t>
      </w:r>
    </w:p>
    <w:p>
      <w:pPr>
        <w:pStyle w:val="Heading1"/>
        <w:spacing w:after="150" w:before="300"/>
      </w:pPr>
      <w:r>
        <w:t xml:space="preserve">Règles de contenu (textes)</w:t>
      </w:r>
    </w:p>
    <w:p>
      <w:pPr>
        <w:pStyle w:val="ListParagraph"/>
        <w:numPr>
          <w:ilvl w:val="0"/>
          <w:numId w:val="1"/>
        </w:numPr>
        <w:spacing w:after="60"/>
      </w:pPr>
      <w:r>
        <w:t xml:space="preserve">Tutoiement, phrases courtes, aucun jargon technique.</w:t>
      </w:r>
    </w:p>
    <w:p>
      <w:pPr>
        <w:pStyle w:val="ListParagraph"/>
        <w:numPr>
          <w:ilvl w:val="0"/>
          <w:numId w:val="1"/>
        </w:numPr>
        <w:spacing w:after="60"/>
      </w:pPr>
      <w:r>
        <w:t xml:space="preserve">Toujours le mode conseil : « tu pourrais », jamais « tu dois ».</w:t>
      </w:r>
    </w:p>
    <w:p>
      <w:pPr>
        <w:pStyle w:val="ListParagraph"/>
        <w:numPr>
          <w:ilvl w:val="0"/>
          <w:numId w:val="1"/>
        </w:numPr>
        <w:spacing w:after="60"/>
      </w:pPr>
      <w:r>
        <w:t xml:space="preserve">Les prix s'écrivent à la française : 12,99 €.</w:t>
      </w:r>
    </w:p>
    <w:p>
      <w:pPr>
        <w:pStyle w:val="ListParagraph"/>
        <w:numPr>
          <w:ilvl w:val="0"/>
          <w:numId w:val="1"/>
        </w:numPr>
        <w:spacing w:after="60"/>
      </w:pPr>
      <w:r>
        <w:t xml:space="preserve">Aucune marque de vêtement, aucune enseigne, aucun logo réel.</w:t>
      </w:r>
    </w:p>
    <w:p>
      <w:pPr>
        <w:pStyle w:val="ListParagraph"/>
        <w:numPr>
          <w:ilvl w:val="0"/>
          <w:numId w:val="1"/>
        </w:numPr>
        <w:spacing w:after="60"/>
      </w:pPr>
      <w:r>
        <w:t xml:space="preserve">Les vêtements sont des illustrations vectorielles à plat (flat lay), jamais des photos de mannequins ni de la 3D.</w:t>
      </w:r>
    </w:p>
    <w:p>
      <w:pPr>
        <w:pStyle w:val="ListParagraph"/>
        <w:numPr>
          <w:ilvl w:val="0"/>
          <w:numId w:val="1"/>
        </w:numPr>
        <w:spacing w:after="60"/>
      </w:pPr>
      <w:r>
        <w:t xml:space="preserve">Jamais de pop-up : les offres apparaissent en contexte, toujours avec l'alternative « inclus dans Atelier ».</w:t>
      </w:r>
    </w:p>
    <w:p>
      <w:pPr>
        <w:pStyle w:val="Heading1"/>
        <w:spacing w:after="150" w:before="300"/>
      </w:pPr>
      <w:r>
        <w:t xml:space="preserve">Ce qui est attendu en sortie</w:t>
      </w:r>
    </w:p>
    <w:p>
      <w:pPr>
        <w:pStyle w:val="ListParagraph"/>
        <w:numPr>
          <w:ilvl w:val="0"/>
          <w:numId w:val="2"/>
        </w:numPr>
        <w:spacing w:after="80"/>
      </w:pPr>
      <w:r>
        <w:t xml:space="preserve">Un design system : tokens de couleur et de typographie, composants (bouton, chip, segment, carte, vignette, portant, cintre, bulle, feuille, barre d'onglets, mannequin), avec leurs états (repos, survol, pressé, désactivé, focus clavier).</w:t>
      </w:r>
    </w:p>
    <w:p>
      <w:pPr>
        <w:pStyle w:val="ListParagraph"/>
        <w:numPr>
          <w:ilvl w:val="0"/>
          <w:numId w:val="2"/>
        </w:numPr>
        <w:spacing w:after="80"/>
      </w:pPr>
      <w:r>
        <w:t xml:space="preserve">Les 18 écrans ci-dessus en clair et en sombre.</w:t>
      </w:r>
    </w:p>
    <w:p>
      <w:pPr>
        <w:pStyle w:val="ListParagraph"/>
        <w:numPr>
          <w:ilvl w:val="0"/>
          <w:numId w:val="2"/>
        </w:numPr>
        <w:spacing w:after="80"/>
      </w:pPr>
      <w:r>
        <w:t xml:space="preserve">Les 3 images clés de l'animation du portant et une description des transitions entre écrans.</w:t>
      </w:r>
    </w:p>
    <w:p>
      <w:pPr>
        <w:pStyle w:val="ListParagraph"/>
        <w:numPr>
          <w:ilvl w:val="0"/>
          <w:numId w:val="2"/>
        </w:numPr>
        <w:spacing w:after="80"/>
      </w:pPr>
      <w:r>
        <w:t xml:space="preserve">Un écran de contrôle d'accessibilité : contrastes (AA minimum), tailles de cible (44 px), ordre de lecture.</w:t>
      </w:r>
    </w:p>
    <w:p>
      <w:pPr>
        <w:spacing w:after="120"/>
      </w:pPr>
      <w:r>
        <w:t xml:space="preserve"/>
      </w:r>
    </w:p>
    <w:p>
      <w:pPr>
        <w:spacing w:after="120"/>
      </w:pPr>
      <w:r>
        <w:rPr>
          <w:b/>
          <w:bCs/>
        </w:rPr>
        <w:t xml:space="preserve">Point de départ recommandé : le design system et l'écran Dressing en vue Portants (2 variantes) — c'est lui qui décide de l'identité de l'app.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0D0D0E"/>
      <w:sz w:val="30"/>
      <w:szCs w:val="30"/>
    </w:rPr>
  </w:style>
  <w:style w:type="paragraph" w:styleId="Heading2">
    <w:name w:val="Heading 2"/>
    <w:basedOn w:val="Normal"/>
    <w:next w:val="Normal"/>
    <w:pPr>
      <w:spacing w:after="120" w:before="240"/>
    </w:pPr>
    <w:rPr>
      <w:b/>
      <w:bCs/>
      <w:color w:val="A88B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2026-09-19T11:36:46.795Z</dcterms:created>
  <dcterms:modified xsi:type="dcterms:W3CDTF">2026-09-19T11:36:46.803Z</dcterms:modified>
</cp:coreProperties>
</file>

<file path=docProps/custom.xml><?xml version="1.0" encoding="utf-8"?>
<Properties xmlns="http://schemas.openxmlformats.org/officeDocument/2006/custom-properties" xmlns:vt="http://schemas.openxmlformats.org/officeDocument/2006/docPropsVTypes"/>
</file>