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D0" w:rsidRPr="0053465D" w:rsidRDefault="00815CD0">
      <w:pPr>
        <w:spacing w:line="214" w:lineRule="auto"/>
        <w:rPr>
          <w:szCs w:val="24"/>
        </w:rPr>
      </w:pPr>
    </w:p>
    <w:p w:rsidR="00815CD0" w:rsidRDefault="00815CD0">
      <w:pPr>
        <w:pBdr>
          <w:top w:val="single" w:sz="4" w:space="1" w:color="auto"/>
        </w:pBdr>
        <w:spacing w:line="38" w:lineRule="exact"/>
        <w:rPr>
          <w:sz w:val="22"/>
        </w:rPr>
      </w:pPr>
      <w:r>
        <w:rPr>
          <w:noProof/>
          <w:snapToGrid/>
        </w:rPr>
        <w:pict>
          <v:rect id="_x0000_s1026" style="position:absolute;margin-left:46.8pt;margin-top:0;width:518.4pt;height:1.9pt;z-index:-251659264;mso-position-horizontal-relative:page" o:allowincell="f" fillcolor="black" stroked="f" strokeweight="0">
            <v:fill color2="black"/>
            <w10:wrap anchorx="page"/>
            <w10:anchorlock/>
          </v:rect>
        </w:pict>
      </w:r>
    </w:p>
    <w:p w:rsidR="00815CD0" w:rsidRPr="00C1027E" w:rsidRDefault="000B304D">
      <w:pPr>
        <w:pStyle w:val="BodyText"/>
        <w:ind w:left="720"/>
        <w:rPr>
          <w:sz w:val="24"/>
          <w:szCs w:val="24"/>
        </w:rPr>
      </w:pPr>
      <w:r w:rsidRPr="00C1027E">
        <w:rPr>
          <w:sz w:val="24"/>
          <w:szCs w:val="24"/>
        </w:rPr>
        <w:t>Structured and executed a wide range of complex transactions, including corporate sales, acquisitions, mergers, joint ventures, corporate restructurings, recapitalizations, and leveraged buy-outs across a broad range of industry sectors.</w:t>
      </w:r>
    </w:p>
    <w:p w:rsidR="00815CD0" w:rsidRDefault="00815CD0">
      <w:pPr>
        <w:spacing w:line="38" w:lineRule="exact"/>
        <w:rPr>
          <w:sz w:val="22"/>
        </w:rPr>
      </w:pPr>
      <w:r>
        <w:rPr>
          <w:noProof/>
          <w:snapToGrid/>
        </w:rPr>
        <w:pict>
          <v:rect id="_x0000_s1027" style="position:absolute;margin-left:46.8pt;margin-top:0;width:518.4pt;height:1.9pt;z-index:-251658240;mso-position-horizontal-relative:page" o:allowincell="f" fillcolor="black" stroked="f" strokeweight="0">
            <v:fill color2="black"/>
            <w10:wrap anchorx="page"/>
            <w10:anchorlock/>
          </v:rect>
        </w:pict>
      </w:r>
    </w:p>
    <w:p w:rsidR="00815CD0" w:rsidRDefault="00815CD0">
      <w:pPr>
        <w:spacing w:line="214" w:lineRule="auto"/>
        <w:rPr>
          <w:sz w:val="22"/>
        </w:rPr>
      </w:pPr>
    </w:p>
    <w:p w:rsidR="00815CD0" w:rsidRDefault="00815CD0">
      <w:pPr>
        <w:spacing w:line="214" w:lineRule="auto"/>
        <w:jc w:val="center"/>
        <w:rPr>
          <w:b/>
          <w:sz w:val="22"/>
        </w:rPr>
      </w:pPr>
      <w:r>
        <w:rPr>
          <w:b/>
          <w:sz w:val="22"/>
        </w:rPr>
        <w:t>SELECTED CAREER ACCOMPLISHMENTS</w:t>
      </w:r>
    </w:p>
    <w:p w:rsidR="00815CD0" w:rsidRDefault="00815CD0">
      <w:pPr>
        <w:spacing w:line="214" w:lineRule="auto"/>
        <w:jc w:val="center"/>
        <w:rPr>
          <w:b/>
          <w:sz w:val="22"/>
        </w:rPr>
      </w:pPr>
    </w:p>
    <w:p w:rsidR="00AC3728" w:rsidRPr="005700D9" w:rsidRDefault="00AC3728" w:rsidP="00F56845">
      <w:pPr>
        <w:pStyle w:val="Heading1"/>
        <w:rPr>
          <w:sz w:val="24"/>
          <w:szCs w:val="24"/>
        </w:rPr>
      </w:pPr>
      <w:r w:rsidRPr="005700D9">
        <w:rPr>
          <w:sz w:val="24"/>
          <w:szCs w:val="24"/>
        </w:rPr>
        <w:t>The Benchmark Group, Inc.</w:t>
      </w:r>
      <w:r w:rsidRPr="005700D9">
        <w:rPr>
          <w:sz w:val="24"/>
          <w:szCs w:val="24"/>
        </w:rPr>
        <w:tab/>
        <w:t>November ’02 - Present</w:t>
      </w:r>
    </w:p>
    <w:p w:rsidR="005700D9" w:rsidRDefault="005700D9" w:rsidP="00AC3728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b/>
          <w:szCs w:val="24"/>
        </w:rPr>
      </w:pPr>
    </w:p>
    <w:p w:rsidR="00AC3728" w:rsidRPr="005700D9" w:rsidRDefault="005700D9" w:rsidP="00AC3728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b/>
          <w:szCs w:val="24"/>
        </w:rPr>
      </w:pPr>
      <w:r>
        <w:rPr>
          <w:b/>
          <w:szCs w:val="24"/>
        </w:rPr>
        <w:t>MANAGING DIRECTOR</w:t>
      </w:r>
      <w:r w:rsidR="0021479A" w:rsidRPr="005700D9">
        <w:rPr>
          <w:b/>
          <w:szCs w:val="24"/>
        </w:rPr>
        <w:t>– Investment Banking</w:t>
      </w:r>
    </w:p>
    <w:p w:rsidR="00AC3728" w:rsidRPr="0021479A" w:rsidRDefault="00AC3728" w:rsidP="0041709D">
      <w:pPr>
        <w:pStyle w:val="Heading1"/>
        <w:jc w:val="both"/>
        <w:rPr>
          <w:b w:val="0"/>
          <w:i/>
          <w:sz w:val="24"/>
          <w:szCs w:val="24"/>
        </w:rPr>
      </w:pPr>
      <w:r w:rsidRPr="005700D9">
        <w:rPr>
          <w:b w:val="0"/>
          <w:i/>
          <w:sz w:val="24"/>
          <w:szCs w:val="24"/>
        </w:rPr>
        <w:t>The Benchmark Group is a financial services firm that provides that provides business succession planning</w:t>
      </w:r>
      <w:r w:rsidR="004A6BB8">
        <w:rPr>
          <w:b w:val="0"/>
          <w:i/>
          <w:sz w:val="24"/>
          <w:szCs w:val="24"/>
        </w:rPr>
        <w:t>, e</w:t>
      </w:r>
      <w:r w:rsidR="0021479A">
        <w:rPr>
          <w:b w:val="0"/>
          <w:i/>
          <w:sz w:val="24"/>
          <w:szCs w:val="24"/>
        </w:rPr>
        <w:t>state planning</w:t>
      </w:r>
      <w:r w:rsidR="004A6BB8">
        <w:rPr>
          <w:b w:val="0"/>
          <w:i/>
          <w:sz w:val="24"/>
          <w:szCs w:val="24"/>
        </w:rPr>
        <w:t>,</w:t>
      </w:r>
      <w:r w:rsidRPr="005700D9">
        <w:rPr>
          <w:b w:val="0"/>
          <w:i/>
          <w:sz w:val="24"/>
          <w:szCs w:val="24"/>
        </w:rPr>
        <w:t xml:space="preserve"> and investment banking services to privately-held and closely-held firms. </w:t>
      </w:r>
      <w:r w:rsidR="0021479A">
        <w:rPr>
          <w:b w:val="0"/>
          <w:i/>
          <w:sz w:val="24"/>
          <w:szCs w:val="24"/>
        </w:rPr>
        <w:t xml:space="preserve"> Boutique i</w:t>
      </w:r>
      <w:r w:rsidR="0021479A" w:rsidRPr="0021479A">
        <w:rPr>
          <w:b w:val="0"/>
          <w:i/>
          <w:sz w:val="24"/>
          <w:szCs w:val="24"/>
        </w:rPr>
        <w:t xml:space="preserve">nvestment banking </w:t>
      </w:r>
      <w:r w:rsidR="0021479A">
        <w:rPr>
          <w:b w:val="0"/>
          <w:i/>
          <w:sz w:val="24"/>
          <w:szCs w:val="24"/>
        </w:rPr>
        <w:t xml:space="preserve">group, </w:t>
      </w:r>
      <w:r w:rsidR="0021479A" w:rsidRPr="0021479A">
        <w:rPr>
          <w:b w:val="0"/>
          <w:i/>
          <w:sz w:val="24"/>
          <w:szCs w:val="24"/>
        </w:rPr>
        <w:t>provides both M&amp;A Advisory and Corporate Finance solutions to privately held businesses.  Services include mergers and acquisitions, private placements, recapitalizations, management buyouts and strategic advisory.</w:t>
      </w:r>
    </w:p>
    <w:p w:rsidR="00AC3728" w:rsidRPr="005700D9" w:rsidRDefault="00AC3728" w:rsidP="00BC3C00">
      <w:pPr>
        <w:pStyle w:val="Style"/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line="214" w:lineRule="auto"/>
        <w:ind w:left="0" w:firstLine="0"/>
        <w:jc w:val="both"/>
        <w:rPr>
          <w:szCs w:val="24"/>
        </w:rPr>
      </w:pPr>
    </w:p>
    <w:p w:rsidR="005700D9" w:rsidRPr="005700D9" w:rsidRDefault="00AC3728" w:rsidP="005700D9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line="214" w:lineRule="auto"/>
        <w:jc w:val="both"/>
        <w:rPr>
          <w:szCs w:val="24"/>
        </w:rPr>
      </w:pPr>
      <w:r w:rsidRPr="005700D9">
        <w:t>Spearheaded "Deal Making" successes and handled all aspects of transa</w:t>
      </w:r>
      <w:r w:rsidR="000B05A4">
        <w:t>ctions.</w:t>
      </w:r>
    </w:p>
    <w:p w:rsidR="005700D9" w:rsidRPr="005700D9" w:rsidRDefault="00AC3728" w:rsidP="005700D9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line="214" w:lineRule="auto"/>
        <w:jc w:val="both"/>
        <w:rPr>
          <w:szCs w:val="24"/>
        </w:rPr>
      </w:pPr>
      <w:r w:rsidRPr="005700D9">
        <w:t>Originated new business, performed due diligence, and structured transactions</w:t>
      </w:r>
      <w:r w:rsidR="000B05A4">
        <w:t>.</w:t>
      </w:r>
    </w:p>
    <w:p w:rsidR="005700D9" w:rsidRPr="005700D9" w:rsidRDefault="00AC3728" w:rsidP="005700D9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line="214" w:lineRule="auto"/>
        <w:jc w:val="both"/>
        <w:rPr>
          <w:szCs w:val="24"/>
        </w:rPr>
      </w:pPr>
      <w:r w:rsidRPr="005700D9">
        <w:t>Conducted, research, feasibility analysis, and documentation</w:t>
      </w:r>
      <w:r w:rsidR="000B05A4">
        <w:t>.</w:t>
      </w:r>
    </w:p>
    <w:p w:rsidR="005700D9" w:rsidRPr="005700D9" w:rsidRDefault="00AC3728" w:rsidP="005700D9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line="214" w:lineRule="auto"/>
        <w:jc w:val="both"/>
        <w:rPr>
          <w:szCs w:val="24"/>
        </w:rPr>
      </w:pPr>
      <w:r w:rsidRPr="005700D9">
        <w:t>Developed offering memorandum</w:t>
      </w:r>
      <w:r w:rsidR="000B05A4">
        <w:t>.</w:t>
      </w:r>
    </w:p>
    <w:p w:rsidR="005700D9" w:rsidRPr="005700D9" w:rsidRDefault="00AC3728" w:rsidP="005700D9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line="214" w:lineRule="auto"/>
        <w:jc w:val="both"/>
        <w:rPr>
          <w:szCs w:val="24"/>
        </w:rPr>
      </w:pPr>
      <w:r w:rsidRPr="005700D9">
        <w:t>Facilitated and established buy out strategies/plans</w:t>
      </w:r>
      <w:r w:rsidR="000B05A4">
        <w:t>.</w:t>
      </w:r>
    </w:p>
    <w:p w:rsidR="00AC3728" w:rsidRPr="005700D9" w:rsidRDefault="00AC3728" w:rsidP="005700D9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line="214" w:lineRule="auto"/>
        <w:jc w:val="both"/>
        <w:rPr>
          <w:szCs w:val="24"/>
        </w:rPr>
      </w:pPr>
      <w:r w:rsidRPr="005700D9">
        <w:rPr>
          <w:szCs w:val="24"/>
        </w:rPr>
        <w:t>Negotiated and closed transactions</w:t>
      </w:r>
      <w:r w:rsidR="000B05A4">
        <w:rPr>
          <w:szCs w:val="24"/>
        </w:rPr>
        <w:t>.</w:t>
      </w:r>
    </w:p>
    <w:p w:rsidR="00AC3728" w:rsidRPr="00AC3728" w:rsidRDefault="00AC3728" w:rsidP="00AC3728"/>
    <w:p w:rsidR="00F56845" w:rsidRPr="005700D9" w:rsidRDefault="00F56845" w:rsidP="00F56845">
      <w:pPr>
        <w:pStyle w:val="Heading1"/>
        <w:rPr>
          <w:sz w:val="24"/>
          <w:szCs w:val="24"/>
        </w:rPr>
      </w:pPr>
      <w:r w:rsidRPr="005700D9">
        <w:rPr>
          <w:sz w:val="24"/>
          <w:szCs w:val="24"/>
        </w:rPr>
        <w:t xml:space="preserve">Boenning &amp; Scattergood, Inc. </w:t>
      </w:r>
      <w:r w:rsidRPr="005700D9">
        <w:rPr>
          <w:sz w:val="24"/>
          <w:szCs w:val="24"/>
        </w:rPr>
        <w:tab/>
      </w:r>
      <w:r w:rsidR="00AC3728" w:rsidRPr="005700D9">
        <w:rPr>
          <w:sz w:val="24"/>
          <w:szCs w:val="24"/>
        </w:rPr>
        <w:t>February – November ‘</w:t>
      </w:r>
      <w:r w:rsidRPr="005700D9">
        <w:rPr>
          <w:sz w:val="24"/>
          <w:szCs w:val="24"/>
        </w:rPr>
        <w:t>02</w:t>
      </w:r>
    </w:p>
    <w:p w:rsidR="005700D9" w:rsidRPr="005700D9" w:rsidRDefault="005700D9" w:rsidP="00F56845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b/>
          <w:szCs w:val="24"/>
        </w:rPr>
      </w:pPr>
    </w:p>
    <w:p w:rsidR="00F56845" w:rsidRPr="005700D9" w:rsidRDefault="00F56845" w:rsidP="00F56845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b/>
          <w:szCs w:val="24"/>
        </w:rPr>
      </w:pPr>
      <w:r w:rsidRPr="005700D9">
        <w:rPr>
          <w:b/>
          <w:szCs w:val="24"/>
        </w:rPr>
        <w:t>VICE PRESIDENT – Investment Banking</w:t>
      </w:r>
    </w:p>
    <w:p w:rsidR="00F56845" w:rsidRDefault="00F56845" w:rsidP="00F56845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i/>
          <w:sz w:val="22"/>
        </w:rPr>
      </w:pPr>
      <w:r>
        <w:rPr>
          <w:i/>
          <w:sz w:val="22"/>
        </w:rPr>
        <w:t>Boenning &amp; Scattergood is a full-service, regionally focused investment bank</w:t>
      </w:r>
      <w:r w:rsidR="00AC7D68">
        <w:rPr>
          <w:i/>
          <w:sz w:val="22"/>
        </w:rPr>
        <w:t>.</w:t>
      </w:r>
    </w:p>
    <w:p w:rsidR="00AC7D68" w:rsidRPr="00AC3728" w:rsidRDefault="00AC7D68" w:rsidP="00F56845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szCs w:val="24"/>
        </w:rPr>
      </w:pPr>
    </w:p>
    <w:p w:rsidR="006B0C9E" w:rsidRPr="006B0C9E" w:rsidRDefault="006B0C9E" w:rsidP="006B0C9E"/>
    <w:p w:rsidR="00815CD0" w:rsidRPr="005700D9" w:rsidRDefault="000B304D">
      <w:pPr>
        <w:pStyle w:val="Heading1"/>
        <w:rPr>
          <w:sz w:val="24"/>
          <w:szCs w:val="24"/>
        </w:rPr>
      </w:pPr>
      <w:r w:rsidRPr="005700D9">
        <w:rPr>
          <w:sz w:val="24"/>
          <w:szCs w:val="24"/>
        </w:rPr>
        <w:t>First Union</w:t>
      </w:r>
      <w:r w:rsidR="00815CD0" w:rsidRPr="005700D9">
        <w:rPr>
          <w:sz w:val="24"/>
          <w:szCs w:val="24"/>
        </w:rPr>
        <w:t xml:space="preserve"> Securities </w:t>
      </w:r>
      <w:r w:rsidR="00815CD0" w:rsidRPr="005700D9">
        <w:rPr>
          <w:sz w:val="24"/>
          <w:szCs w:val="24"/>
        </w:rPr>
        <w:tab/>
        <w:t>1992-</w:t>
      </w:r>
      <w:r w:rsidR="00F56845" w:rsidRPr="005700D9">
        <w:rPr>
          <w:sz w:val="24"/>
          <w:szCs w:val="24"/>
        </w:rPr>
        <w:t>2002</w:t>
      </w:r>
    </w:p>
    <w:p w:rsidR="00815CD0" w:rsidRPr="005700D9" w:rsidRDefault="000B304D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rPr>
          <w:b/>
          <w:szCs w:val="24"/>
        </w:rPr>
      </w:pPr>
      <w:r w:rsidRPr="005700D9">
        <w:rPr>
          <w:b/>
          <w:szCs w:val="24"/>
        </w:rPr>
        <w:t xml:space="preserve">The Mid-Atlantic Companies, Ltd. </w:t>
      </w:r>
      <w:r w:rsidRPr="005700D9">
        <w:rPr>
          <w:szCs w:val="24"/>
        </w:rPr>
        <w:t>(acquired by First Union December 1998)</w:t>
      </w:r>
    </w:p>
    <w:p w:rsidR="005700D9" w:rsidRDefault="005700D9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b/>
          <w:szCs w:val="24"/>
        </w:rPr>
      </w:pPr>
    </w:p>
    <w:p w:rsidR="00815CD0" w:rsidRPr="005700D9" w:rsidRDefault="00815CD0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b/>
          <w:szCs w:val="24"/>
        </w:rPr>
      </w:pPr>
      <w:r w:rsidRPr="005700D9">
        <w:rPr>
          <w:b/>
          <w:szCs w:val="24"/>
        </w:rPr>
        <w:t>VICE PRESIDENT - Private Business Group</w:t>
      </w:r>
    </w:p>
    <w:p w:rsidR="00815CD0" w:rsidRPr="005700D9" w:rsidRDefault="00815CD0">
      <w:pPr>
        <w:tabs>
          <w:tab w:val="left" w:pos="0"/>
          <w:tab w:val="left" w:pos="720"/>
          <w:tab w:val="left" w:pos="1134"/>
          <w:tab w:val="left" w:pos="2160"/>
          <w:tab w:val="left" w:pos="3153"/>
        </w:tabs>
        <w:spacing w:line="214" w:lineRule="auto"/>
        <w:jc w:val="both"/>
        <w:rPr>
          <w:i/>
          <w:szCs w:val="24"/>
        </w:rPr>
      </w:pPr>
      <w:r w:rsidRPr="005700D9">
        <w:rPr>
          <w:i/>
          <w:szCs w:val="24"/>
        </w:rPr>
        <w:t xml:space="preserve">Private Business Group specializes in M&amp;A </w:t>
      </w:r>
      <w:r w:rsidR="00F56845" w:rsidRPr="005700D9">
        <w:rPr>
          <w:i/>
          <w:szCs w:val="24"/>
        </w:rPr>
        <w:t>for privately held and closely held businesses</w:t>
      </w:r>
      <w:r w:rsidRPr="005700D9">
        <w:rPr>
          <w:i/>
          <w:szCs w:val="24"/>
        </w:rPr>
        <w:t xml:space="preserve">. </w:t>
      </w:r>
    </w:p>
    <w:p w:rsidR="00815CD0" w:rsidRDefault="00815CD0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</w:tabs>
        <w:spacing w:line="214" w:lineRule="auto"/>
        <w:jc w:val="both"/>
        <w:rPr>
          <w:sz w:val="22"/>
        </w:rPr>
      </w:pPr>
    </w:p>
    <w:p w:rsidR="00815CD0" w:rsidRPr="000B304D" w:rsidRDefault="000B304D" w:rsidP="000B304D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</w:tabs>
        <w:spacing w:line="214" w:lineRule="auto"/>
        <w:jc w:val="both"/>
        <w:rPr>
          <w:szCs w:val="24"/>
        </w:rPr>
      </w:pPr>
      <w:r w:rsidRPr="000B304D">
        <w:rPr>
          <w:szCs w:val="24"/>
        </w:rPr>
        <w:t>Provided corporate finance services to middle-market companies</w:t>
      </w:r>
      <w:r w:rsidR="00815CD0" w:rsidRPr="000B304D">
        <w:rPr>
          <w:szCs w:val="24"/>
        </w:rPr>
        <w:t>.</w:t>
      </w:r>
    </w:p>
    <w:p w:rsidR="00815CD0" w:rsidRPr="000B304D" w:rsidRDefault="00815CD0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</w:tabs>
        <w:spacing w:line="214" w:lineRule="auto"/>
        <w:jc w:val="both"/>
        <w:rPr>
          <w:szCs w:val="24"/>
        </w:rPr>
      </w:pPr>
      <w:r w:rsidRPr="000B304D">
        <w:rPr>
          <w:szCs w:val="24"/>
        </w:rPr>
        <w:t>Managed team of associates</w:t>
      </w:r>
      <w:r w:rsidR="00AC3728" w:rsidRPr="000B304D">
        <w:rPr>
          <w:szCs w:val="24"/>
        </w:rPr>
        <w:t xml:space="preserve"> and </w:t>
      </w:r>
      <w:r w:rsidRPr="000B304D">
        <w:rPr>
          <w:szCs w:val="24"/>
        </w:rPr>
        <w:t>analysts who provide on-going support for all aspects of the transactions.</w:t>
      </w:r>
    </w:p>
    <w:p w:rsidR="00AC3728" w:rsidRPr="000B304D" w:rsidRDefault="00AC3728" w:rsidP="00AC3728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</w:tabs>
        <w:spacing w:line="214" w:lineRule="auto"/>
        <w:jc w:val="both"/>
        <w:rPr>
          <w:szCs w:val="24"/>
        </w:rPr>
      </w:pPr>
      <w:r w:rsidRPr="000B304D">
        <w:rPr>
          <w:szCs w:val="24"/>
        </w:rPr>
        <w:t>Marketed corporate services to strategic partners on nationwide basis and built strong external/internal working partnerships with diverse financial service groups and individuals.</w:t>
      </w:r>
    </w:p>
    <w:p w:rsidR="00AC3728" w:rsidRPr="000B304D" w:rsidRDefault="00AC3728" w:rsidP="00AC3728">
      <w:pPr>
        <w:pStyle w:val="Style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</w:tabs>
        <w:spacing w:line="214" w:lineRule="auto"/>
        <w:jc w:val="both"/>
        <w:rPr>
          <w:szCs w:val="24"/>
        </w:rPr>
      </w:pPr>
      <w:r w:rsidRPr="000B304D">
        <w:rPr>
          <w:szCs w:val="24"/>
        </w:rPr>
        <w:t>Conducted comprehensive financial/strategic analyses that facilitated M&amp;A activities and capital formation and effectively represented privately held, middle market businesses.</w:t>
      </w:r>
    </w:p>
    <w:p w:rsidR="00815CD0" w:rsidRPr="005700D9" w:rsidRDefault="00815CD0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</w:tabs>
        <w:spacing w:line="214" w:lineRule="auto"/>
        <w:jc w:val="both"/>
        <w:rPr>
          <w:szCs w:val="24"/>
        </w:rPr>
      </w:pPr>
    </w:p>
    <w:p w:rsidR="00815CD0" w:rsidRPr="005700D9" w:rsidRDefault="00815CD0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2160"/>
        </w:tabs>
        <w:spacing w:line="214" w:lineRule="auto"/>
        <w:jc w:val="both"/>
        <w:rPr>
          <w:szCs w:val="24"/>
        </w:rPr>
      </w:pPr>
    </w:p>
    <w:p w:rsidR="00815CD0" w:rsidRPr="00C1027E" w:rsidRDefault="00815CD0">
      <w:pPr>
        <w:pStyle w:val="Heading1"/>
        <w:rPr>
          <w:sz w:val="24"/>
          <w:szCs w:val="24"/>
        </w:rPr>
      </w:pPr>
      <w:r w:rsidRPr="005700D9">
        <w:rPr>
          <w:sz w:val="24"/>
          <w:szCs w:val="24"/>
        </w:rPr>
        <w:t>CIGNA Worldwide</w:t>
      </w:r>
      <w:r>
        <w:tab/>
      </w:r>
      <w:r w:rsidRPr="00C1027E">
        <w:rPr>
          <w:sz w:val="24"/>
          <w:szCs w:val="24"/>
        </w:rPr>
        <w:t>1986-1992</w:t>
      </w:r>
    </w:p>
    <w:p w:rsidR="00815CD0" w:rsidRDefault="00815CD0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b/>
          <w:sz w:val="22"/>
        </w:rPr>
      </w:pPr>
    </w:p>
    <w:p w:rsidR="00815CD0" w:rsidRPr="00C1027E" w:rsidRDefault="00815CD0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Cs w:val="24"/>
        </w:rPr>
      </w:pPr>
      <w:r w:rsidRPr="00C1027E">
        <w:rPr>
          <w:b/>
          <w:szCs w:val="24"/>
        </w:rPr>
        <w:t>MULTINATIONAL UNDERWRITER</w:t>
      </w:r>
      <w:r w:rsidRPr="00C1027E">
        <w:rPr>
          <w:szCs w:val="24"/>
        </w:rPr>
        <w:tab/>
      </w:r>
      <w:r w:rsidRPr="00C1027E">
        <w:rPr>
          <w:szCs w:val="24"/>
        </w:rPr>
        <w:tab/>
      </w:r>
      <w:r w:rsidRPr="00C1027E">
        <w:rPr>
          <w:szCs w:val="24"/>
        </w:rPr>
        <w:tab/>
      </w:r>
      <w:r w:rsidRPr="00C1027E">
        <w:rPr>
          <w:szCs w:val="24"/>
        </w:rPr>
        <w:tab/>
      </w:r>
      <w:r w:rsidRPr="00C1027E">
        <w:rPr>
          <w:szCs w:val="24"/>
        </w:rPr>
        <w:tab/>
        <w:t>1989-92</w:t>
      </w:r>
    </w:p>
    <w:p w:rsidR="00815CD0" w:rsidRPr="00C1027E" w:rsidRDefault="00815CD0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Cs w:val="24"/>
        </w:rPr>
      </w:pPr>
      <w:r w:rsidRPr="00C1027E">
        <w:rPr>
          <w:b/>
          <w:szCs w:val="24"/>
        </w:rPr>
        <w:t>ASSOCIATE UNDERWRITER</w:t>
      </w:r>
      <w:r w:rsidRPr="00C1027E">
        <w:rPr>
          <w:szCs w:val="24"/>
        </w:rPr>
        <w:tab/>
      </w:r>
      <w:r w:rsidRPr="00C1027E">
        <w:rPr>
          <w:szCs w:val="24"/>
        </w:rPr>
        <w:tab/>
      </w:r>
      <w:r w:rsidRPr="00C1027E">
        <w:rPr>
          <w:szCs w:val="24"/>
        </w:rPr>
        <w:tab/>
      </w:r>
      <w:r w:rsidRPr="00C1027E">
        <w:rPr>
          <w:szCs w:val="24"/>
        </w:rPr>
        <w:tab/>
      </w:r>
      <w:r w:rsidRPr="00C1027E">
        <w:rPr>
          <w:szCs w:val="24"/>
        </w:rPr>
        <w:tab/>
      </w:r>
      <w:r w:rsidRPr="00C1027E">
        <w:rPr>
          <w:szCs w:val="24"/>
        </w:rPr>
        <w:tab/>
        <w:t>1986-88</w:t>
      </w:r>
    </w:p>
    <w:p w:rsidR="00815CD0" w:rsidRDefault="00815CD0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 w:val="22"/>
        </w:rPr>
      </w:pPr>
    </w:p>
    <w:p w:rsidR="00815CD0" w:rsidRPr="000B304D" w:rsidRDefault="00815CD0" w:rsidP="000B304D">
      <w:pPr>
        <w:pStyle w:val="Style"/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Cs w:val="24"/>
        </w:rPr>
      </w:pPr>
      <w:r w:rsidRPr="000B304D">
        <w:t>Underwrote/serviced multinational property and casualty cash flow insurance programs for non-U.S. based multinational companies and underwrote/serviced international property captive programs for Fortune 100 companies.</w:t>
      </w:r>
    </w:p>
    <w:p w:rsidR="00815CD0" w:rsidRDefault="00815CD0" w:rsidP="00A27450">
      <w:pPr>
        <w:pStyle w:val="Style"/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 w:val="22"/>
        </w:rPr>
      </w:pPr>
      <w:r w:rsidRPr="000B304D">
        <w:t>Performed risk analysis, financial evaluation, and risk pricing.  Responsible for cash flow management/evaluation of captive and cash flow insurance programs.</w:t>
      </w:r>
    </w:p>
    <w:p w:rsidR="00815CD0" w:rsidRPr="005700D9" w:rsidRDefault="00037EFB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Cs w:val="24"/>
        </w:rPr>
      </w:pPr>
      <w:r>
        <w:rPr>
          <w:b/>
          <w:szCs w:val="24"/>
        </w:rPr>
        <w:br w:type="page"/>
      </w:r>
      <w:r w:rsidR="00815CD0" w:rsidRPr="005700D9">
        <w:rPr>
          <w:b/>
          <w:szCs w:val="24"/>
        </w:rPr>
        <w:lastRenderedPageBreak/>
        <w:t>EDUCATION &amp; PROFESSIONAL</w:t>
      </w:r>
    </w:p>
    <w:p w:rsidR="00815CD0" w:rsidRPr="005700D9" w:rsidRDefault="00815CD0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Cs w:val="24"/>
        </w:rPr>
      </w:pPr>
    </w:p>
    <w:p w:rsidR="00815CD0" w:rsidRPr="005700D9" w:rsidRDefault="00815CD0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  <w:tab w:val="right" w:pos="10368"/>
        </w:tabs>
        <w:spacing w:line="214" w:lineRule="auto"/>
        <w:jc w:val="both"/>
        <w:rPr>
          <w:szCs w:val="24"/>
        </w:rPr>
      </w:pPr>
      <w:smartTag w:uri="urn:schemas-microsoft-com:office:smarttags" w:element="place">
        <w:smartTag w:uri="urn:schemas-microsoft-com:office:smarttags" w:element="PlaceName">
          <w:r w:rsidRPr="005700D9">
            <w:rPr>
              <w:szCs w:val="24"/>
            </w:rPr>
            <w:t>Drexel</w:t>
          </w:r>
        </w:smartTag>
        <w:r w:rsidRPr="005700D9">
          <w:rPr>
            <w:szCs w:val="24"/>
          </w:rPr>
          <w:t xml:space="preserve"> </w:t>
        </w:r>
        <w:smartTag w:uri="urn:schemas-microsoft-com:office:smarttags" w:element="PlaceType">
          <w:r w:rsidRPr="005700D9">
            <w:rPr>
              <w:szCs w:val="24"/>
            </w:rPr>
            <w:t>University</w:t>
          </w:r>
        </w:smartTag>
      </w:smartTag>
      <w:r w:rsidRPr="005700D9">
        <w:rPr>
          <w:szCs w:val="24"/>
        </w:rPr>
        <w:tab/>
      </w:r>
      <w:r w:rsidRPr="005700D9">
        <w:rPr>
          <w:szCs w:val="24"/>
        </w:rPr>
        <w:tab/>
      </w:r>
      <w:r w:rsidRPr="005700D9">
        <w:rPr>
          <w:szCs w:val="24"/>
        </w:rPr>
        <w:tab/>
      </w:r>
      <w:r w:rsidRPr="005700D9">
        <w:rPr>
          <w:szCs w:val="24"/>
        </w:rPr>
        <w:tab/>
        <w:t>MBA</w:t>
      </w:r>
      <w:r w:rsidR="00A16B0F">
        <w:rPr>
          <w:szCs w:val="24"/>
        </w:rPr>
        <w:t>,</w:t>
      </w:r>
      <w:r w:rsidRPr="005700D9">
        <w:rPr>
          <w:szCs w:val="24"/>
        </w:rPr>
        <w:t xml:space="preserve"> Accounting Concentration</w:t>
      </w:r>
      <w:r w:rsidRPr="005700D9">
        <w:rPr>
          <w:szCs w:val="24"/>
        </w:rPr>
        <w:tab/>
        <w:t>1992</w:t>
      </w:r>
    </w:p>
    <w:p w:rsidR="00A16B0F" w:rsidRDefault="00A16B0F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  <w:tab w:val="right" w:pos="10368"/>
        </w:tabs>
        <w:spacing w:line="214" w:lineRule="auto"/>
        <w:jc w:val="both"/>
        <w:rPr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Cs w:val="24"/>
            </w:rPr>
            <w:t>Philadelphia</w:t>
          </w:r>
        </w:smartTag>
        <w:r>
          <w:rPr>
            <w:szCs w:val="24"/>
          </w:rPr>
          <w:t xml:space="preserve">, </w:t>
        </w:r>
        <w:smartTag w:uri="urn:schemas-microsoft-com:office:smarttags" w:element="State">
          <w:r>
            <w:rPr>
              <w:szCs w:val="24"/>
            </w:rPr>
            <w:t>Pa</w:t>
          </w:r>
        </w:smartTag>
      </w:smartTag>
    </w:p>
    <w:p w:rsidR="00A16B0F" w:rsidRDefault="00A16B0F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  <w:tab w:val="right" w:pos="10368"/>
        </w:tabs>
        <w:spacing w:line="214" w:lineRule="auto"/>
        <w:jc w:val="both"/>
        <w:rPr>
          <w:szCs w:val="24"/>
        </w:rPr>
      </w:pPr>
    </w:p>
    <w:p w:rsidR="00815CD0" w:rsidRPr="005700D9" w:rsidRDefault="00815CD0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  <w:tab w:val="right" w:pos="10368"/>
        </w:tabs>
        <w:spacing w:line="214" w:lineRule="auto"/>
        <w:jc w:val="both"/>
        <w:rPr>
          <w:szCs w:val="24"/>
        </w:rPr>
      </w:pPr>
      <w:smartTag w:uri="urn:schemas-microsoft-com:office:smarttags" w:element="place">
        <w:smartTag w:uri="urn:schemas-microsoft-com:office:smarttags" w:element="PlaceName">
          <w:r w:rsidRPr="005700D9">
            <w:rPr>
              <w:szCs w:val="24"/>
            </w:rPr>
            <w:t>Bucknell</w:t>
          </w:r>
        </w:smartTag>
        <w:r w:rsidRPr="005700D9">
          <w:rPr>
            <w:szCs w:val="24"/>
          </w:rPr>
          <w:t xml:space="preserve"> </w:t>
        </w:r>
        <w:smartTag w:uri="urn:schemas-microsoft-com:office:smarttags" w:element="PlaceType">
          <w:r w:rsidRPr="005700D9">
            <w:rPr>
              <w:szCs w:val="24"/>
            </w:rPr>
            <w:t>University</w:t>
          </w:r>
        </w:smartTag>
      </w:smartTag>
      <w:r w:rsidRPr="005700D9">
        <w:rPr>
          <w:szCs w:val="24"/>
        </w:rPr>
        <w:tab/>
      </w:r>
      <w:r w:rsidRPr="005700D9">
        <w:rPr>
          <w:szCs w:val="24"/>
        </w:rPr>
        <w:tab/>
      </w:r>
      <w:r w:rsidRPr="005700D9">
        <w:rPr>
          <w:szCs w:val="24"/>
        </w:rPr>
        <w:tab/>
      </w:r>
      <w:r w:rsidRPr="005700D9">
        <w:rPr>
          <w:szCs w:val="24"/>
        </w:rPr>
        <w:tab/>
        <w:t>BA</w:t>
      </w:r>
      <w:r w:rsidR="00A16B0F">
        <w:rPr>
          <w:szCs w:val="24"/>
        </w:rPr>
        <w:t>,</w:t>
      </w:r>
      <w:r w:rsidRPr="005700D9">
        <w:rPr>
          <w:szCs w:val="24"/>
        </w:rPr>
        <w:t xml:space="preserve"> Economics &amp; Japanese Studies</w:t>
      </w:r>
      <w:r w:rsidRPr="005700D9">
        <w:rPr>
          <w:szCs w:val="24"/>
        </w:rPr>
        <w:tab/>
        <w:t>1986</w:t>
      </w:r>
    </w:p>
    <w:p w:rsidR="00A16B0F" w:rsidRDefault="00A16B0F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  <w:tab w:val="right" w:pos="10368"/>
        </w:tabs>
        <w:spacing w:line="214" w:lineRule="auto"/>
        <w:jc w:val="both"/>
        <w:rPr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Cs w:val="24"/>
            </w:rPr>
            <w:t>Lewisburg</w:t>
          </w:r>
        </w:smartTag>
        <w:r>
          <w:rPr>
            <w:szCs w:val="24"/>
          </w:rPr>
          <w:t xml:space="preserve">, </w:t>
        </w:r>
        <w:smartTag w:uri="urn:schemas-microsoft-com:office:smarttags" w:element="State">
          <w:r>
            <w:rPr>
              <w:szCs w:val="24"/>
            </w:rPr>
            <w:t>PA</w:t>
          </w:r>
        </w:smartTag>
      </w:smartTag>
    </w:p>
    <w:p w:rsidR="00A16B0F" w:rsidRDefault="00A16B0F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  <w:tab w:val="right" w:pos="10368"/>
        </w:tabs>
        <w:spacing w:line="214" w:lineRule="auto"/>
        <w:jc w:val="both"/>
        <w:rPr>
          <w:szCs w:val="24"/>
        </w:rPr>
      </w:pPr>
    </w:p>
    <w:p w:rsidR="000B304D" w:rsidRPr="005700D9" w:rsidRDefault="00A16B0F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  <w:tab w:val="right" w:pos="10368"/>
        </w:tabs>
        <w:spacing w:line="214" w:lineRule="auto"/>
        <w:jc w:val="both"/>
        <w:rPr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szCs w:val="24"/>
            </w:rPr>
            <w:t>Sophia</w:t>
          </w:r>
        </w:smartTag>
        <w:r>
          <w:rPr>
            <w:szCs w:val="24"/>
          </w:rPr>
          <w:t xml:space="preserve"> </w:t>
        </w:r>
        <w:smartTag w:uri="urn:schemas-microsoft-com:office:smarttags" w:element="PlaceName">
          <w:r>
            <w:rPr>
              <w:szCs w:val="24"/>
            </w:rPr>
            <w:t>University</w:t>
          </w:r>
        </w:smartTag>
      </w:smartTag>
      <w:r>
        <w:rPr>
          <w:szCs w:val="24"/>
        </w:rPr>
        <w:tab/>
      </w:r>
      <w:r w:rsidR="000B304D" w:rsidRPr="005700D9">
        <w:rPr>
          <w:szCs w:val="24"/>
        </w:rPr>
        <w:tab/>
      </w:r>
      <w:r w:rsidR="000B304D" w:rsidRPr="005700D9">
        <w:rPr>
          <w:szCs w:val="24"/>
        </w:rPr>
        <w:tab/>
      </w:r>
      <w:r w:rsidR="000B304D" w:rsidRPr="005700D9">
        <w:rPr>
          <w:szCs w:val="24"/>
        </w:rPr>
        <w:tab/>
      </w:r>
      <w:r>
        <w:rPr>
          <w:szCs w:val="24"/>
        </w:rPr>
        <w:tab/>
      </w:r>
      <w:r w:rsidR="000B304D" w:rsidRPr="005700D9">
        <w:rPr>
          <w:szCs w:val="24"/>
        </w:rPr>
        <w:t>1984</w:t>
      </w:r>
    </w:p>
    <w:p w:rsidR="00815CD0" w:rsidRDefault="00A16B0F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szCs w:val="24"/>
            </w:rPr>
            <w:t>Tokyo</w:t>
          </w:r>
        </w:smartTag>
      </w:smartTag>
      <w:r>
        <w:rPr>
          <w:szCs w:val="24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Cs w:val="24"/>
            </w:rPr>
            <w:t>Japan</w:t>
          </w:r>
        </w:smartTag>
      </w:smartTag>
    </w:p>
    <w:p w:rsidR="00A16B0F" w:rsidRPr="005700D9" w:rsidRDefault="00A16B0F">
      <w:pPr>
        <w:tabs>
          <w:tab w:val="left" w:pos="0"/>
          <w:tab w:val="left" w:pos="360"/>
          <w:tab w:val="left" w:pos="720"/>
          <w:tab w:val="left" w:pos="2160"/>
          <w:tab w:val="left" w:pos="2880"/>
          <w:tab w:val="left" w:pos="3744"/>
          <w:tab w:val="left" w:pos="4503"/>
        </w:tabs>
        <w:spacing w:line="214" w:lineRule="auto"/>
        <w:jc w:val="both"/>
        <w:rPr>
          <w:szCs w:val="24"/>
        </w:rPr>
      </w:pPr>
    </w:p>
    <w:p w:rsidR="00F66B63" w:rsidRDefault="00B64ED6" w:rsidP="00A46728">
      <w:pPr>
        <w:numPr>
          <w:ilvl w:val="0"/>
          <w:numId w:val="9"/>
        </w:numPr>
        <w:tabs>
          <w:tab w:val="left" w:pos="0"/>
          <w:tab w:val="left" w:pos="360"/>
          <w:tab w:val="left" w:pos="2160"/>
          <w:tab w:val="left" w:pos="2880"/>
          <w:tab w:val="left" w:pos="3744"/>
          <w:tab w:val="left" w:pos="4503"/>
        </w:tabs>
        <w:spacing w:after="120" w:line="214" w:lineRule="auto"/>
        <w:jc w:val="both"/>
        <w:rPr>
          <w:szCs w:val="24"/>
        </w:rPr>
      </w:pPr>
      <w:r>
        <w:rPr>
          <w:szCs w:val="24"/>
        </w:rPr>
        <w:t>Member, Association for Corporate Growth</w:t>
      </w:r>
    </w:p>
    <w:p w:rsidR="00F66B63" w:rsidRDefault="00815CD0" w:rsidP="00A46728">
      <w:pPr>
        <w:numPr>
          <w:ilvl w:val="0"/>
          <w:numId w:val="9"/>
        </w:numPr>
        <w:tabs>
          <w:tab w:val="left" w:pos="0"/>
          <w:tab w:val="left" w:pos="360"/>
          <w:tab w:val="left" w:pos="2160"/>
          <w:tab w:val="left" w:pos="2880"/>
          <w:tab w:val="left" w:pos="3744"/>
          <w:tab w:val="left" w:pos="4503"/>
        </w:tabs>
        <w:spacing w:after="120" w:line="214" w:lineRule="auto"/>
        <w:jc w:val="both"/>
        <w:rPr>
          <w:szCs w:val="24"/>
        </w:rPr>
      </w:pPr>
      <w:r w:rsidRPr="005700D9">
        <w:rPr>
          <w:szCs w:val="24"/>
        </w:rPr>
        <w:t xml:space="preserve">Rotary Exchange Student (one year) to </w:t>
      </w:r>
      <w:smartTag w:uri="urn:schemas-microsoft-com:office:smarttags" w:element="country-region">
        <w:smartTag w:uri="urn:schemas-microsoft-com:office:smarttags" w:element="place">
          <w:r w:rsidRPr="005700D9">
            <w:rPr>
              <w:szCs w:val="24"/>
            </w:rPr>
            <w:t>Japan</w:t>
          </w:r>
        </w:smartTag>
      </w:smartTag>
    </w:p>
    <w:p w:rsidR="00F66B63" w:rsidRDefault="00815CD0" w:rsidP="00A46728">
      <w:pPr>
        <w:numPr>
          <w:ilvl w:val="0"/>
          <w:numId w:val="9"/>
        </w:numPr>
        <w:tabs>
          <w:tab w:val="left" w:pos="0"/>
          <w:tab w:val="left" w:pos="360"/>
          <w:tab w:val="left" w:pos="2160"/>
          <w:tab w:val="left" w:pos="2880"/>
          <w:tab w:val="left" w:pos="3744"/>
          <w:tab w:val="left" w:pos="4503"/>
        </w:tabs>
        <w:spacing w:after="120" w:line="214" w:lineRule="auto"/>
        <w:jc w:val="both"/>
        <w:rPr>
          <w:szCs w:val="24"/>
        </w:rPr>
      </w:pPr>
      <w:r w:rsidRPr="005700D9">
        <w:rPr>
          <w:szCs w:val="24"/>
        </w:rPr>
        <w:t>Proficient in Japanese language</w:t>
      </w:r>
    </w:p>
    <w:p w:rsidR="000B304D" w:rsidRPr="005700D9" w:rsidRDefault="000B304D" w:rsidP="00A46728">
      <w:pPr>
        <w:numPr>
          <w:ilvl w:val="0"/>
          <w:numId w:val="9"/>
        </w:numPr>
        <w:tabs>
          <w:tab w:val="left" w:pos="0"/>
          <w:tab w:val="left" w:pos="360"/>
          <w:tab w:val="left" w:pos="2160"/>
          <w:tab w:val="left" w:pos="2880"/>
          <w:tab w:val="left" w:pos="3744"/>
          <w:tab w:val="left" w:pos="4503"/>
        </w:tabs>
        <w:spacing w:after="120" w:line="214" w:lineRule="auto"/>
        <w:jc w:val="both"/>
        <w:rPr>
          <w:szCs w:val="24"/>
        </w:rPr>
      </w:pPr>
      <w:r w:rsidRPr="005700D9">
        <w:rPr>
          <w:szCs w:val="24"/>
        </w:rPr>
        <w:t>Enjoy</w:t>
      </w:r>
      <w:r w:rsidR="00F66B63">
        <w:rPr>
          <w:szCs w:val="24"/>
        </w:rPr>
        <w:t>s</w:t>
      </w:r>
      <w:r w:rsidRPr="005700D9">
        <w:rPr>
          <w:szCs w:val="24"/>
        </w:rPr>
        <w:t xml:space="preserve"> cycling, skiing, golf</w:t>
      </w:r>
    </w:p>
    <w:sectPr w:rsidR="000B304D" w:rsidRPr="005700D9" w:rsidSect="000A1337">
      <w:headerReference w:type="default" r:id="rId7"/>
      <w:endnotePr>
        <w:numFmt w:val="decimal"/>
      </w:endnotePr>
      <w:pgSz w:w="12240" w:h="15840"/>
      <w:pgMar w:top="446" w:right="936" w:bottom="212" w:left="936" w:header="446" w:footer="212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8A3" w:rsidRDefault="005218A3">
      <w:r>
        <w:separator/>
      </w:r>
    </w:p>
  </w:endnote>
  <w:endnote w:type="continuationSeparator" w:id="0">
    <w:p w:rsidR="005218A3" w:rsidRDefault="00521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8A3" w:rsidRDefault="005218A3">
      <w:r>
        <w:separator/>
      </w:r>
    </w:p>
  </w:footnote>
  <w:footnote w:type="continuationSeparator" w:id="0">
    <w:p w:rsidR="005218A3" w:rsidRDefault="005218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5A4" w:rsidRPr="005700D9" w:rsidRDefault="000B05A4" w:rsidP="003823C1">
    <w:pPr>
      <w:spacing w:line="215" w:lineRule="auto"/>
      <w:jc w:val="center"/>
      <w:rPr>
        <w:b/>
        <w:sz w:val="28"/>
        <w:szCs w:val="28"/>
      </w:rPr>
    </w:pPr>
    <w:r w:rsidRPr="005700D9">
      <w:rPr>
        <w:b/>
        <w:sz w:val="28"/>
        <w:szCs w:val="28"/>
      </w:rPr>
      <w:t>STEPHEN R. RAYMOND</w:t>
    </w:r>
  </w:p>
  <w:p w:rsidR="000B05A4" w:rsidRPr="005700D9" w:rsidRDefault="000B05A4" w:rsidP="003823C1">
    <w:pPr>
      <w:spacing w:line="214" w:lineRule="auto"/>
      <w:jc w:val="center"/>
      <w:rPr>
        <w:sz w:val="20"/>
      </w:rPr>
    </w:pPr>
    <w:smartTag w:uri="urn:schemas-microsoft-com:office:smarttags" w:element="Street">
      <w:smartTag w:uri="urn:schemas-microsoft-com:office:smarttags" w:element="address">
        <w:r w:rsidRPr="005700D9">
          <w:rPr>
            <w:sz w:val="20"/>
          </w:rPr>
          <w:t>2 Tyndale Court</w:t>
        </w:r>
      </w:smartTag>
    </w:smartTag>
  </w:p>
  <w:p w:rsidR="000B05A4" w:rsidRPr="005700D9" w:rsidRDefault="000B05A4" w:rsidP="003823C1">
    <w:pPr>
      <w:spacing w:line="214" w:lineRule="auto"/>
      <w:jc w:val="center"/>
      <w:rPr>
        <w:sz w:val="20"/>
      </w:rPr>
    </w:pPr>
    <w:smartTag w:uri="urn:schemas-microsoft-com:office:smarttags" w:element="place">
      <w:smartTag w:uri="urn:schemas-microsoft-com:office:smarttags" w:element="City">
        <w:r w:rsidRPr="005700D9">
          <w:rPr>
            <w:sz w:val="20"/>
          </w:rPr>
          <w:t>Moorestown</w:t>
        </w:r>
      </w:smartTag>
      <w:r w:rsidRPr="005700D9">
        <w:rPr>
          <w:sz w:val="20"/>
        </w:rPr>
        <w:t xml:space="preserve">, </w:t>
      </w:r>
      <w:smartTag w:uri="urn:schemas-microsoft-com:office:smarttags" w:element="State">
        <w:r w:rsidRPr="005700D9">
          <w:rPr>
            <w:sz w:val="20"/>
          </w:rPr>
          <w:t>NJ</w:t>
        </w:r>
      </w:smartTag>
      <w:r w:rsidRPr="005700D9">
        <w:rPr>
          <w:sz w:val="20"/>
        </w:rPr>
        <w:t xml:space="preserve"> </w:t>
      </w:r>
      <w:smartTag w:uri="urn:schemas-microsoft-com:office:smarttags" w:element="PostalCode">
        <w:r w:rsidRPr="005700D9">
          <w:rPr>
            <w:sz w:val="20"/>
          </w:rPr>
          <w:t>08057-2150</w:t>
        </w:r>
      </w:smartTag>
    </w:smartTag>
  </w:p>
  <w:p w:rsidR="000B05A4" w:rsidRPr="005700D9" w:rsidRDefault="000B05A4" w:rsidP="003823C1">
    <w:pPr>
      <w:spacing w:line="214" w:lineRule="auto"/>
      <w:jc w:val="center"/>
      <w:rPr>
        <w:sz w:val="20"/>
      </w:rPr>
    </w:pPr>
    <w:r w:rsidRPr="005700D9">
      <w:rPr>
        <w:sz w:val="20"/>
      </w:rPr>
      <w:t>856-</w:t>
    </w:r>
    <w:r w:rsidR="006A5033">
      <w:rPr>
        <w:sz w:val="20"/>
      </w:rPr>
      <w:t>784-3000</w:t>
    </w:r>
    <w:r w:rsidRPr="005700D9">
      <w:rPr>
        <w:sz w:val="20"/>
      </w:rPr>
      <w:t xml:space="preserve"> (O</w:t>
    </w:r>
    <w:proofErr w:type="gramStart"/>
    <w:r w:rsidRPr="005700D9">
      <w:rPr>
        <w:sz w:val="20"/>
      </w:rPr>
      <w:t>)  856</w:t>
    </w:r>
    <w:proofErr w:type="gramEnd"/>
    <w:r w:rsidRPr="005700D9">
      <w:rPr>
        <w:sz w:val="20"/>
      </w:rPr>
      <w:t xml:space="preserve">-439-0315 (H)   609-923-4458  (Cell)  </w:t>
    </w:r>
  </w:p>
  <w:p w:rsidR="000B05A4" w:rsidRPr="000B304D" w:rsidRDefault="000B05A4" w:rsidP="003823C1">
    <w:pPr>
      <w:spacing w:line="214" w:lineRule="auto"/>
      <w:jc w:val="center"/>
      <w:rPr>
        <w:color w:val="333399"/>
        <w:sz w:val="22"/>
        <w:szCs w:val="22"/>
      </w:rPr>
    </w:pPr>
    <w:r w:rsidRPr="005700D9">
      <w:rPr>
        <w:color w:val="333399"/>
        <w:sz w:val="20"/>
        <w:u w:val="single"/>
      </w:rPr>
      <w:t>sraymond@thebenchmarkgroup.net</w:t>
    </w:r>
  </w:p>
  <w:p w:rsidR="000B05A4" w:rsidRDefault="000B05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4945BC"/>
    <w:multiLevelType w:val="hybridMultilevel"/>
    <w:tmpl w:val="B7140C64"/>
    <w:lvl w:ilvl="0" w:tplc="FED24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72641F"/>
    <w:multiLevelType w:val="hybridMultilevel"/>
    <w:tmpl w:val="9DDC8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6333BE"/>
    <w:multiLevelType w:val="hybridMultilevel"/>
    <w:tmpl w:val="205A94D4"/>
    <w:lvl w:ilvl="0" w:tplc="E3A01B56">
      <w:start w:val="85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D2D3639"/>
    <w:multiLevelType w:val="hybridMultilevel"/>
    <w:tmpl w:val="E6784B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B67CDF"/>
    <w:multiLevelType w:val="hybridMultilevel"/>
    <w:tmpl w:val="76A4022C"/>
    <w:lvl w:ilvl="0" w:tplc="FED24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FE1DC0"/>
    <w:multiLevelType w:val="hybridMultilevel"/>
    <w:tmpl w:val="D068BD1C"/>
    <w:lvl w:ilvl="0" w:tplc="FED24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23737D"/>
    <w:multiLevelType w:val="hybridMultilevel"/>
    <w:tmpl w:val="9AF89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D7605"/>
    <w:multiLevelType w:val="hybridMultilevel"/>
    <w:tmpl w:val="DF1005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095890"/>
    <w:rsid w:val="00037EFB"/>
    <w:rsid w:val="00095890"/>
    <w:rsid w:val="000A1337"/>
    <w:rsid w:val="000B05A4"/>
    <w:rsid w:val="000B304D"/>
    <w:rsid w:val="000E3B09"/>
    <w:rsid w:val="0021479A"/>
    <w:rsid w:val="00280ED1"/>
    <w:rsid w:val="003823C1"/>
    <w:rsid w:val="00390390"/>
    <w:rsid w:val="003B45D6"/>
    <w:rsid w:val="0041709D"/>
    <w:rsid w:val="004A6BB8"/>
    <w:rsid w:val="00511E1C"/>
    <w:rsid w:val="005218A3"/>
    <w:rsid w:val="0053465D"/>
    <w:rsid w:val="005700D9"/>
    <w:rsid w:val="00604021"/>
    <w:rsid w:val="00662F05"/>
    <w:rsid w:val="006A5033"/>
    <w:rsid w:val="006B0C9E"/>
    <w:rsid w:val="007D6FE0"/>
    <w:rsid w:val="00812552"/>
    <w:rsid w:val="00815CD0"/>
    <w:rsid w:val="0085403B"/>
    <w:rsid w:val="00886931"/>
    <w:rsid w:val="0091650B"/>
    <w:rsid w:val="00A011AC"/>
    <w:rsid w:val="00A16B0F"/>
    <w:rsid w:val="00A27450"/>
    <w:rsid w:val="00A46728"/>
    <w:rsid w:val="00AC3728"/>
    <w:rsid w:val="00AC7D68"/>
    <w:rsid w:val="00AD01E2"/>
    <w:rsid w:val="00B64ED6"/>
    <w:rsid w:val="00BC3C00"/>
    <w:rsid w:val="00C1027E"/>
    <w:rsid w:val="00E522AD"/>
    <w:rsid w:val="00EC14E7"/>
    <w:rsid w:val="00F56845"/>
    <w:rsid w:val="00F6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368"/>
      </w:tabs>
      <w:spacing w:line="214" w:lineRule="auto"/>
      <w:outlineLvl w:val="0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customStyle="1" w:styleId="Style">
    <w:name w:val="Style"/>
    <w:basedOn w:val="Normal"/>
    <w:pPr>
      <w:ind w:left="360" w:hanging="360"/>
    </w:pPr>
  </w:style>
  <w:style w:type="paragraph" w:styleId="BodyText">
    <w:name w:val="Body Text"/>
    <w:basedOn w:val="Normal"/>
    <w:pPr>
      <w:spacing w:line="214" w:lineRule="auto"/>
      <w:jc w:val="both"/>
    </w:pPr>
    <w:rPr>
      <w:i/>
      <w:sz w:val="22"/>
    </w:rPr>
  </w:style>
  <w:style w:type="paragraph" w:styleId="Header">
    <w:name w:val="header"/>
    <w:basedOn w:val="Normal"/>
    <w:rsid w:val="003823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23C1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SRR</vt:lpstr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SRR</dc:title>
  <dc:creator>Steve Raymond</dc:creator>
  <cp:lastModifiedBy>Steve Raymond</cp:lastModifiedBy>
  <cp:revision>2</cp:revision>
  <cp:lastPrinted>2003-12-16T15:45:00Z</cp:lastPrinted>
  <dcterms:created xsi:type="dcterms:W3CDTF">2011-05-04T20:21:00Z</dcterms:created>
  <dcterms:modified xsi:type="dcterms:W3CDTF">2011-05-04T20:21:00Z</dcterms:modified>
</cp:coreProperties>
</file>