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LAURY N. SOM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51 Melim Drive, Tewksbury, MA  01876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Home:(978) 710-4790</w:t>
        <w:tab/>
        <w:t xml:space="preserve">Cell: (978)-995-8954</w:t>
        <w:tab/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Som.Laury@yahoo.com</w:t>
        </w:r>
      </w:hyperlink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 OF QUALIFICATIONS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am a certified and enthusiastic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Medical Assistant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with up-to-date knowledge of skills necessary to provide productive, effective, and quality care to patients with diverse needs. I have strong office and communications skills with a passion to work in a challenging and team-oriented healthcare environment.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 AND CERTIFICATIONS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The Salter School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Tewksbury, Massachusetts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Professional Medical Assistant Certificate Program, GPA 4.0 </w:t>
        <w:tab/>
        <w:tab/>
        <w:tab/>
        <w:t xml:space="preserve">                           May 2011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Student Council Member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First AID/CPR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Certified by The American Heart Association.</w:t>
        <w:tab/>
        <w:tab/>
        <w:tab/>
        <w:tab/>
        <w:t xml:space="preserve">        January 2010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Medical Assistant Internship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Dr. Nonnie-Marie Estella, Lowell General Hospital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Medical Assistant at Gynecology Office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January 2011- March 2011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Vital Signs and EKGs</w:t>
        <w:tab/>
        <w:tab/>
        <w:t xml:space="preserve">Medical/Surgical Aseptic</w:t>
        <w:tab/>
        <w:t xml:space="preserve">Bilingual (English and Khmer)Phlebotomy and Injections</w:t>
        <w:tab/>
        <w:t xml:space="preserve">Waived Testing</w:t>
        <w:tab/>
        <w:tab/>
        <w:tab/>
        <w:t xml:space="preserve">Microsoft Office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Autoclave Sterilization</w:t>
        <w:tab/>
        <w:tab/>
        <w:t xml:space="preserve">HIPAA/OSHA trained </w:t>
        <w:tab/>
        <w:tab/>
        <w:t xml:space="preserve">Athena, E-Clinical and Elmer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Appointment Scheduling</w:t>
        <w:tab/>
        <w:tab/>
        <w:t xml:space="preserve">Telephone Encounters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Dolce International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Bedford, Massachusetts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Guest Services/ Server.</w:t>
        <w:tab/>
        <w:tab/>
        <w:tab/>
        <w:tab/>
        <w:tab/>
        <w:tab/>
        <w:t xml:space="preserve">         January 2007 to May 2010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Provided outstanding guest services.</w:t>
      </w:r>
    </w:p>
    <w:p>
      <w:pPr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Greeted guests promptly and professionally.</w:t>
      </w:r>
    </w:p>
    <w:p>
      <w:pPr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Maintained a clean, safe, and friendly environment.</w:t>
      </w:r>
    </w:p>
    <w:p>
      <w:pPr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Reported weekly inventory sales at an upscale restaurant.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Ever Clear Pool and Leisure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Tewksbury, Massachusetts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Customer Service/ Lab Specialist.</w:t>
        <w:tab/>
        <w:tab/>
        <w:tab/>
        <w:tab/>
        <w:t xml:space="preserve">        May 2005 to February 2007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Organized and filed sale reports.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Tested water samples in the lab department. (pH, Chlorine, Iron, etc)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Recommended accurate chemicals for water balancing.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Managed a clean and safe environment.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Som.Laury@yahoo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