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A1" w:rsidRPr="002C7ED0" w:rsidRDefault="00462D48" w:rsidP="00462D48">
      <w:pPr>
        <w:ind w:left="-90" w:right="-270"/>
        <w:jc w:val="center"/>
        <w:rPr>
          <w:sz w:val="20"/>
          <w:szCs w:val="20"/>
        </w:rPr>
      </w:pPr>
      <w:r w:rsidRPr="002C7ED0">
        <w:rPr>
          <w:i/>
          <w:sz w:val="20"/>
          <w:szCs w:val="20"/>
        </w:rPr>
        <w:t>132 W Alvord St</w:t>
      </w:r>
      <w:r w:rsidR="00E456BA" w:rsidRPr="002C7ED0">
        <w:rPr>
          <w:i/>
          <w:sz w:val="20"/>
          <w:szCs w:val="20"/>
        </w:rPr>
        <w:tab/>
      </w:r>
      <w:r w:rsidR="00E456BA" w:rsidRPr="002C7ED0">
        <w:rPr>
          <w:i/>
          <w:sz w:val="20"/>
          <w:szCs w:val="20"/>
        </w:rPr>
        <w:tab/>
      </w:r>
      <w:r w:rsidR="002C7ED0" w:rsidRPr="002C7ED0">
        <w:rPr>
          <w:i/>
          <w:sz w:val="20"/>
          <w:szCs w:val="20"/>
        </w:rPr>
        <w:t xml:space="preserve"> </w:t>
      </w:r>
      <w:r w:rsidRPr="002C7ED0">
        <w:rPr>
          <w:i/>
          <w:sz w:val="20"/>
          <w:szCs w:val="20"/>
        </w:rPr>
        <w:t>Springfield, MA 01108</w:t>
      </w:r>
      <w:r w:rsidR="00E456BA" w:rsidRPr="002C7ED0">
        <w:rPr>
          <w:i/>
          <w:sz w:val="20"/>
          <w:szCs w:val="20"/>
        </w:rPr>
        <w:tab/>
      </w:r>
      <w:r w:rsidR="00E456BA" w:rsidRPr="002C7ED0">
        <w:rPr>
          <w:i/>
          <w:sz w:val="20"/>
          <w:szCs w:val="20"/>
        </w:rPr>
        <w:tab/>
      </w:r>
      <w:r w:rsidRPr="002C7ED0">
        <w:rPr>
          <w:i/>
          <w:sz w:val="20"/>
          <w:szCs w:val="20"/>
        </w:rPr>
        <w:t>(413)</w:t>
      </w:r>
      <w:r w:rsidR="002922E3">
        <w:rPr>
          <w:i/>
          <w:sz w:val="20"/>
          <w:szCs w:val="20"/>
        </w:rPr>
        <w:t>563-0601</w:t>
      </w:r>
      <w:r w:rsidR="00E456BA" w:rsidRPr="002C7ED0">
        <w:rPr>
          <w:i/>
          <w:sz w:val="20"/>
          <w:szCs w:val="20"/>
        </w:rPr>
        <w:tab/>
      </w:r>
      <w:r w:rsidR="00E456BA" w:rsidRPr="002C7ED0">
        <w:rPr>
          <w:i/>
          <w:sz w:val="20"/>
          <w:szCs w:val="20"/>
        </w:rPr>
        <w:tab/>
      </w:r>
      <w:r w:rsidR="002C7ED0">
        <w:rPr>
          <w:i/>
          <w:sz w:val="20"/>
          <w:szCs w:val="20"/>
        </w:rPr>
        <w:t xml:space="preserve">  </w:t>
      </w:r>
      <w:r w:rsidRPr="002C7ED0">
        <w:rPr>
          <w:i/>
          <w:sz w:val="20"/>
          <w:szCs w:val="20"/>
        </w:rPr>
        <w:t>Wandafontanez@gmail.com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7ED0" w:rsidRPr="002C7ED0" w:rsidTr="00E456BA">
        <w:trPr>
          <w:trHeight w:val="243"/>
        </w:trPr>
        <w:tc>
          <w:tcPr>
            <w:tcW w:w="9576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956931" w:rsidRPr="002C7ED0" w:rsidRDefault="00462D48" w:rsidP="00462D48">
            <w:pPr>
              <w:jc w:val="center"/>
              <w:rPr>
                <w:sz w:val="40"/>
                <w:szCs w:val="40"/>
              </w:rPr>
            </w:pPr>
            <w:r w:rsidRPr="002C7ED0">
              <w:rPr>
                <w:sz w:val="40"/>
                <w:szCs w:val="40"/>
              </w:rPr>
              <w:t xml:space="preserve">Wanda </w:t>
            </w:r>
            <w:proofErr w:type="spellStart"/>
            <w:r w:rsidRPr="002C7ED0">
              <w:rPr>
                <w:sz w:val="40"/>
                <w:szCs w:val="40"/>
              </w:rPr>
              <w:t>Fontanez</w:t>
            </w:r>
            <w:proofErr w:type="spellEnd"/>
          </w:p>
        </w:tc>
      </w:tr>
    </w:tbl>
    <w:p w:rsidR="00956931" w:rsidRPr="002C7ED0" w:rsidRDefault="0095693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15"/>
        <w:gridCol w:w="15"/>
        <w:gridCol w:w="2682"/>
        <w:gridCol w:w="1341"/>
        <w:gridCol w:w="1341"/>
        <w:gridCol w:w="3024"/>
      </w:tblGrid>
      <w:tr w:rsidR="002C7ED0" w:rsidRPr="002C7ED0" w:rsidTr="00513181">
        <w:tc>
          <w:tcPr>
            <w:tcW w:w="991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B74D23" w:rsidRPr="002C7ED0" w:rsidRDefault="00B74D23" w:rsidP="00DA04E2">
            <w:pPr>
              <w:rPr>
                <w:sz w:val="24"/>
                <w:szCs w:val="24"/>
              </w:rPr>
            </w:pPr>
            <w:r w:rsidRPr="002C7ED0">
              <w:rPr>
                <w:sz w:val="24"/>
                <w:szCs w:val="24"/>
              </w:rPr>
              <w:t>Objective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15" w:type="dxa"/>
          <w:trHeight w:val="510"/>
        </w:trPr>
        <w:tc>
          <w:tcPr>
            <w:tcW w:w="84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13181" w:rsidRDefault="00513181" w:rsidP="00DA04E2">
            <w:pPr>
              <w:tabs>
                <w:tab w:val="left" w:pos="1440"/>
              </w:tabs>
            </w:pPr>
          </w:p>
          <w:p w:rsidR="00AC6203" w:rsidRPr="002C7ED0" w:rsidRDefault="00462D48" w:rsidP="00513181">
            <w:pPr>
              <w:tabs>
                <w:tab w:val="left" w:pos="1440"/>
              </w:tabs>
              <w:ind w:right="-90"/>
            </w:pPr>
            <w:r w:rsidRPr="002C7ED0">
              <w:t xml:space="preserve">To obtain a position utilizing my knowledge and experience within a growing environment. Experienced Operations Support Representative that illustrates proficiency and demonstrate ability to work effectively within established deadlines. Strong organizational and detailed oriented skills. </w:t>
            </w:r>
          </w:p>
          <w:p w:rsidR="00AC6203" w:rsidRPr="002C7ED0" w:rsidRDefault="00AC6203" w:rsidP="00DA04E2">
            <w:pPr>
              <w:tabs>
                <w:tab w:val="left" w:pos="1440"/>
              </w:tabs>
            </w:pPr>
          </w:p>
        </w:tc>
      </w:tr>
      <w:tr w:rsidR="002C7ED0" w:rsidRPr="002C7ED0" w:rsidTr="00513181">
        <w:tc>
          <w:tcPr>
            <w:tcW w:w="991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C5376B" w:rsidRPr="002C7ED0" w:rsidRDefault="00FC1B92" w:rsidP="00DA04E2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2C7ED0">
              <w:rPr>
                <w:sz w:val="24"/>
                <w:szCs w:val="24"/>
              </w:rPr>
              <w:t xml:space="preserve">Work Experience 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285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04E2" w:rsidRPr="002C7ED0" w:rsidRDefault="00DA04E2" w:rsidP="00FC1B92">
            <w:pPr>
              <w:tabs>
                <w:tab w:val="left" w:pos="1440"/>
              </w:tabs>
              <w:rPr>
                <w:rFonts w:cstheme="minorHAnsi"/>
              </w:rPr>
            </w:pPr>
          </w:p>
          <w:p w:rsidR="00FC1B92" w:rsidRPr="002C7ED0" w:rsidRDefault="00FC1B92" w:rsidP="00FC1B92">
            <w:p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>June 2008-August 2010</w:t>
            </w:r>
            <w:r w:rsidR="00984044" w:rsidRPr="002C7ED0">
              <w:rPr>
                <w:rFonts w:cstheme="minorHAnsi"/>
              </w:rPr>
              <w:t>-</w:t>
            </w:r>
            <w:r w:rsidRPr="002C7ED0">
              <w:rPr>
                <w:rFonts w:cstheme="minorHAnsi"/>
              </w:rPr>
              <w:t xml:space="preserve"> </w:t>
            </w:r>
            <w:r w:rsidRPr="002C7ED0">
              <w:rPr>
                <w:rFonts w:cstheme="minorHAnsi"/>
                <w:b/>
              </w:rPr>
              <w:t>The Wealth Technology Group</w:t>
            </w:r>
            <w:r w:rsidRPr="002C7ED0">
              <w:rPr>
                <w:rFonts w:cstheme="minorHAnsi"/>
              </w:rPr>
              <w:t xml:space="preserve">, W. Springfield, MA </w:t>
            </w:r>
          </w:p>
          <w:p w:rsidR="00FC1B92" w:rsidRPr="002C7ED0" w:rsidRDefault="00FC1B92" w:rsidP="00FC1B92">
            <w:pPr>
              <w:tabs>
                <w:tab w:val="left" w:pos="1440"/>
              </w:tabs>
              <w:rPr>
                <w:rFonts w:cstheme="minorHAnsi"/>
                <w:b/>
                <w:i/>
              </w:rPr>
            </w:pPr>
            <w:r w:rsidRPr="002C7ED0">
              <w:rPr>
                <w:rFonts w:cstheme="minorHAnsi"/>
                <w:b/>
                <w:i/>
              </w:rPr>
              <w:t>Financial Service Assistant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285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FC1B92" w:rsidP="00FC1B9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>Maintained Financial Representative’s  appointment schedule by planning and scheduling meetings, conferences, and  teleconferences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285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FC1B92" w:rsidP="00FC1B9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>Welcomed guests and clients by greeting them, in person or on the telephone; answering or directing inquiries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285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FC1B92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>Analyze</w:t>
            </w:r>
            <w:r w:rsidR="008F7C9B">
              <w:rPr>
                <w:rFonts w:cstheme="minorHAnsi"/>
              </w:rPr>
              <w:t>d</w:t>
            </w:r>
            <w:r w:rsidRPr="002C7ED0">
              <w:rPr>
                <w:rFonts w:cstheme="minorHAnsi"/>
              </w:rPr>
              <w:t xml:space="preserve"> Brokerage, Annuities, Life Insurance accounts</w:t>
            </w:r>
            <w:r w:rsidR="008F7C9B">
              <w:rPr>
                <w:rFonts w:cstheme="minorHAnsi"/>
              </w:rPr>
              <w:t xml:space="preserve"> and applications</w:t>
            </w:r>
            <w:r w:rsidRPr="002C7ED0">
              <w:rPr>
                <w:rFonts w:cstheme="minorHAnsi"/>
              </w:rPr>
              <w:t xml:space="preserve"> to ensure compliance with FINRA and SEC Regulations</w:t>
            </w:r>
          </w:p>
          <w:p w:rsidR="00FC1B92" w:rsidRPr="002C7ED0" w:rsidRDefault="00FC1B92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>Responsible for processing all incoming and outgoing</w:t>
            </w:r>
            <w:r w:rsidR="00513181">
              <w:rPr>
                <w:rFonts w:cstheme="minorHAnsi"/>
              </w:rPr>
              <w:t xml:space="preserve"> </w:t>
            </w:r>
            <w:r w:rsidRPr="002C7ED0">
              <w:rPr>
                <w:rFonts w:cstheme="minorHAnsi"/>
              </w:rPr>
              <w:t xml:space="preserve"> transfers</w:t>
            </w:r>
            <w:r w:rsidR="00513181">
              <w:rPr>
                <w:rFonts w:cstheme="minorHAnsi"/>
              </w:rPr>
              <w:t xml:space="preserve"> and New Accounts</w:t>
            </w:r>
            <w:r w:rsidRPr="002C7ED0">
              <w:rPr>
                <w:rFonts w:cstheme="minorHAnsi"/>
              </w:rPr>
              <w:t xml:space="preserve"> from outside broker dealers/mutual fund companies and insurance companies</w:t>
            </w:r>
          </w:p>
          <w:p w:rsidR="00FC1B92" w:rsidRPr="002C7ED0" w:rsidRDefault="00FC1B92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 xml:space="preserve">Complied and reported monthly productivity information to </w:t>
            </w:r>
            <w:r w:rsidR="00984044" w:rsidRPr="002C7ED0">
              <w:rPr>
                <w:rFonts w:cstheme="minorHAnsi"/>
              </w:rPr>
              <w:t>Representative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285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8F7C9B" w:rsidP="00984044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Secured</w:t>
            </w:r>
            <w:r w:rsidR="00984044" w:rsidRPr="002C7ED0">
              <w:rPr>
                <w:rFonts w:cstheme="minorHAnsi"/>
              </w:rPr>
              <w:t xml:space="preserve"> information by completing data base backups</w:t>
            </w:r>
          </w:p>
          <w:p w:rsidR="00984044" w:rsidRPr="002C7ED0" w:rsidRDefault="008F7C9B" w:rsidP="00984044">
            <w:pPr>
              <w:pStyle w:val="BulletedList"/>
              <w:numPr>
                <w:ilvl w:val="0"/>
                <w:numId w:val="1"/>
              </w:num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Maintained</w:t>
            </w:r>
            <w:r w:rsidR="00984044" w:rsidRPr="002C7ED0">
              <w:rPr>
                <w:rFonts w:cstheme="minorHAnsi"/>
                <w:sz w:val="22"/>
              </w:rPr>
              <w:t xml:space="preserve"> customer records by updating account information.</w:t>
            </w:r>
          </w:p>
          <w:p w:rsidR="00984044" w:rsidRPr="002C7ED0" w:rsidRDefault="008F7C9B" w:rsidP="00984044">
            <w:pPr>
              <w:pStyle w:val="BulletedList"/>
              <w:numPr>
                <w:ilvl w:val="0"/>
                <w:numId w:val="1"/>
              </w:num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Resolved</w:t>
            </w:r>
            <w:r w:rsidR="00984044" w:rsidRPr="002C7ED0">
              <w:rPr>
                <w:rFonts w:cstheme="minorHAnsi"/>
                <w:sz w:val="22"/>
              </w:rPr>
              <w:t xml:space="preserve"> product or service problems by clarifying the customer's complaint; determining the cause of the problem; selecting and explaining the best solution to solve the problem; expediting correction or adjustment; following up to ensure resolution.</w:t>
            </w:r>
          </w:p>
          <w:p w:rsidR="00984044" w:rsidRPr="002C7ED0" w:rsidRDefault="003E5439" w:rsidP="003E5439">
            <w:pPr>
              <w:pStyle w:val="BulletedList"/>
              <w:numPr>
                <w:ilvl w:val="0"/>
                <w:numId w:val="0"/>
              </w:numPr>
              <w:rPr>
                <w:rFonts w:cstheme="minorHAnsi"/>
                <w:sz w:val="22"/>
              </w:rPr>
            </w:pPr>
            <w:r w:rsidRPr="002C7ED0">
              <w:rPr>
                <w:rFonts w:cstheme="minorHAnsi"/>
                <w:sz w:val="22"/>
              </w:rPr>
              <w:t>June 2000-</w:t>
            </w:r>
            <w:r w:rsidR="003F6FC8">
              <w:rPr>
                <w:rFonts w:cstheme="minorHAnsi"/>
                <w:sz w:val="22"/>
              </w:rPr>
              <w:t>February 2008</w:t>
            </w:r>
            <w:bookmarkStart w:id="0" w:name="_GoBack"/>
            <w:bookmarkEnd w:id="0"/>
            <w:r w:rsidRPr="002C7ED0">
              <w:rPr>
                <w:rFonts w:cstheme="minorHAnsi"/>
                <w:sz w:val="22"/>
              </w:rPr>
              <w:t>-</w:t>
            </w:r>
            <w:r w:rsidRPr="002C7ED0">
              <w:rPr>
                <w:rFonts w:cstheme="minorHAnsi"/>
                <w:b/>
                <w:sz w:val="22"/>
              </w:rPr>
              <w:t>MML Investors Services Inc.- MassMutual</w:t>
            </w:r>
            <w:r w:rsidRPr="002C7ED0">
              <w:rPr>
                <w:rFonts w:cstheme="minorHAnsi"/>
                <w:sz w:val="22"/>
              </w:rPr>
              <w:t xml:space="preserve">, </w:t>
            </w:r>
            <w:r w:rsidR="002C7ED0" w:rsidRPr="002C7ED0">
              <w:rPr>
                <w:rFonts w:cstheme="minorHAnsi"/>
                <w:sz w:val="22"/>
              </w:rPr>
              <w:t>S</w:t>
            </w:r>
            <w:r w:rsidRPr="002C7ED0">
              <w:rPr>
                <w:rFonts w:cstheme="minorHAnsi"/>
                <w:sz w:val="22"/>
              </w:rPr>
              <w:t xml:space="preserve">pringfield, MA </w:t>
            </w:r>
          </w:p>
          <w:p w:rsidR="003E5439" w:rsidRPr="002C7ED0" w:rsidRDefault="003E5439" w:rsidP="003E5439">
            <w:pPr>
              <w:rPr>
                <w:rFonts w:cstheme="minorHAnsi"/>
                <w:b/>
                <w:i/>
              </w:rPr>
            </w:pPr>
            <w:r w:rsidRPr="002C7ED0">
              <w:rPr>
                <w:rFonts w:cstheme="minorHAnsi"/>
                <w:b/>
                <w:i/>
              </w:rPr>
              <w:t>Operations Support Representative</w:t>
            </w:r>
          </w:p>
          <w:p w:rsidR="003E5439" w:rsidRPr="002C7ED0" w:rsidRDefault="003E5439" w:rsidP="003E5439">
            <w:pPr>
              <w:rPr>
                <w:rFonts w:cstheme="minorHAnsi"/>
              </w:rPr>
            </w:pPr>
          </w:p>
          <w:p w:rsidR="003E5439" w:rsidRPr="002C7ED0" w:rsidRDefault="003E5439" w:rsidP="003E5439">
            <w:pPr>
              <w:rPr>
                <w:rFonts w:cstheme="minorHAnsi"/>
                <w:b/>
              </w:rPr>
            </w:pPr>
            <w:r w:rsidRPr="002C7ED0">
              <w:rPr>
                <w:rFonts w:cstheme="minorHAnsi"/>
                <w:b/>
              </w:rPr>
              <w:t>New Accounts Specialist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Responsible for processing New Brokerage Account Applications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Provide</w:t>
            </w:r>
            <w:r w:rsidR="00007248">
              <w:rPr>
                <w:rFonts w:cstheme="minorHAnsi"/>
              </w:rPr>
              <w:t>d</w:t>
            </w:r>
            <w:r w:rsidRPr="002C7ED0">
              <w:rPr>
                <w:rFonts w:cstheme="minorHAnsi"/>
              </w:rPr>
              <w:t xml:space="preserve"> guidance and expertise to Registered Representative on new accounts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Analyze Brokerage Accounts to ensure Compliance with FINRA and SEC regulations</w:t>
            </w:r>
          </w:p>
          <w:p w:rsidR="003E5439" w:rsidRPr="002C7ED0" w:rsidRDefault="003E5439" w:rsidP="003E5439">
            <w:pPr>
              <w:rPr>
                <w:rFonts w:cstheme="minorHAnsi"/>
                <w:b/>
              </w:rPr>
            </w:pPr>
            <w:r w:rsidRPr="002C7ED0">
              <w:rPr>
                <w:rFonts w:cstheme="minorHAnsi"/>
                <w:b/>
              </w:rPr>
              <w:t>Asset Gathering Specialist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Responsible for processing all incoming and outgoing Transfers from outside broker dealers/mutual fund companies and insurance companies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Worked with the clearing firm (National Financial Services) to status and resolve escalated issues</w:t>
            </w:r>
          </w:p>
          <w:p w:rsidR="003E5439" w:rsidRPr="002C7ED0" w:rsidRDefault="003E5439" w:rsidP="00513181">
            <w:pPr>
              <w:pStyle w:val="ListParagraph"/>
              <w:numPr>
                <w:ilvl w:val="0"/>
                <w:numId w:val="9"/>
              </w:numPr>
              <w:ind w:right="-180"/>
              <w:rPr>
                <w:rFonts w:cstheme="minorHAnsi"/>
              </w:rPr>
            </w:pPr>
            <w:r w:rsidRPr="002C7ED0">
              <w:rPr>
                <w:rFonts w:cstheme="minorHAnsi"/>
              </w:rPr>
              <w:t>Compiled and reported monthly productivity information to the Senior</w:t>
            </w:r>
            <w:r w:rsidR="00513181">
              <w:rPr>
                <w:rFonts w:cstheme="minorHAnsi"/>
              </w:rPr>
              <w:t xml:space="preserve">  </w:t>
            </w:r>
            <w:r w:rsidRPr="002C7ED0">
              <w:rPr>
                <w:rFonts w:cstheme="minorHAnsi"/>
              </w:rPr>
              <w:t xml:space="preserve">Leadership </w:t>
            </w:r>
          </w:p>
          <w:p w:rsidR="0024732F" w:rsidRDefault="0024732F" w:rsidP="003E5439">
            <w:pPr>
              <w:rPr>
                <w:rFonts w:cstheme="minorHAnsi"/>
                <w:b/>
              </w:rPr>
            </w:pPr>
          </w:p>
          <w:p w:rsidR="003E5439" w:rsidRPr="002C7ED0" w:rsidRDefault="003E5439" w:rsidP="003E5439">
            <w:pPr>
              <w:rPr>
                <w:rFonts w:cstheme="minorHAnsi"/>
                <w:b/>
              </w:rPr>
            </w:pPr>
            <w:r w:rsidRPr="002C7ED0">
              <w:rPr>
                <w:rFonts w:cstheme="minorHAnsi"/>
                <w:b/>
              </w:rPr>
              <w:lastRenderedPageBreak/>
              <w:t>Treasury Operations Representative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Processed all monetary transactions with Brokerage Accounts including check deposits and disbursements, EFT, bank wire transactions and journals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Initiated and managed service requests via Internet/Intranet applications with National Financial Services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Reviewed documents and identified items that</w:t>
            </w:r>
            <w:r w:rsidR="00007248">
              <w:rPr>
                <w:rFonts w:cstheme="minorHAnsi"/>
              </w:rPr>
              <w:t xml:space="preserve"> we</w:t>
            </w:r>
            <w:r w:rsidRPr="002C7ED0">
              <w:rPr>
                <w:rFonts w:cstheme="minorHAnsi"/>
              </w:rPr>
              <w:t xml:space="preserve">re NIGO (not in good order) to process and followed current procedures to ensure timely correction and processing 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Adhered to strict processing guidelines while providing high quality work</w:t>
            </w:r>
          </w:p>
          <w:p w:rsidR="003E5439" w:rsidRPr="002C7ED0" w:rsidRDefault="003E5439" w:rsidP="003E5439">
            <w:pPr>
              <w:rPr>
                <w:rFonts w:cstheme="minorHAnsi"/>
                <w:b/>
              </w:rPr>
            </w:pPr>
            <w:r w:rsidRPr="002C7ED0">
              <w:rPr>
                <w:rFonts w:cstheme="minorHAnsi"/>
                <w:b/>
              </w:rPr>
              <w:t>NIGO Team Specialist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Researched and analyzed problems for incoming work and put in good order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Participated in projects as needed such as writing New Business Policies &amp; Procedures and work closely with other business units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Identified opportunities for continuous improvement, and take action to implement improved workflows/processes</w:t>
            </w:r>
          </w:p>
          <w:p w:rsidR="003E5439" w:rsidRPr="002C7ED0" w:rsidRDefault="003E5439" w:rsidP="003E54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Trained new employees in all business units in the Policies &amp; Procedures as well as general processing guidelines</w:t>
            </w:r>
          </w:p>
          <w:p w:rsidR="003E5439" w:rsidRDefault="003E5439" w:rsidP="003E543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2C7ED0">
              <w:rPr>
                <w:rFonts w:cstheme="minorHAnsi"/>
              </w:rPr>
              <w:t>Worked with management to resolve escalated situations</w:t>
            </w:r>
          </w:p>
          <w:p w:rsidR="00513181" w:rsidRPr="00513181" w:rsidRDefault="00513181" w:rsidP="00513181">
            <w:pPr>
              <w:ind w:left="360"/>
              <w:rPr>
                <w:rFonts w:cstheme="minorHAnsi"/>
              </w:rPr>
            </w:pPr>
          </w:p>
        </w:tc>
      </w:tr>
      <w:tr w:rsidR="002C7ED0" w:rsidRPr="002C7ED0" w:rsidTr="00513181">
        <w:tc>
          <w:tcPr>
            <w:tcW w:w="991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DA04E2" w:rsidRPr="00DE6B64" w:rsidRDefault="00984044" w:rsidP="00DA04E2">
            <w:pPr>
              <w:tabs>
                <w:tab w:val="left" w:pos="1440"/>
              </w:tabs>
              <w:rPr>
                <w:rFonts w:cstheme="minorHAnsi"/>
                <w:sz w:val="24"/>
                <w:szCs w:val="24"/>
              </w:rPr>
            </w:pPr>
            <w:r w:rsidRPr="00DE6B64">
              <w:rPr>
                <w:rFonts w:cstheme="minorHAnsi"/>
                <w:sz w:val="24"/>
                <w:szCs w:val="24"/>
              </w:rPr>
              <w:lastRenderedPageBreak/>
              <w:t>Skills/Qualifications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C6DD7" w:rsidRPr="002C7ED0" w:rsidRDefault="008C6DD7" w:rsidP="00FC1B92">
            <w:pPr>
              <w:tabs>
                <w:tab w:val="left" w:pos="1440"/>
              </w:tabs>
              <w:jc w:val="center"/>
              <w:rPr>
                <w:rFonts w:cstheme="minorHAnsi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6DD7" w:rsidRPr="002C7ED0" w:rsidRDefault="008C6DD7" w:rsidP="00FC1B92">
            <w:pPr>
              <w:tabs>
                <w:tab w:val="left" w:pos="1440"/>
              </w:tabs>
              <w:ind w:right="-72"/>
              <w:jc w:val="center"/>
              <w:rPr>
                <w:rFonts w:cstheme="minorHAnsi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8C6DD7" w:rsidRPr="002C7ED0" w:rsidRDefault="008C6DD7" w:rsidP="008C6DD7">
            <w:pPr>
              <w:tabs>
                <w:tab w:val="left" w:pos="1440"/>
              </w:tabs>
              <w:jc w:val="center"/>
              <w:rPr>
                <w:rFonts w:cstheme="minorHAnsi"/>
              </w:rPr>
            </w:pP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84044" w:rsidRPr="002C7ED0" w:rsidRDefault="00984044" w:rsidP="00984044">
            <w:pPr>
              <w:pStyle w:val="BulletedList"/>
              <w:numPr>
                <w:ilvl w:val="0"/>
                <w:numId w:val="3"/>
              </w:numPr>
              <w:rPr>
                <w:rFonts w:cstheme="minorHAnsi"/>
                <w:sz w:val="22"/>
              </w:rPr>
            </w:pPr>
            <w:r w:rsidRPr="002C7ED0">
              <w:rPr>
                <w:rFonts w:cstheme="minorHAnsi"/>
                <w:sz w:val="22"/>
              </w:rPr>
              <w:t>Customer Service, Product Knowledge, Quality Focus, Problem Solving, Market Knowledge, Documentation Skills, Listening, Phone Skills, Resolving Conflict, Analyzing Information , Multi-tasking</w:t>
            </w:r>
          </w:p>
          <w:p w:rsidR="0007768B" w:rsidRPr="002C7ED0" w:rsidRDefault="002C7ED0" w:rsidP="0098404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 xml:space="preserve">Excellent written and verbal communication skills, </w:t>
            </w:r>
            <w:r w:rsidR="0038543C">
              <w:rPr>
                <w:rFonts w:cstheme="minorHAnsi"/>
              </w:rPr>
              <w:t>fully bilingual English/Spanish</w:t>
            </w:r>
          </w:p>
          <w:p w:rsidR="002C7ED0" w:rsidRPr="002C7ED0" w:rsidRDefault="002E6097" w:rsidP="0098404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Microsoft Office: Word, Excel, Access, </w:t>
            </w:r>
            <w:r w:rsidR="002C7ED0" w:rsidRPr="002C7ED0">
              <w:rPr>
                <w:rFonts w:cstheme="minorHAnsi"/>
              </w:rPr>
              <w:t>PowerPoint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768B" w:rsidRPr="002C7ED0" w:rsidRDefault="002C7ED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cstheme="minorHAnsi"/>
              </w:rPr>
            </w:pPr>
            <w:r w:rsidRPr="002C7ED0">
              <w:rPr>
                <w:rFonts w:cstheme="minorHAnsi"/>
              </w:rPr>
              <w:t>Massachusetts Notary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gridAfter w:val="1"/>
          <w:wBefore w:w="1530" w:type="dxa"/>
          <w:wAfter w:w="3024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2C7ED0" w:rsidRPr="002C7ED0" w:rsidRDefault="002C7ED0" w:rsidP="002C7ED0">
            <w:pPr>
              <w:tabs>
                <w:tab w:val="left" w:pos="1440"/>
              </w:tabs>
              <w:rPr>
                <w:rFonts w:cstheme="minorHAnsi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D0" w:rsidRPr="002C7ED0" w:rsidRDefault="002C7ED0" w:rsidP="00DD6DF6">
            <w:pPr>
              <w:tabs>
                <w:tab w:val="left" w:pos="1440"/>
              </w:tabs>
              <w:jc w:val="center"/>
              <w:rPr>
                <w:rFonts w:cstheme="minorHAnsi"/>
              </w:rPr>
            </w:pPr>
          </w:p>
        </w:tc>
      </w:tr>
      <w:tr w:rsidR="002C7ED0" w:rsidRPr="002C7ED0" w:rsidTr="00513181">
        <w:tc>
          <w:tcPr>
            <w:tcW w:w="991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07768B" w:rsidRPr="00DE6B64" w:rsidRDefault="0007768B" w:rsidP="00487649">
            <w:pPr>
              <w:tabs>
                <w:tab w:val="left" w:pos="1440"/>
              </w:tabs>
              <w:rPr>
                <w:rFonts w:cstheme="minorHAnsi"/>
                <w:sz w:val="24"/>
                <w:szCs w:val="24"/>
              </w:rPr>
            </w:pPr>
            <w:r w:rsidRPr="00DE6B64">
              <w:rPr>
                <w:rFonts w:cstheme="minorHAnsi"/>
                <w:sz w:val="24"/>
                <w:szCs w:val="24"/>
              </w:rPr>
              <w:t>Education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9160C7" w:rsidP="009160C7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9160C7" w:rsidP="009160C7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9160C7" w:rsidRPr="002C7ED0" w:rsidRDefault="009160C7" w:rsidP="009160C7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Default="002C7ED0" w:rsidP="002C7ED0">
            <w:pPr>
              <w:tabs>
                <w:tab w:val="left" w:pos="1440"/>
              </w:tabs>
              <w:rPr>
                <w:rFonts w:cstheme="minorHAnsi"/>
              </w:rPr>
            </w:pPr>
            <w:r w:rsidRPr="00513181">
              <w:rPr>
                <w:rFonts w:cstheme="minorHAnsi"/>
                <w:b/>
              </w:rPr>
              <w:t>Massachusetts Career Development Institute</w:t>
            </w:r>
            <w:r>
              <w:rPr>
                <w:rFonts w:cstheme="minorHAnsi"/>
              </w:rPr>
              <w:t xml:space="preserve">, Springfield, MA </w:t>
            </w:r>
          </w:p>
          <w:p w:rsidR="002C7ED0" w:rsidRPr="00513181" w:rsidRDefault="002C7ED0" w:rsidP="002C7ED0">
            <w:pPr>
              <w:tabs>
                <w:tab w:val="left" w:pos="1440"/>
              </w:tabs>
              <w:rPr>
                <w:rFonts w:cstheme="minorHAnsi"/>
                <w:i/>
              </w:rPr>
            </w:pPr>
            <w:r w:rsidRPr="00513181">
              <w:rPr>
                <w:rFonts w:cstheme="minorHAnsi"/>
                <w:i/>
              </w:rPr>
              <w:t>Office Technology</w:t>
            </w:r>
          </w:p>
          <w:p w:rsidR="002C7ED0" w:rsidRDefault="002C7ED0" w:rsidP="002C7ED0">
            <w:pPr>
              <w:tabs>
                <w:tab w:val="left" w:pos="1440"/>
              </w:tabs>
              <w:rPr>
                <w:rFonts w:cstheme="minorHAnsi"/>
              </w:rPr>
            </w:pPr>
          </w:p>
          <w:p w:rsidR="002C7ED0" w:rsidRDefault="002C7ED0" w:rsidP="002C7ED0">
            <w:pPr>
              <w:tabs>
                <w:tab w:val="left" w:pos="1440"/>
              </w:tabs>
              <w:rPr>
                <w:rFonts w:cstheme="minorHAnsi"/>
              </w:rPr>
            </w:pPr>
            <w:r w:rsidRPr="00513181">
              <w:rPr>
                <w:rFonts w:cstheme="minorHAnsi"/>
                <w:b/>
              </w:rPr>
              <w:t>Springfield Technical Community College</w:t>
            </w:r>
            <w:r>
              <w:rPr>
                <w:rFonts w:cstheme="minorHAnsi"/>
              </w:rPr>
              <w:t xml:space="preserve">, Springfield, MA </w:t>
            </w:r>
          </w:p>
          <w:p w:rsidR="002C7ED0" w:rsidRPr="00513181" w:rsidRDefault="002C7ED0" w:rsidP="002C7ED0">
            <w:pPr>
              <w:tabs>
                <w:tab w:val="left" w:pos="1440"/>
              </w:tabs>
              <w:rPr>
                <w:rFonts w:cstheme="minorHAnsi"/>
                <w:i/>
              </w:rPr>
            </w:pPr>
            <w:r w:rsidRPr="00513181">
              <w:rPr>
                <w:rFonts w:cstheme="minorHAnsi"/>
                <w:i/>
              </w:rPr>
              <w:t>General Studies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84673" w:rsidRPr="002C7ED0" w:rsidRDefault="00884673" w:rsidP="002C7ED0">
            <w:pPr>
              <w:tabs>
                <w:tab w:val="left" w:pos="1440"/>
              </w:tabs>
              <w:rPr>
                <w:rFonts w:cstheme="minorHAnsi"/>
                <w:i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673" w:rsidRPr="002C7ED0" w:rsidRDefault="00884673" w:rsidP="00DD6DF6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884673" w:rsidRPr="002C7ED0" w:rsidRDefault="00884673" w:rsidP="00DD6DF6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</w:tr>
      <w:tr w:rsidR="002C7ED0" w:rsidRPr="00513181" w:rsidTr="00513181">
        <w:tc>
          <w:tcPr>
            <w:tcW w:w="991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9160C7" w:rsidRPr="00DE6B64" w:rsidRDefault="00513181" w:rsidP="0007768B">
            <w:pPr>
              <w:tabs>
                <w:tab w:val="left" w:pos="2955"/>
              </w:tabs>
              <w:rPr>
                <w:rFonts w:cstheme="minorHAnsi"/>
                <w:sz w:val="24"/>
                <w:szCs w:val="24"/>
              </w:rPr>
            </w:pPr>
            <w:r w:rsidRPr="00DE6B64">
              <w:rPr>
                <w:rFonts w:cstheme="minorHAnsi"/>
                <w:sz w:val="24"/>
                <w:szCs w:val="24"/>
              </w:rPr>
              <w:t>References</w:t>
            </w: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0E8E" w:rsidRDefault="00ED0E8E" w:rsidP="00884673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  <w:p w:rsidR="00513181" w:rsidRPr="00513181" w:rsidRDefault="00513181" w:rsidP="00884673">
            <w:pPr>
              <w:tabs>
                <w:tab w:val="left" w:pos="1440"/>
              </w:tabs>
              <w:jc w:val="center"/>
              <w:rPr>
                <w:rFonts w:cstheme="minorHAnsi"/>
              </w:rPr>
            </w:pPr>
            <w:r w:rsidRPr="00513181">
              <w:rPr>
                <w:rFonts w:cstheme="minorHAnsi"/>
              </w:rPr>
              <w:t>Available Upon Request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0E8E" w:rsidRPr="002C7ED0" w:rsidRDefault="00ED0E8E" w:rsidP="00ED0E8E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83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673" w:rsidRPr="002C7ED0" w:rsidRDefault="00884673" w:rsidP="00ED0E8E">
            <w:pPr>
              <w:tabs>
                <w:tab w:val="left" w:pos="1440"/>
              </w:tabs>
              <w:rPr>
                <w:rFonts w:cstheme="minorHAnsi"/>
                <w:i/>
              </w:rPr>
            </w:pPr>
          </w:p>
        </w:tc>
      </w:tr>
      <w:tr w:rsidR="002C7ED0" w:rsidRPr="002C7ED0" w:rsidTr="00513181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530" w:type="dxa"/>
          <w:trHeight w:val="330"/>
        </w:trPr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0E8E" w:rsidRPr="002C7ED0" w:rsidRDefault="00ED0E8E" w:rsidP="00513181">
            <w:pPr>
              <w:tabs>
                <w:tab w:val="left" w:pos="1440"/>
              </w:tabs>
              <w:rPr>
                <w:rFonts w:cstheme="minorHAnsi"/>
                <w:i/>
              </w:rPr>
            </w:pP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0E8E" w:rsidRPr="002C7ED0" w:rsidRDefault="00ED0E8E" w:rsidP="00DD6DF6">
            <w:pPr>
              <w:tabs>
                <w:tab w:val="left" w:pos="1440"/>
              </w:tabs>
              <w:jc w:val="center"/>
              <w:rPr>
                <w:rFonts w:cstheme="minorHAnsi"/>
                <w:i/>
              </w:rPr>
            </w:pPr>
          </w:p>
        </w:tc>
      </w:tr>
    </w:tbl>
    <w:p w:rsidR="009160C7" w:rsidRPr="0007768B" w:rsidRDefault="009160C7" w:rsidP="0007768B">
      <w:pPr>
        <w:tabs>
          <w:tab w:val="left" w:pos="2955"/>
        </w:tabs>
        <w:rPr>
          <w:sz w:val="20"/>
          <w:szCs w:val="20"/>
        </w:rPr>
      </w:pPr>
    </w:p>
    <w:sectPr w:rsidR="009160C7" w:rsidRPr="000776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FB2" w:rsidRDefault="00530FB2" w:rsidP="00513181">
      <w:pPr>
        <w:spacing w:after="0" w:line="240" w:lineRule="auto"/>
      </w:pPr>
      <w:r>
        <w:separator/>
      </w:r>
    </w:p>
  </w:endnote>
  <w:endnote w:type="continuationSeparator" w:id="0">
    <w:p w:rsidR="00530FB2" w:rsidRDefault="00530FB2" w:rsidP="0051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8552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181" w:rsidRDefault="005131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F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3181" w:rsidRDefault="005131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FB2" w:rsidRDefault="00530FB2" w:rsidP="00513181">
      <w:pPr>
        <w:spacing w:after="0" w:line="240" w:lineRule="auto"/>
      </w:pPr>
      <w:r>
        <w:separator/>
      </w:r>
    </w:p>
  </w:footnote>
  <w:footnote w:type="continuationSeparator" w:id="0">
    <w:p w:rsidR="00530FB2" w:rsidRDefault="00530FB2" w:rsidP="0051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0300_"/>
      </v:shape>
    </w:pict>
  </w:numPicBullet>
  <w:abstractNum w:abstractNumId="0">
    <w:nsid w:val="1A015CB5"/>
    <w:multiLevelType w:val="hybridMultilevel"/>
    <w:tmpl w:val="48A67A50"/>
    <w:lvl w:ilvl="0" w:tplc="C18C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B4FBD"/>
    <w:multiLevelType w:val="hybridMultilevel"/>
    <w:tmpl w:val="B9C0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31492"/>
    <w:multiLevelType w:val="hybridMultilevel"/>
    <w:tmpl w:val="BEFE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16B9C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314F8"/>
    <w:multiLevelType w:val="hybridMultilevel"/>
    <w:tmpl w:val="6B56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81ED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2404C"/>
    <w:multiLevelType w:val="hybridMultilevel"/>
    <w:tmpl w:val="CAC4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F7432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C693C"/>
    <w:multiLevelType w:val="hybridMultilevel"/>
    <w:tmpl w:val="B1A6B884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70B3E"/>
    <w:multiLevelType w:val="hybridMultilevel"/>
    <w:tmpl w:val="F520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48"/>
    <w:rsid w:val="00007248"/>
    <w:rsid w:val="00040BFF"/>
    <w:rsid w:val="0007768B"/>
    <w:rsid w:val="000B40E3"/>
    <w:rsid w:val="0024732F"/>
    <w:rsid w:val="002922E3"/>
    <w:rsid w:val="002C7ED0"/>
    <w:rsid w:val="002E6097"/>
    <w:rsid w:val="0038543C"/>
    <w:rsid w:val="003E5439"/>
    <w:rsid w:val="003F6FC8"/>
    <w:rsid w:val="00462D48"/>
    <w:rsid w:val="00487649"/>
    <w:rsid w:val="00513181"/>
    <w:rsid w:val="00530FB2"/>
    <w:rsid w:val="006E4BA5"/>
    <w:rsid w:val="008412AC"/>
    <w:rsid w:val="00884673"/>
    <w:rsid w:val="008B0C55"/>
    <w:rsid w:val="008C6DD7"/>
    <w:rsid w:val="008F7C9B"/>
    <w:rsid w:val="009160C7"/>
    <w:rsid w:val="00956931"/>
    <w:rsid w:val="00984044"/>
    <w:rsid w:val="00AC6203"/>
    <w:rsid w:val="00B74D23"/>
    <w:rsid w:val="00C5376B"/>
    <w:rsid w:val="00DA04E2"/>
    <w:rsid w:val="00DE6B64"/>
    <w:rsid w:val="00E37FA1"/>
    <w:rsid w:val="00E456BA"/>
    <w:rsid w:val="00ED0E8E"/>
    <w:rsid w:val="00FC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List">
    <w:name w:val="Bulleted List"/>
    <w:basedOn w:val="Normal"/>
    <w:qFormat/>
    <w:rsid w:val="00984044"/>
    <w:pPr>
      <w:numPr>
        <w:numId w:val="6"/>
      </w:numPr>
      <w:spacing w:before="60" w:after="20" w:line="240" w:lineRule="auto"/>
    </w:pPr>
    <w:rPr>
      <w:rFonts w:eastAsia="Calibri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5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81"/>
  </w:style>
  <w:style w:type="paragraph" w:styleId="Footer">
    <w:name w:val="footer"/>
    <w:basedOn w:val="Normal"/>
    <w:link w:val="FooterChar"/>
    <w:uiPriority w:val="99"/>
    <w:unhideWhenUsed/>
    <w:rsid w:val="005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List">
    <w:name w:val="Bulleted List"/>
    <w:basedOn w:val="Normal"/>
    <w:qFormat/>
    <w:rsid w:val="00984044"/>
    <w:pPr>
      <w:numPr>
        <w:numId w:val="6"/>
      </w:numPr>
      <w:spacing w:before="60" w:after="20" w:line="240" w:lineRule="auto"/>
    </w:pPr>
    <w:rPr>
      <w:rFonts w:eastAsia="Calibri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5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81"/>
  </w:style>
  <w:style w:type="paragraph" w:styleId="Footer">
    <w:name w:val="footer"/>
    <w:basedOn w:val="Normal"/>
    <w:link w:val="FooterChar"/>
    <w:uiPriority w:val="99"/>
    <w:unhideWhenUsed/>
    <w:rsid w:val="005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TP03000323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CB821AA-DACF-411E-9151-43EED17C5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TP030003238</Template>
  <TotalTime>2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</dc:creator>
  <cp:lastModifiedBy>Wanda</cp:lastModifiedBy>
  <cp:revision>4</cp:revision>
  <dcterms:created xsi:type="dcterms:W3CDTF">2012-03-31T01:27:00Z</dcterms:created>
  <dcterms:modified xsi:type="dcterms:W3CDTF">2012-03-31T01:29:00Z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TC300032389990</vt:lpwstr>
  </property>
</Properties>
</file>