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DESIGNER HOMES REAL ESTATE SERVICES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Website Strategic Upgrade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Industry Benchmarking, Positioning Strategy,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Brand Direction &amp; Implementation Summary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 for Keith Manning Jr., Principal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Industry Insights Summary</w:t>
      </w:r>
    </w:p>
    <w:p>
      <w:pPr>
        <w:pStyle w:val="Heading2"/>
        <w:spacing w:before="300" w:after="150"/>
      </w:pPr>
      <w:r>
        <w:t xml:space="preserve">What Top Firms Do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brand promise in hero section (BBG: “Trusted Insight. True Independence”)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segmentation — dedicated pages for lenders, attorneys, homeowners, government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metrics displayed prominently (reports completed, years in business, certifications)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Modern, clean design with generous white space and consistent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“Request a Quote” CTA visible at all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Thought leadership through blog content and market insights</w:t>
      </w:r>
    </w:p>
    <w:p>
      <w:pPr>
        <w:pStyle w:val="Heading2"/>
        <w:spacing w:before="300" w:after="150"/>
      </w:pPr>
      <w:r>
        <w:t xml:space="preserve">What They Do Poorly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pricing transparency — all require quote requests with no guidance on typical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turnaround time commitments published on-site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Limited or no video content (client testimonials, process walkthroughs)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 personality differentiation — most feel interchangeable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interactive tools (service selectors, timeline calculators)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Triangle NC competitors are overwhelmingly outdated in design and technology</w:t>
      </w:r>
    </w:p>
    <w:p>
      <w:pPr>
        <w:pStyle w:val="Heading2"/>
        <w:spacing w:before="300" w:after="150"/>
      </w:pPr>
      <w:r>
        <w:t xml:space="preserve">Your Competitive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Triangle-area appraisal firm currently positions itself as premium, technology-forward, or modern. The local competitive landscape is defined by generic, dated websites with minimal client-experience features. This represents a significant opportunity to own the “premier appraisal” positioning in the market.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Recommended Upgrades (Implemented)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Structure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Restructured into 8 strategic sections: Hero, Credentials, Services (by property type), Process, Why Choose Us, Technology Edge, Testimonials, CTA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Services Layout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Reorganized from 8 generic cards to property-type selection (Single Family, Condo, Townhome, Manufactured, Multi-Family, Land) + purpose tags (Estate, Divorce, Tax Appeal, FHA, etc.)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credential eyebrow, stronger value proposition, trust strip below CTAs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Credential Strip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metric-driven strip: dual-sector expertise, 3–5 day turnaround, 100% digital, 10+ counties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 Section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4-step visual process: Request → Inspect → Analyze → Deliver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Technology Section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section with mock status card showing digital workflow and real-time tracking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System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DH monogram with geometric precision concept — primary, light, mark, and favicon versions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Tightened scale, reduced heading sizes for cleaner proportions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padding reduced from 6rem to 4rem; card padding from 3rem to 1.5rem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emoji icons replaced with inline SVG icons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Inline Styles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Removed all inline style attributes from HTML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 Bug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CSS code erroneously placed inside &lt;script&gt; tag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Unified palette with new accent-subtle and border-light tokens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3. Refined Homepage Structure</w:t>
      </w:r>
    </w:p>
    <w:p>
      <w:pPr>
        <w:pStyle w:val="Heading3"/>
        <w:spacing w:before="300" w:after="150"/>
      </w:pPr>
      <w: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Headline: “Premier Real Estate Valuation Services in the Triangle”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Supporting copy emphasizing: accurate, defensible, fast, dual credentials, technology-driven.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CTAs: “Get a Quote” (primary) + phone number (secondary).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CTAs: credential trust strip (State Certified, Licensed Broker, NCDOR Registered).</w:t>
      </w:r>
    </w:p>
    <w:p>
      <w:pPr>
        <w:pStyle w:val="Heading3"/>
        <w:spacing w:before="300" w:after="150"/>
      </w:pPr>
      <w:r>
        <w:t xml:space="preserve">Section 2: Credential Strip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metric boxes communicating: dual-sector expertise, 3–5 day turnaround, 100% digital workflow, 10+ counties served.</w:t>
      </w:r>
    </w:p>
    <w:p>
      <w:pPr>
        <w:pStyle w:val="Heading3"/>
        <w:spacing w:before="300" w:after="150"/>
      </w:pPr>
      <w:r>
        <w:t xml:space="preserve">Section 3: Services by Property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property type cards: Single Family, Condo, Townhome, Manufactured, Multi-Family, Land/Vacant Lot. Below: pill-style purpose tags (Purchase, Refinance, Estate, Divorce, Tax Appeal, FHA, New Construction, PMI Removal, Investment Analysis).</w:t>
      </w:r>
    </w:p>
    <w:p>
      <w:pPr>
        <w:pStyle w:val="Heading3"/>
        <w:spacing w:before="300" w:after="150"/>
      </w:pPr>
      <w:r>
        <w:t xml:space="preserve">Section 4: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connected steps: Request a Quote → Property Inspection → Analysis &amp; Reporting → Secure Delivery.</w:t>
      </w:r>
    </w:p>
    <w:p>
      <w:pPr>
        <w:pStyle w:val="Heading3"/>
        <w:spacing w:before="300" w:after="150"/>
      </w:pPr>
      <w:r>
        <w:t xml:space="preserve">Section 5: Why Choose 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value cards: Dual-Sector Expertise, Fast Turnaround, Technology-Driven, Local Market Authority.</w:t>
      </w:r>
    </w:p>
    <w:p>
      <w:pPr>
        <w:pStyle w:val="Heading3"/>
        <w:spacing w:before="300" w:after="150"/>
      </w:pPr>
      <w:r>
        <w:t xml:space="preserve">Section 6: Technology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 layout: left side explains the digital workflow with checkmark list; right side shows a mock order status card with progress bar and milestone steps.</w:t>
      </w:r>
    </w:p>
    <w:p>
      <w:pPr>
        <w:pStyle w:val="Heading3"/>
        <w:spacing w:before="300" w:after="150"/>
      </w:pPr>
      <w:r>
        <w:t xml:space="preserve">Section 7: Testimonials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testimonial cards from Attorney (Durham), Homeowner (Raleigh), CPA (Chapel Hill).</w:t>
      </w:r>
    </w:p>
    <w:p>
      <w:pPr>
        <w:pStyle w:val="Heading3"/>
        <w:spacing w:before="300" w:after="150"/>
      </w:pPr>
      <w:r>
        <w:t xml:space="preserve">Section 8: Final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 close with service area listing: Durham, Raleigh, Chapel Hill, Cary, Apex, Morrisville, Wake Forest, Holly Springs &amp; beyond.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4. Improved Services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services page was restructured into 5 clear, non-overlapping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Appraisal Services — purchases, estates, divorces, refinances, pre-listing, date-of-death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Lender / Mortgage Appraisals — conventional, FHA/HUD compliant, AMC-ready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 &amp; Valuation Consulting — market analysis, feasibility, strategic advisory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Property Tax &amp; Appeal Consulting — retrospective valuations, assessment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Mass Appraisal &amp; Contract Services — counties, municipalities, revaluation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homepage, the service entry point is now property-type based (“What do you need appraised?”) with purpose tags below, creating an intuitive client-first flow rather than an appraiser-centric category list.</w:t>
      </w:r>
    </w:p>
    <w:p>
      <w:pPr>
        <w:pStyle w:val="Heading1"/>
        <w:spacing w:before="300" w:after="150"/>
      </w:pPr>
      <w:r>
        <w:t xml:space="preserve">5. Process Section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4-step visual process to demystify the appraisal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Request a Quote — online submission, response within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Property Inspection — scheduled at client convenience, efficient and thorough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Analysis &amp; Reporting — market research, comps, valuation with real-time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4: Secure Delivery — digital delivery, online payment, done</w:t>
      </w:r>
    </w:p>
    <w:p>
      <w:pPr>
        <w:pStyle w:val="Heading1"/>
        <w:spacing w:before="300" w:after="150"/>
      </w:pPr>
      <w:r>
        <w:t xml:space="preserve">6. Technology Positioning Section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dedicated section highlighting the technology-driven workflow without overselling it. Uses a split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explanatory copy + checklist (online quotes, real-time updates, secure delivery, online payment, organized data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mock UI card showing a live order status with progress bar and milestone indicators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positions Designer Homes as materially different from competitors who still rely on phone calls and email chains, without making it feel like a software pitch.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Branding Direction</w:t>
      </w:r>
    </w:p>
    <w:p>
      <w:pPr>
        <w:pStyle w:val="Heading2"/>
        <w:spacing w:before="300" w:after="150"/>
      </w:pPr>
      <w:r>
        <w:t xml:space="preserve">Logo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DH Monogram — a geometric mark combining the letters D and H with a gold crossbar accent line that evokes precision and measurement. The subtle grid line through the D reinforces the valuation/precision concept without being literal about real estate.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cliché house icons. The mark is modern, minimal, and scales well from favicon to full-width header.</w:t>
      </w:r>
    </w:p>
    <w:p>
      <w:pPr>
        <w:pStyle w:val="Heading2"/>
        <w:spacing w:before="300" w:after="150"/>
      </w:pPr>
      <w:r>
        <w:t xml:space="preserve">Logo Files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logo.svg — Primary logo (dark, for light backgrounds)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logo-light.svg — Light version (for dark backgrounds, navbar, footer)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logo-mark.svg — Standalone DH monogram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favicon.svg — Compact monogram on navy background with rounded corners</w:t>
      </w:r>
    </w:p>
    <w:p>
      <w:pPr>
        <w:pStyle w:val="Heading1"/>
        <w:spacing w:before="300" w:after="150"/>
      </w:pPr>
      <w:r>
        <w:t xml:space="preserve">8. Color Palette &amp; Typography</w:t>
      </w:r>
    </w:p>
    <w:p>
      <w:pPr>
        <w:pStyle w:val="Heading2"/>
        <w:spacing w:before="300" w:after="150"/>
      </w:pPr>
      <w: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#1B2A4A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hero, footer, headings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#0F1A2E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gradient end, CTA backgrounds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(Gold)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#C9A84C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icons, highlights, links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Light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#DEB559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section backgrounds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Text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Text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Subtitles, descriptions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#E2E8F0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badges, check marks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Font: Inter (Google Fonts) with system fallbacks (-apple-system, BlinkMacSystemFont, Segoe UI, sans-serif).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Scale: Tightened from the original. Body at 15px (0.9375rem). Headings from 18px (h3) to 30px (h1). All sizes reduced ~15% from original to eliminate the “bulky” feel.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Weights: Regular (400) for body, Medium (500) for labels, Semibold (600) for headings, Bold (700) for hero and metrics.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UI/UX Improvements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reduced from 100vh to 88vh for faster content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padding reduced from 6rem to 4rem (2.5rem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padding reduced from 3rem to 1.5rem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 max-width tightened from 1200px to 1100px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emoji icons replaced with consistent SVG icon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inline style attributes removed from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CSS code inside &lt;script&gt; tag (JS bug)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 link spacing tightened for better density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cards now link directly to quote page with property type pre-selected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Purpose tags use pill/badge design for quick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 section uses connected step layout with numbered circles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Technology section uses a mock UI card to demonstrate digital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Testimonials moved into own section with cleaner card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reorganized with uppercase section headers and tighter spacing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3-column property grid, stacked process steps, full-width CTAs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480px breakpoint: 2-column property grid, single-column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Scroll-triggered animations with reduced motion (1rem vs 2rem translate)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Navbar scroll threshold reduced from 50vh to 80px for earlier background activation</w:t>
      </w:r>
    </w:p>
    <w:p>
      <w:pPr>
        <w:pStyle w:val="Heading1"/>
        <w:spacing w:before="300" w:after="150"/>
      </w:pPr>
      <w:r>
        <w:t xml:space="preserve">10. Final Positioning Statement</w:t>
      </w:r>
    </w:p>
    <w:p>
      <w:pPr>
        <w:pBdr>
          <w:left w:val="single" w:color="C9A84C" w:sz="12" w:space="8"/>
        </w:pBdr>
        <w:spacing w:before="200" w:after="200"/>
        <w:ind w:left="360"/>
      </w:pPr>
      <w:r>
        <w:rPr>
          <w:rFonts w:ascii="Arial" w:cs="Arial" w:eastAsia="Arial" w:hAnsi="Arial"/>
          <w:i/>
          <w:iCs/>
          <w:color w:val="1B2A4A"/>
          <w:sz w:val="24"/>
          <w:szCs w:val="24"/>
        </w:rPr>
        <w:t xml:space="preserve">Designer Homes Real Estate Services delivers premier appraisal and valuation solutions across the Triangle. With dual credentials in private and public-sector valuation, a technology-driven workflow, and deep local market expertise, we provide accurate, defensible reports with fast turnaround — setting a new standard for professionalism in residential appraisal.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positioning intentionally avoids generic “appraisal services” language. It communicates: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Premier — not competing on price, competing on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credentials — rare combination that competitors can’t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Technology-driven — modern workflow, not phone-and-paper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 turnaround — respects client timelines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expertise — Triangle knowledge that nationals can’t replicate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standard — explicitly positions the firm above the current market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Designer Homes Real Estate Services — Strategic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2026-03-27T14:35:07.723Z</dcterms:created>
  <dcterms:modified xsi:type="dcterms:W3CDTF">2026-03-27T14:35:07.732Z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