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C3E50"/>
          <w:sz w:val="64"/>
        </w:rPr>
        <w:t>Designer Homes Real Estate Services</w:t>
      </w:r>
    </w:p>
    <w:p>
      <w:pPr>
        <w:jc w:val="center"/>
      </w:pPr>
      <w:r>
        <w:rPr>
          <w:b/>
          <w:color w:val="2C3E50"/>
          <w:sz w:val="56"/>
        </w:rPr>
        <w:t>Adjustment Support Tool</w:t>
      </w:r>
    </w:p>
    <w:p>
      <w:pPr>
        <w:jc w:val="center"/>
      </w:pPr>
      <w:r>
        <w:rPr>
          <w:color w:val="2C3E50"/>
          <w:sz w:val="48"/>
        </w:rPr>
        <w:t>Technical Specification</w:t>
      </w:r>
    </w:p>
    <w:p/>
    <w:p>
      <w:pPr>
        <w:jc w:val="center"/>
      </w:pPr>
      <w:r>
        <w:rPr>
          <w:b/>
          <w:sz w:val="28"/>
        </w:rPr>
        <w:t>Version 1.0 — March 2026</w:t>
      </w:r>
    </w:p>
    <w:p>
      <w:pPr>
        <w:jc w:val="center"/>
      </w:pPr>
      <w:r>
        <w:rPr>
          <w:sz w:val="28"/>
        </w:rPr>
        <w:t>Prepared for: Keith Manning Jr., Owner/Appraiser</w:t>
      </w:r>
    </w:p>
    <w:p>
      <w:r>
        <w:br w:type="page"/>
      </w:r>
    </w:p>
    <w:p>
      <w:pPr>
        <w:pStyle w:val="Heading1"/>
        <w:spacing w:after="240"/>
      </w:pPr>
      <w:r>
        <w:rPr>
          <w:b/>
          <w:color w:val="2C3E50"/>
          <w:sz w:val="56"/>
        </w:rPr>
        <w:t>Table of Contents</w:t>
      </w:r>
    </w:p>
    <w:p>
      <w:pPr>
        <w:spacing w:after="120"/>
      </w:pPr>
      <w:r>
        <w:t>1. Executive Summary</w:t>
      </w:r>
    </w:p>
    <w:p>
      <w:pPr>
        <w:spacing w:after="120"/>
      </w:pPr>
      <w:r>
        <w:t>2. Key Improvements Over Current System</w:t>
      </w:r>
    </w:p>
    <w:p>
      <w:pPr>
        <w:spacing w:after="120"/>
      </w:pPr>
      <w:r>
        <w:t>3. System Architecture</w:t>
      </w:r>
    </w:p>
    <w:p>
      <w:pPr>
        <w:spacing w:after="120"/>
      </w:pPr>
      <w:r>
        <w:t>4. Data Structure</w:t>
      </w:r>
    </w:p>
    <w:p>
      <w:pPr>
        <w:spacing w:after="120"/>
      </w:pPr>
      <w:r>
        <w:t>5. Calculation Logic</w:t>
      </w:r>
    </w:p>
    <w:p>
      <w:pPr>
        <w:spacing w:after="120"/>
      </w:pPr>
      <w:r>
        <w:t>6. UI/UX Design</w:t>
      </w:r>
    </w:p>
    <w:p>
      <w:pPr>
        <w:spacing w:after="120"/>
      </w:pPr>
      <w:r>
        <w:t>7. Sample Output</w:t>
      </w:r>
    </w:p>
    <w:p>
      <w:pPr>
        <w:spacing w:after="120"/>
      </w:pPr>
      <w:r>
        <w:t>8. Implementation Approach</w:t>
      </w:r>
    </w:p>
    <w:p>
      <w:pPr>
        <w:spacing w:after="120"/>
      </w:pPr>
      <w:r>
        <w:t>9. Risks and Limitations</w:t>
      </w:r>
    </w:p>
    <w:p>
      <w:pPr>
        <w:spacing w:after="120"/>
      </w:pPr>
      <w:r>
        <w:t>10. USPAP Compliance Positioning</w:t>
      </w:r>
    </w:p>
    <w:p>
      <w:pPr>
        <w:spacing w:after="120"/>
      </w:pPr>
      <w:r>
        <w:t>11. Platform Improvement Recommendations</w:t>
      </w:r>
    </w:p>
    <w:p>
      <w:r>
        <w:br w:type="page"/>
      </w:r>
    </w:p>
    <w:p>
      <w:pPr>
        <w:pStyle w:val="Heading1"/>
        <w:spacing w:after="240"/>
      </w:pPr>
      <w:r>
        <w:rPr>
          <w:b/>
          <w:color w:val="2C3E50"/>
          <w:sz w:val="56"/>
        </w:rPr>
        <w:t>1. Executive Summary</w:t>
      </w:r>
    </w:p>
    <w:p>
      <w:pPr>
        <w:spacing w:after="120"/>
      </w:pPr>
      <w:r>
        <w:rPr>
          <w:b w:val="0"/>
          <w:sz w:val="22"/>
        </w:rPr>
        <w:t>The Adjustment Support Tool is a professional-grade appraisal analysis system designed to help residential appraisers develop defensible, market-supported adjustment ranges using real MLS data. It applies multiple recognized appraisal methodologies — paired sales analysis, grouped data analysis, regression analysis, and cost-based references — to provide transparent adjustment ranges while preserving the appraiser's final decision authority. The tool is designed to support USPAP compliance, respond to Fannie Mae and underwriter inquiries, and improve consistency and efficiency in adjustment development.</w:t>
      </w:r>
    </w:p>
    <w:p>
      <w:pPr>
        <w:pStyle w:val="Heading1"/>
        <w:spacing w:after="240"/>
      </w:pPr>
      <w:r>
        <w:rPr>
          <w:b/>
          <w:color w:val="2C3E50"/>
          <w:sz w:val="56"/>
        </w:rPr>
        <w:t>2. Key Improvements Over Current System</w:t>
      </w:r>
    </w:p>
    <w:p>
      <w:pPr>
        <w:pStyle w:val="Heading3"/>
        <w:spacing w:after="120"/>
      </w:pPr>
      <w:r>
        <w:rPr>
          <w:b/>
          <w:color w:val="2C3E50"/>
          <w:sz w:val="28"/>
        </w:rPr>
        <w:t>Current System Issues:</w:t>
      </w:r>
    </w:p>
    <w:p>
      <w:pPr>
        <w:pStyle w:val="ListBullet"/>
        <w:spacing w:after="80"/>
      </w:pPr>
      <w:r>
        <w:t>Static adjustment grid with manual entry only</w:t>
      </w:r>
    </w:p>
    <w:p>
      <w:pPr>
        <w:pStyle w:val="ListBullet"/>
        <w:spacing w:after="80"/>
      </w:pPr>
      <w:r>
        <w:t>No data-driven support for adjustment values</w:t>
      </w:r>
    </w:p>
    <w:p>
      <w:pPr>
        <w:pStyle w:val="ListBullet"/>
        <w:spacing w:after="80"/>
      </w:pPr>
      <w:r>
        <w:t>No methodology documentation capability</w:t>
      </w:r>
    </w:p>
    <w:p>
      <w:pPr>
        <w:pStyle w:val="ListBullet"/>
        <w:spacing w:after="80"/>
      </w:pPr>
      <w:r>
        <w:t>No export/addendum generation</w:t>
      </w:r>
    </w:p>
    <w:p>
      <w:pPr>
        <w:pStyle w:val="ListBullet"/>
        <w:spacing w:after="80"/>
      </w:pPr>
      <w:r>
        <w:t>Single-value adjustments without supporting ranges</w:t>
      </w:r>
    </w:p>
    <w:p>
      <w:pPr>
        <w:pStyle w:val="Heading3"/>
        <w:spacing w:after="120"/>
      </w:pPr>
      <w:r>
        <w:rPr>
          <w:b/>
          <w:color w:val="2C3E50"/>
          <w:sz w:val="28"/>
        </w:rPr>
        <w:t>New System Improvements:</w:t>
      </w:r>
    </w:p>
    <w:p>
      <w:pPr>
        <w:pStyle w:val="ListBullet"/>
        <w:spacing w:after="80"/>
      </w:pPr>
      <w:r>
        <w:t>Real MLS CSV data import with intelligent field mapping</w:t>
      </w:r>
    </w:p>
    <w:p>
      <w:pPr>
        <w:pStyle w:val="ListBullet"/>
        <w:spacing w:after="80"/>
      </w:pPr>
      <w:r>
        <w:t>Four recognized analytical methodologies applied simultaneously</w:t>
      </w:r>
    </w:p>
    <w:p>
      <w:pPr>
        <w:pStyle w:val="ListBullet"/>
        <w:spacing w:after="80"/>
      </w:pPr>
      <w:r>
        <w:t>Transparent data ranges with confidence indicators</w:t>
      </w:r>
    </w:p>
    <w:p>
      <w:pPr>
        <w:pStyle w:val="ListBullet"/>
        <w:spacing w:after="80"/>
      </w:pPr>
      <w:r>
        <w:t>Appraiser-controlled final value selection with justification documentation</w:t>
      </w:r>
    </w:p>
    <w:p>
      <w:pPr>
        <w:pStyle w:val="ListBullet"/>
        <w:spacing w:after="80"/>
      </w:pPr>
      <w:r>
        <w:t>Automated addendum text generation for appraisal reports</w:t>
      </w:r>
    </w:p>
    <w:p>
      <w:pPr>
        <w:pStyle w:val="ListBullet"/>
        <w:spacing w:after="80"/>
      </w:pPr>
      <w:r>
        <w:t>Full export capability (HTML report, CSV, printable documentation)</w:t>
      </w:r>
    </w:p>
    <w:p>
      <w:pPr>
        <w:pStyle w:val="ListBullet"/>
        <w:spacing w:after="80"/>
      </w:pPr>
      <w:r>
        <w:t>USPAP-compliant positioning throughout</w:t>
      </w:r>
    </w:p>
    <w:p>
      <w:r>
        <w:br w:type="page"/>
      </w:r>
    </w:p>
    <w:p>
      <w:pPr>
        <w:pStyle w:val="Heading1"/>
        <w:spacing w:after="240"/>
      </w:pPr>
      <w:r>
        <w:rPr>
          <w:b/>
          <w:color w:val="2C3E50"/>
          <w:sz w:val="56"/>
        </w:rPr>
        <w:t>3. System Architecture</w:t>
      </w:r>
    </w:p>
    <w:p>
      <w:pPr>
        <w:pStyle w:val="Heading2"/>
        <w:spacing w:after="200"/>
      </w:pPr>
      <w:r>
        <w:rPr>
          <w:b/>
          <w:color w:val="2C3E50"/>
          <w:sz w:val="48"/>
        </w:rPr>
        <w:t>3.1 Workflow Design — 4 phases:</w:t>
      </w:r>
    </w:p>
    <w:p>
      <w:pPr>
        <w:pStyle w:val="ListBullet"/>
        <w:spacing w:after="80"/>
      </w:pPr>
      <w:r>
        <w:t>Phase 1: Data Input (CSV upload, field mapping, filtering)</w:t>
      </w:r>
    </w:p>
    <w:p>
      <w:pPr>
        <w:pStyle w:val="ListBullet"/>
        <w:spacing w:after="80"/>
      </w:pPr>
      <w:r>
        <w:t>Phase 2: Analysis (multi-method adjustment calculation)</w:t>
      </w:r>
    </w:p>
    <w:p>
      <w:pPr>
        <w:pStyle w:val="ListBullet"/>
        <w:spacing w:after="80"/>
      </w:pPr>
      <w:r>
        <w:t>Phase 3: Selection (appraiser review and final value assignment)</w:t>
      </w:r>
    </w:p>
    <w:p>
      <w:pPr>
        <w:pStyle w:val="ListBullet"/>
        <w:spacing w:after="80"/>
      </w:pPr>
      <w:r>
        <w:t>Phase 4: Export (documentation, reports, addendum text)</w:t>
      </w:r>
    </w:p>
    <w:p>
      <w:pPr>
        <w:pStyle w:val="Heading2"/>
        <w:spacing w:after="200"/>
      </w:pPr>
      <w:r>
        <w:rPr>
          <w:b/>
          <w:color w:val="2C3E50"/>
          <w:sz w:val="48"/>
        </w:rPr>
        <w:t>3.2 Technology Stack:</w:t>
      </w:r>
    </w:p>
    <w:p>
      <w:pPr>
        <w:pStyle w:val="ListBullet"/>
        <w:spacing w:after="80"/>
      </w:pPr>
      <w:r>
        <w:t>Frontend: Vanilla HTML/CSS/JavaScript (consistent with existing platform)</w:t>
      </w:r>
    </w:p>
    <w:p>
      <w:pPr>
        <w:pStyle w:val="ListBullet"/>
        <w:spacing w:after="80"/>
      </w:pPr>
      <w:r>
        <w:t>CSV Parsing: Papa Parse library</w:t>
      </w:r>
    </w:p>
    <w:p>
      <w:pPr>
        <w:pStyle w:val="ListBullet"/>
        <w:spacing w:after="80"/>
      </w:pPr>
      <w:r>
        <w:t>Statistics: Custom JavaScript implementations</w:t>
      </w:r>
    </w:p>
    <w:p>
      <w:pPr>
        <w:pStyle w:val="ListBullet"/>
        <w:spacing w:after="80"/>
      </w:pPr>
      <w:r>
        <w:t>No external API dependencies</w:t>
      </w:r>
    </w:p>
    <w:p>
      <w:pPr>
        <w:pStyle w:val="ListBullet"/>
        <w:spacing w:after="80"/>
      </w:pPr>
      <w:r>
        <w:t>All processing happens client-side (data never leaves the browser)</w:t>
      </w:r>
    </w:p>
    <w:p>
      <w:pPr>
        <w:pStyle w:val="Heading2"/>
        <w:spacing w:after="200"/>
      </w:pPr>
      <w:r>
        <w:rPr>
          <w:b/>
          <w:color w:val="2C3E50"/>
          <w:sz w:val="48"/>
        </w:rPr>
        <w:t>3.3 Integration Points:</w:t>
      </w:r>
    </w:p>
    <w:p>
      <w:pPr>
        <w:pStyle w:val="ListBullet"/>
        <w:spacing w:after="80"/>
      </w:pPr>
      <w:r>
        <w:t>Integrates into existing App Platform sidebar navigation</w:t>
      </w:r>
    </w:p>
    <w:p>
      <w:pPr>
        <w:pStyle w:val="ListBullet"/>
        <w:spacing w:after="80"/>
      </w:pPr>
      <w:r>
        <w:t>Uses shared design system tokens (Deep Slate, Warm Gold, Inter font)</w:t>
      </w:r>
    </w:p>
    <w:p>
      <w:pPr>
        <w:pStyle w:val="ListBullet"/>
        <w:spacing w:after="80"/>
      </w:pPr>
      <w:r>
        <w:t>Selected adjustments stored in localStorage alongside existing assignment data</w:t>
      </w:r>
    </w:p>
    <w:p>
      <w:pPr>
        <w:pStyle w:val="ListBullet"/>
        <w:spacing w:after="80"/>
      </w:pPr>
      <w:r>
        <w:t>Exportable for use in appraisal report addenda</w:t>
      </w:r>
    </w:p>
    <w:p>
      <w:r>
        <w:br w:type="page"/>
      </w:r>
    </w:p>
    <w:p>
      <w:pPr>
        <w:pStyle w:val="Heading1"/>
        <w:spacing w:after="240"/>
      </w:pPr>
      <w:r>
        <w:rPr>
          <w:b/>
          <w:color w:val="2C3E50"/>
          <w:sz w:val="56"/>
        </w:rPr>
        <w:t>4. Data Structure</w:t>
      </w:r>
    </w:p>
    <w:p>
      <w:pPr>
        <w:pStyle w:val="Heading2"/>
        <w:spacing w:after="200"/>
      </w:pPr>
      <w:r>
        <w:rPr>
          <w:b/>
          <w:color w:val="2C3E50"/>
          <w:sz w:val="48"/>
        </w:rPr>
        <w:t>4.1 MLS Import Schema:</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2C3E50" w:val="clear"/>
          </w:tcPr>
          <w:p>
            <w:r>
              <w:rPr>
                <w:b/>
                <w:color w:val="FFFFFF"/>
              </w:rPr>
              <w:t>Field</w:t>
            </w:r>
          </w:p>
        </w:tc>
        <w:tc>
          <w:tcPr>
            <w:tcW w:type="dxa" w:w="2340"/>
            <w:shd w:fill="2C3E50" w:val="clear"/>
          </w:tcPr>
          <w:p>
            <w:r>
              <w:rPr>
                <w:b/>
                <w:color w:val="FFFFFF"/>
              </w:rPr>
              <w:t>Type</w:t>
            </w:r>
          </w:p>
        </w:tc>
        <w:tc>
          <w:tcPr>
            <w:tcW w:type="dxa" w:w="2340"/>
            <w:shd w:fill="2C3E50" w:val="clear"/>
          </w:tcPr>
          <w:p>
            <w:r>
              <w:rPr>
                <w:b/>
                <w:color w:val="FFFFFF"/>
              </w:rPr>
              <w:t>Required</w:t>
            </w:r>
          </w:p>
        </w:tc>
        <w:tc>
          <w:tcPr>
            <w:tcW w:type="dxa" w:w="2340"/>
            <w:shd w:fill="2C3E50" w:val="clear"/>
          </w:tcPr>
          <w:p>
            <w:r>
              <w:rPr>
                <w:b/>
                <w:color w:val="FFFFFF"/>
              </w:rPr>
              <w:t>Example</w:t>
            </w:r>
          </w:p>
        </w:tc>
      </w:tr>
      <w:tr>
        <w:tc>
          <w:tcPr>
            <w:tcW w:type="dxa" w:w="2340"/>
          </w:tcPr>
          <w:p>
            <w:r>
              <w:t>sale_price</w:t>
            </w:r>
          </w:p>
        </w:tc>
        <w:tc>
          <w:tcPr>
            <w:tcW w:type="dxa" w:w="2340"/>
          </w:tcPr>
          <w:p>
            <w:r>
              <w:t>Number</w:t>
            </w:r>
          </w:p>
        </w:tc>
        <w:tc>
          <w:tcPr>
            <w:tcW w:type="dxa" w:w="2340"/>
          </w:tcPr>
          <w:p>
            <w:r>
              <w:t>Yes</w:t>
            </w:r>
          </w:p>
        </w:tc>
        <w:tc>
          <w:tcPr>
            <w:tcW w:type="dxa" w:w="2340"/>
          </w:tcPr>
          <w:p>
            <w:r>
              <w:t>385000</w:t>
            </w:r>
          </w:p>
        </w:tc>
      </w:tr>
      <w:tr>
        <w:tc>
          <w:tcPr>
            <w:tcW w:type="dxa" w:w="2340"/>
          </w:tcPr>
          <w:p>
            <w:r>
              <w:t>gla</w:t>
            </w:r>
          </w:p>
        </w:tc>
        <w:tc>
          <w:tcPr>
            <w:tcW w:type="dxa" w:w="2340"/>
          </w:tcPr>
          <w:p>
            <w:r>
              <w:t>Number</w:t>
            </w:r>
          </w:p>
        </w:tc>
        <w:tc>
          <w:tcPr>
            <w:tcW w:type="dxa" w:w="2340"/>
          </w:tcPr>
          <w:p>
            <w:r>
              <w:t>Yes</w:t>
            </w:r>
          </w:p>
        </w:tc>
        <w:tc>
          <w:tcPr>
            <w:tcW w:type="dxa" w:w="2340"/>
          </w:tcPr>
          <w:p>
            <w:r>
              <w:t>2150</w:t>
            </w:r>
          </w:p>
        </w:tc>
      </w:tr>
      <w:tr>
        <w:tc>
          <w:tcPr>
            <w:tcW w:type="dxa" w:w="2340"/>
          </w:tcPr>
          <w:p>
            <w:r>
              <w:t>bedrooms</w:t>
            </w:r>
          </w:p>
        </w:tc>
        <w:tc>
          <w:tcPr>
            <w:tcW w:type="dxa" w:w="2340"/>
          </w:tcPr>
          <w:p>
            <w:r>
              <w:t>Integer</w:t>
            </w:r>
          </w:p>
        </w:tc>
        <w:tc>
          <w:tcPr>
            <w:tcW w:type="dxa" w:w="2340"/>
          </w:tcPr>
          <w:p>
            <w:r>
              <w:t>Yes</w:t>
            </w:r>
          </w:p>
        </w:tc>
        <w:tc>
          <w:tcPr>
            <w:tcW w:type="dxa" w:w="2340"/>
          </w:tcPr>
          <w:p>
            <w:r>
              <w:t>3</w:t>
            </w:r>
          </w:p>
        </w:tc>
      </w:tr>
      <w:tr>
        <w:tc>
          <w:tcPr>
            <w:tcW w:type="dxa" w:w="2340"/>
          </w:tcPr>
          <w:p>
            <w:r>
              <w:t>full_baths</w:t>
            </w:r>
          </w:p>
        </w:tc>
        <w:tc>
          <w:tcPr>
            <w:tcW w:type="dxa" w:w="2340"/>
          </w:tcPr>
          <w:p>
            <w:r>
              <w:t>Integer</w:t>
            </w:r>
          </w:p>
        </w:tc>
        <w:tc>
          <w:tcPr>
            <w:tcW w:type="dxa" w:w="2340"/>
          </w:tcPr>
          <w:p>
            <w:r>
              <w:t>Yes</w:t>
            </w:r>
          </w:p>
        </w:tc>
        <w:tc>
          <w:tcPr>
            <w:tcW w:type="dxa" w:w="2340"/>
          </w:tcPr>
          <w:p>
            <w:r>
              <w:t>2</w:t>
            </w:r>
          </w:p>
        </w:tc>
      </w:tr>
      <w:tr>
        <w:tc>
          <w:tcPr>
            <w:tcW w:type="dxa" w:w="2340"/>
          </w:tcPr>
          <w:p>
            <w:r>
              <w:t>half_baths</w:t>
            </w:r>
          </w:p>
        </w:tc>
        <w:tc>
          <w:tcPr>
            <w:tcW w:type="dxa" w:w="2340"/>
          </w:tcPr>
          <w:p>
            <w:r>
              <w:t>Integer</w:t>
            </w:r>
          </w:p>
        </w:tc>
        <w:tc>
          <w:tcPr>
            <w:tcW w:type="dxa" w:w="2340"/>
          </w:tcPr>
          <w:p>
            <w:r>
              <w:t>No</w:t>
            </w:r>
          </w:p>
        </w:tc>
        <w:tc>
          <w:tcPr>
            <w:tcW w:type="dxa" w:w="2340"/>
          </w:tcPr>
          <w:p>
            <w:r>
              <w:t>1</w:t>
            </w:r>
          </w:p>
        </w:tc>
      </w:tr>
      <w:tr>
        <w:tc>
          <w:tcPr>
            <w:tcW w:type="dxa" w:w="2340"/>
          </w:tcPr>
          <w:p>
            <w:r>
              <w:t>garage_spaces</w:t>
            </w:r>
          </w:p>
        </w:tc>
        <w:tc>
          <w:tcPr>
            <w:tcW w:type="dxa" w:w="2340"/>
          </w:tcPr>
          <w:p>
            <w:r>
              <w:t>Integer</w:t>
            </w:r>
          </w:p>
        </w:tc>
        <w:tc>
          <w:tcPr>
            <w:tcW w:type="dxa" w:w="2340"/>
          </w:tcPr>
          <w:p>
            <w:r>
              <w:t>No</w:t>
            </w:r>
          </w:p>
        </w:tc>
        <w:tc>
          <w:tcPr>
            <w:tcW w:type="dxa" w:w="2340"/>
          </w:tcPr>
          <w:p>
            <w:r>
              <w:t>2</w:t>
            </w:r>
          </w:p>
        </w:tc>
      </w:tr>
      <w:tr>
        <w:tc>
          <w:tcPr>
            <w:tcW w:type="dxa" w:w="2340"/>
          </w:tcPr>
          <w:p>
            <w:r>
              <w:t>basement_sqft</w:t>
            </w:r>
          </w:p>
        </w:tc>
        <w:tc>
          <w:tcPr>
            <w:tcW w:type="dxa" w:w="2340"/>
          </w:tcPr>
          <w:p>
            <w:r>
              <w:t>Number</w:t>
            </w:r>
          </w:p>
        </w:tc>
        <w:tc>
          <w:tcPr>
            <w:tcW w:type="dxa" w:w="2340"/>
          </w:tcPr>
          <w:p>
            <w:r>
              <w:t>No</w:t>
            </w:r>
          </w:p>
        </w:tc>
        <w:tc>
          <w:tcPr>
            <w:tcW w:type="dxa" w:w="2340"/>
          </w:tcPr>
          <w:p>
            <w:r>
              <w:t>800</w:t>
            </w:r>
          </w:p>
        </w:tc>
      </w:tr>
      <w:tr>
        <w:tc>
          <w:tcPr>
            <w:tcW w:type="dxa" w:w="2340"/>
          </w:tcPr>
          <w:p>
            <w:r>
              <w:t>lot_size_sqft</w:t>
            </w:r>
          </w:p>
        </w:tc>
        <w:tc>
          <w:tcPr>
            <w:tcW w:type="dxa" w:w="2340"/>
          </w:tcPr>
          <w:p>
            <w:r>
              <w:t>Number</w:t>
            </w:r>
          </w:p>
        </w:tc>
        <w:tc>
          <w:tcPr>
            <w:tcW w:type="dxa" w:w="2340"/>
          </w:tcPr>
          <w:p>
            <w:r>
              <w:t>No</w:t>
            </w:r>
          </w:p>
        </w:tc>
        <w:tc>
          <w:tcPr>
            <w:tcW w:type="dxa" w:w="2340"/>
          </w:tcPr>
          <w:p>
            <w:r>
              <w:t>12500</w:t>
            </w:r>
          </w:p>
        </w:tc>
      </w:tr>
      <w:tr>
        <w:tc>
          <w:tcPr>
            <w:tcW w:type="dxa" w:w="2340"/>
          </w:tcPr>
          <w:p>
            <w:r>
              <w:t>year_built</w:t>
            </w:r>
          </w:p>
        </w:tc>
        <w:tc>
          <w:tcPr>
            <w:tcW w:type="dxa" w:w="2340"/>
          </w:tcPr>
          <w:p>
            <w:r>
              <w:t>Integer</w:t>
            </w:r>
          </w:p>
        </w:tc>
        <w:tc>
          <w:tcPr>
            <w:tcW w:type="dxa" w:w="2340"/>
          </w:tcPr>
          <w:p>
            <w:r>
              <w:t>No</w:t>
            </w:r>
          </w:p>
        </w:tc>
        <w:tc>
          <w:tcPr>
            <w:tcW w:type="dxa" w:w="2340"/>
          </w:tcPr>
          <w:p>
            <w:r>
              <w:t>1998</w:t>
            </w:r>
          </w:p>
        </w:tc>
      </w:tr>
      <w:tr>
        <w:tc>
          <w:tcPr>
            <w:tcW w:type="dxa" w:w="2340"/>
          </w:tcPr>
          <w:p>
            <w:r>
              <w:t>sale_date</w:t>
            </w:r>
          </w:p>
        </w:tc>
        <w:tc>
          <w:tcPr>
            <w:tcW w:type="dxa" w:w="2340"/>
          </w:tcPr>
          <w:p>
            <w:r>
              <w:t>Date</w:t>
            </w:r>
          </w:p>
        </w:tc>
        <w:tc>
          <w:tcPr>
            <w:tcW w:type="dxa" w:w="2340"/>
          </w:tcPr>
          <w:p>
            <w:r>
              <w:t>Yes</w:t>
            </w:r>
          </w:p>
        </w:tc>
        <w:tc>
          <w:tcPr>
            <w:tcW w:type="dxa" w:w="2340"/>
          </w:tcPr>
          <w:p>
            <w:r>
              <w:t>2025-09-15</w:t>
            </w:r>
          </w:p>
        </w:tc>
      </w:tr>
      <w:tr>
        <w:tc>
          <w:tcPr>
            <w:tcW w:type="dxa" w:w="2340"/>
          </w:tcPr>
          <w:p>
            <w:r>
              <w:t>address</w:t>
            </w:r>
          </w:p>
        </w:tc>
        <w:tc>
          <w:tcPr>
            <w:tcW w:type="dxa" w:w="2340"/>
          </w:tcPr>
          <w:p>
            <w:r>
              <w:t>String</w:t>
            </w:r>
          </w:p>
        </w:tc>
        <w:tc>
          <w:tcPr>
            <w:tcW w:type="dxa" w:w="2340"/>
          </w:tcPr>
          <w:p>
            <w:r>
              <w:t>No</w:t>
            </w:r>
          </w:p>
        </w:tc>
        <w:tc>
          <w:tcPr>
            <w:tcW w:type="dxa" w:w="2340"/>
          </w:tcPr>
          <w:p>
            <w:r>
              <w:t>123 Oak St</w:t>
            </w:r>
          </w:p>
        </w:tc>
      </w:tr>
      <w:tr>
        <w:tc>
          <w:tcPr>
            <w:tcW w:type="dxa" w:w="2340"/>
          </w:tcPr>
          <w:p>
            <w:r>
              <w:t>subdivision</w:t>
            </w:r>
          </w:p>
        </w:tc>
        <w:tc>
          <w:tcPr>
            <w:tcW w:type="dxa" w:w="2340"/>
          </w:tcPr>
          <w:p>
            <w:r>
              <w:t>String</w:t>
            </w:r>
          </w:p>
        </w:tc>
        <w:tc>
          <w:tcPr>
            <w:tcW w:type="dxa" w:w="2340"/>
          </w:tcPr>
          <w:p>
            <w:r>
              <w:t>No</w:t>
            </w:r>
          </w:p>
        </w:tc>
        <w:tc>
          <w:tcPr>
            <w:tcW w:type="dxa" w:w="2340"/>
          </w:tcPr>
          <w:p>
            <w:r>
              <w:t>Woodcroft</w:t>
            </w:r>
          </w:p>
        </w:tc>
      </w:tr>
    </w:tbl>
    <w:p>
      <w:pPr>
        <w:pStyle w:val="Heading2"/>
        <w:spacing w:after="200"/>
      </w:pPr>
      <w:r>
        <w:rPr>
          <w:b/>
          <w:color w:val="2C3E50"/>
          <w:sz w:val="48"/>
        </w:rPr>
        <w:t>4.2 Auto-Mapping Rules:</w:t>
      </w:r>
    </w:p>
    <w:p>
      <w:pPr>
        <w:spacing w:after="120"/>
      </w:pPr>
      <w:r>
        <w:rPr>
          <w:b w:val="0"/>
          <w:sz w:val="22"/>
        </w:rPr>
        <w:t>The system recognizes common MLS field variations:</w:t>
      </w:r>
    </w:p>
    <w:p>
      <w:pPr>
        <w:pStyle w:val="ListBullet"/>
        <w:spacing w:after="80"/>
      </w:pPr>
      <w:r>
        <w:t>Sale Price: "Sale Price", "SalePrice", "SALE_PRICE", "Close Price", "Sold Price", "SP"</w:t>
      </w:r>
    </w:p>
    <w:p>
      <w:pPr>
        <w:pStyle w:val="ListBullet"/>
        <w:spacing w:after="80"/>
      </w:pPr>
      <w:r>
        <w:t>GLA: "GLA", "Living Area", "Above Grade", "SqFt", "Total SqFt", "AGLA"</w:t>
      </w:r>
    </w:p>
    <w:p>
      <w:pPr>
        <w:pStyle w:val="ListBullet"/>
        <w:spacing w:after="80"/>
      </w:pPr>
      <w:r>
        <w:t>Bedrooms: "Bedrooms", "Beds", "BR", "Bed", "BedRms"</w:t>
      </w:r>
    </w:p>
    <w:p>
      <w:pPr>
        <w:pStyle w:val="ListBullet"/>
        <w:spacing w:after="80"/>
      </w:pPr>
      <w:r>
        <w:t>Full Baths: "Full Baths", "FullBaths", "FB", "FBaths"</w:t>
      </w:r>
    </w:p>
    <w:p>
      <w:pPr>
        <w:pStyle w:val="ListBullet"/>
        <w:spacing w:after="80"/>
      </w:pPr>
      <w:r>
        <w:t>Half Baths: "Half Baths", "HalfBaths", "HB", "HBaths"</w:t>
      </w:r>
    </w:p>
    <w:p>
      <w:pPr>
        <w:pStyle w:val="ListBullet"/>
        <w:spacing w:after="80"/>
      </w:pPr>
      <w:r>
        <w:t>Garage: "Garage", "Garage Spaces", "Gar", "GarSpaces"</w:t>
      </w:r>
    </w:p>
    <w:p>
      <w:pPr>
        <w:pStyle w:val="ListBullet"/>
        <w:spacing w:after="80"/>
      </w:pPr>
      <w:r>
        <w:t>Basement: "Basement", "BSMT", "Below Grade", "BasementSqFt"</w:t>
      </w:r>
    </w:p>
    <w:p>
      <w:pPr>
        <w:pStyle w:val="ListBullet"/>
        <w:spacing w:after="80"/>
      </w:pPr>
      <w:r>
        <w:t>Lot Size: "Lot Size", "LotSize", "Lot SqFt", "Lot Area", "LotAcres"</w:t>
      </w:r>
    </w:p>
    <w:p>
      <w:pPr>
        <w:pStyle w:val="ListBullet"/>
        <w:spacing w:after="80"/>
      </w:pPr>
      <w:r>
        <w:t>Year Built: "Year Built", "YearBuilt", "YrBlt", "Built"</w:t>
      </w:r>
    </w:p>
    <w:p>
      <w:pPr>
        <w:pStyle w:val="ListBullet"/>
        <w:spacing w:after="80"/>
      </w:pPr>
      <w:r>
        <w:t>Sale Date: "Sale Date", "SaleDate", "Close Date", "Sold Date", "CloseDate"</w:t>
      </w:r>
    </w:p>
    <w:p>
      <w:r>
        <w:br w:type="page"/>
      </w:r>
    </w:p>
    <w:p>
      <w:pPr>
        <w:pStyle w:val="Heading2"/>
        <w:spacing w:after="200"/>
      </w:pPr>
      <w:r>
        <w:rPr>
          <w:b/>
          <w:color w:val="2C3E50"/>
          <w:sz w:val="48"/>
        </w:rPr>
        <w:t>4.3 Adjustment Result Object:</w:t>
      </w:r>
    </w:p>
    <w:p>
      <w:pPr>
        <w:spacing w:after="40"/>
      </w:pPr>
      <w:r>
        <w:rPr>
          <w:rFonts w:ascii="Courier New" w:hAnsi="Courier New"/>
          <w:sz w:val="20"/>
        </w:rPr>
        <w:t>{</w:t>
      </w:r>
    </w:p>
    <w:p>
      <w:pPr>
        <w:spacing w:after="40"/>
      </w:pPr>
      <w:r>
        <w:rPr>
          <w:rFonts w:ascii="Courier New" w:hAnsi="Courier New"/>
          <w:sz w:val="20"/>
        </w:rPr>
        <w:t xml:space="preserve">  category: "gla",</w:t>
      </w:r>
    </w:p>
    <w:p>
      <w:pPr>
        <w:spacing w:after="40"/>
      </w:pPr>
      <w:r>
        <w:rPr>
          <w:rFonts w:ascii="Courier New" w:hAnsi="Courier New"/>
          <w:sz w:val="20"/>
        </w:rPr>
        <w:t xml:space="preserve">  unit: "per sq ft",</w:t>
      </w:r>
    </w:p>
    <w:p>
      <w:pPr>
        <w:spacing w:after="40"/>
      </w:pPr>
      <w:r>
        <w:rPr>
          <w:rFonts w:ascii="Courier New" w:hAnsi="Courier New"/>
          <w:sz w:val="20"/>
        </w:rPr>
        <w:t xml:space="preserve">  pairedSales: { median: 25.60, mean: 26.10, range: [22.00, 28.50], pairs: 8 },</w:t>
      </w:r>
    </w:p>
    <w:p>
      <w:pPr>
        <w:spacing w:after="40"/>
      </w:pPr>
      <w:r>
        <w:rPr>
          <w:rFonts w:ascii="Courier New" w:hAnsi="Courier New"/>
          <w:sz w:val="20"/>
        </w:rPr>
        <w:t xml:space="preserve">  groupedData: { median: 27.75, range: [24.30, 31.20], groups: 4 },</w:t>
      </w:r>
    </w:p>
    <w:p>
      <w:pPr>
        <w:spacing w:after="40"/>
      </w:pPr>
      <w:r>
        <w:rPr>
          <w:rFonts w:ascii="Courier New" w:hAnsi="Courier New"/>
          <w:sz w:val="20"/>
        </w:rPr>
        <w:t xml:space="preserve">  regression: { coefficient: 25.60, rSquared: 0.72, stdError: 3.40, pValue: 0.001, ci95: [18.94, 32.26] },</w:t>
      </w:r>
    </w:p>
    <w:p>
      <w:pPr>
        <w:spacing w:after="40"/>
      </w:pPr>
      <w:r>
        <w:rPr>
          <w:rFonts w:ascii="Courier New" w:hAnsi="Courier New"/>
          <w:sz w:val="20"/>
        </w:rPr>
        <w:t xml:space="preserve">  costRef: { low: 100, high: 150, note: "Local construction cost" },</w:t>
      </w:r>
    </w:p>
    <w:p>
      <w:pPr>
        <w:spacing w:after="40"/>
      </w:pPr>
      <w:r>
        <w:rPr>
          <w:rFonts w:ascii="Courier New" w:hAnsi="Courier New"/>
          <w:sz w:val="20"/>
        </w:rPr>
        <w:t xml:space="preserve">  combinedRange: [18.50, 32.75],</w:t>
      </w:r>
    </w:p>
    <w:p>
      <w:pPr>
        <w:spacing w:after="40"/>
      </w:pPr>
      <w:r>
        <w:rPr>
          <w:rFonts w:ascii="Courier New" w:hAnsi="Courier New"/>
          <w:sz w:val="20"/>
        </w:rPr>
        <w:t xml:space="preserve">  confidence: "HIGH",</w:t>
      </w:r>
    </w:p>
    <w:p>
      <w:pPr>
        <w:spacing w:after="40"/>
      </w:pPr>
      <w:r>
        <w:rPr>
          <w:rFonts w:ascii="Courier New" w:hAnsi="Courier New"/>
          <w:sz w:val="20"/>
        </w:rPr>
        <w:t xml:space="preserve">  selectedValue: null,</w:t>
      </w:r>
    </w:p>
    <w:p>
      <w:pPr>
        <w:spacing w:after="40"/>
      </w:pPr>
      <w:r>
        <w:rPr>
          <w:rFonts w:ascii="Courier New" w:hAnsi="Courier New"/>
          <w:sz w:val="20"/>
        </w:rPr>
        <w:t xml:space="preserve">  justification: ""</w:t>
      </w:r>
    </w:p>
    <w:p>
      <w:pPr>
        <w:spacing w:after="40"/>
      </w:pPr>
      <w:r>
        <w:rPr>
          <w:rFonts w:ascii="Courier New" w:hAnsi="Courier New"/>
          <w:sz w:val="20"/>
        </w:rPr>
        <w:t>}</w:t>
      </w:r>
    </w:p>
    <w:p>
      <w:r>
        <w:br w:type="page"/>
      </w:r>
    </w:p>
    <w:p>
      <w:pPr>
        <w:pStyle w:val="Heading1"/>
        <w:spacing w:after="240"/>
      </w:pPr>
      <w:r>
        <w:rPr>
          <w:b/>
          <w:color w:val="2C3E50"/>
          <w:sz w:val="56"/>
        </w:rPr>
        <w:t>5. Calculation Logic</w:t>
      </w:r>
    </w:p>
    <w:p>
      <w:pPr>
        <w:pStyle w:val="Heading2"/>
        <w:spacing w:after="200"/>
      </w:pPr>
      <w:r>
        <w:rPr>
          <w:b/>
          <w:color w:val="2C3E50"/>
          <w:sz w:val="48"/>
        </w:rPr>
        <w:t>5.1 Paired Sales Analysis:</w:t>
      </w:r>
    </w:p>
    <w:p>
      <w:pPr>
        <w:spacing w:after="120"/>
      </w:pPr>
      <w:r>
        <w:rPr>
          <w:b w:val="0"/>
          <w:sz w:val="22"/>
        </w:rPr>
        <w:t>Algorithm: For each unique pair of sales (i, j), calculate a similarity score based on how closely they match on all features EXCEPT the one being analyzed. Pairs must be within 15% GLA (unless analyzing GLA), within ±1 bedroom, within ±1 bathroom, and sold within 12 months of each other. For qualifying pairs, the indicated adjustment = (Price_i - Price_j) / (Feature_i - Feature_j). Outliers beyond 2 standard deviations from the mean are removed. The final output is the median, mean, and range of indicated adjustments, plus the number of qualifying pairs.</w:t>
      </w:r>
    </w:p>
    <w:p>
      <w:pPr>
        <w:pStyle w:val="Heading2"/>
        <w:spacing w:after="200"/>
      </w:pPr>
      <w:r>
        <w:rPr>
          <w:b/>
          <w:color w:val="2C3E50"/>
          <w:sz w:val="48"/>
        </w:rPr>
        <w:t>5.2 Grouped Data Analysis:</w:t>
      </w:r>
    </w:p>
    <w:p>
      <w:pPr>
        <w:spacing w:after="120"/>
      </w:pPr>
      <w:r>
        <w:rPr>
          <w:b w:val="0"/>
          <w:sz w:val="22"/>
        </w:rPr>
        <w:t>For categorical features (bedrooms, baths, garage): Group all sales by feature value. Calculate median sale price per group. The indicated adjustment = difference in median prices between adjacent groups. For continuous features (GLA, lot size): Split into quartiles based on feature value. Calculate median price and median feature value per quartile. The indicated rate = (median_price_Q4 - median_price_Q1) / (median_feature_Q4 - median_feature_Q1).</w:t>
      </w:r>
    </w:p>
    <w:p>
      <w:pPr>
        <w:pStyle w:val="Heading2"/>
        <w:spacing w:after="200"/>
      </w:pPr>
      <w:r>
        <w:rPr>
          <w:b/>
          <w:color w:val="2C3E50"/>
          <w:sz w:val="48"/>
        </w:rPr>
        <w:t>5.3 Regression Analysis:</w:t>
      </w:r>
    </w:p>
    <w:p>
      <w:pPr>
        <w:spacing w:after="120"/>
      </w:pPr>
      <w:r>
        <w:rPr>
          <w:b w:val="0"/>
          <w:sz w:val="22"/>
        </w:rPr>
        <w:t>Simple linear regression: y = a + bx, where y = sale price and x = the feature being analyzed.</w:t>
      </w:r>
    </w:p>
    <w:p>
      <w:pPr>
        <w:spacing w:after="80"/>
      </w:pPr>
      <w:r>
        <w:t>Coefficient b = sum((xi - x_mean)(yi - y_mean)) / sum((xi - x_mean)^2)</w:t>
      </w:r>
    </w:p>
    <w:p>
      <w:pPr>
        <w:spacing w:after="80"/>
      </w:pPr>
      <w:r>
        <w:t>Intercept a = y_mean - b * x_mean</w:t>
      </w:r>
    </w:p>
    <w:p>
      <w:pPr>
        <w:spacing w:after="80"/>
      </w:pPr>
      <w:r>
        <w:t>R-squared = 1 - (SS_residual / SS_total)</w:t>
      </w:r>
    </w:p>
    <w:p>
      <w:pPr>
        <w:spacing w:after="80"/>
      </w:pPr>
      <w:r>
        <w:t>Standard Error of b = sqrt(SS_residual / ((n-2) * sum((xi - x_mean)^2)))</w:t>
      </w:r>
    </w:p>
    <w:p>
      <w:pPr>
        <w:spacing w:after="80"/>
      </w:pPr>
      <w:r>
        <w:t>95% Confidence Interval = b ± 1.96 * SE</w:t>
      </w:r>
    </w:p>
    <w:p>
      <w:pPr>
        <w:spacing w:after="80"/>
      </w:pPr>
      <w:r>
        <w:t>P-value approximated using t-distribution</w:t>
      </w:r>
    </w:p>
    <w:p>
      <w:pPr>
        <w:pStyle w:val="Heading2"/>
        <w:spacing w:after="200"/>
      </w:pPr>
      <w:r>
        <w:rPr>
          <w:b/>
          <w:color w:val="2C3E50"/>
          <w:sz w:val="48"/>
        </w:rPr>
        <w:t>5.4 Cost Reference:</w:t>
      </w:r>
    </w:p>
    <w:p>
      <w:pPr>
        <w:spacing w:after="120"/>
      </w:pPr>
      <w:r>
        <w:rPr>
          <w:b w:val="0"/>
          <w:sz w:val="22"/>
        </w:rPr>
        <w:t>Not a market-derived method. Provides construction/renovation cost benchmarks as supplementary context:</w:t>
      </w:r>
    </w:p>
    <w:p>
      <w:pPr>
        <w:pStyle w:val="ListBullet"/>
        <w:spacing w:after="80"/>
      </w:pPr>
      <w:r>
        <w:t>GLA: $100-150/sf new construction</w:t>
      </w:r>
    </w:p>
    <w:p>
      <w:pPr>
        <w:pStyle w:val="ListBullet"/>
        <w:spacing w:after="80"/>
      </w:pPr>
      <w:r>
        <w:t>Full Bath addition: $15,000-35,000</w:t>
      </w:r>
    </w:p>
    <w:p>
      <w:pPr>
        <w:pStyle w:val="ListBullet"/>
        <w:spacing w:after="80"/>
      </w:pPr>
      <w:r>
        <w:t>Half Bath: $8,000-18,000</w:t>
      </w:r>
    </w:p>
    <w:p>
      <w:pPr>
        <w:pStyle w:val="ListBullet"/>
        <w:spacing w:after="80"/>
      </w:pPr>
      <w:r>
        <w:t>Garage (per space): $15,000-30,000</w:t>
      </w:r>
    </w:p>
    <w:p>
      <w:pPr>
        <w:pStyle w:val="ListBullet"/>
        <w:spacing w:after="80"/>
      </w:pPr>
      <w:r>
        <w:t>Basement finishing: $30-60/sf</w:t>
      </w:r>
    </w:p>
    <w:p>
      <w:pPr>
        <w:pStyle w:val="ListBullet"/>
        <w:spacing w:after="80"/>
      </w:pPr>
      <w:r>
        <w:t>Bedroom addition: $20,000-50,000</w:t>
      </w:r>
    </w:p>
    <w:p>
      <w:pPr>
        <w:pStyle w:val="Heading2"/>
        <w:spacing w:after="200"/>
      </w:pPr>
      <w:r>
        <w:rPr>
          <w:b/>
          <w:color w:val="2C3E50"/>
          <w:sz w:val="48"/>
        </w:rPr>
        <w:t>5.5 Confidence Scoring:</w:t>
      </w:r>
    </w:p>
    <w:p>
      <w:pPr>
        <w:pStyle w:val="ListBullet"/>
        <w:spacing w:after="80"/>
      </w:pPr>
      <w:r>
        <w:t>HIGH: 3+ methods produce results within 20% of each other, and at least 15 data points</w:t>
      </w:r>
    </w:p>
    <w:p>
      <w:pPr>
        <w:pStyle w:val="ListBullet"/>
        <w:spacing w:after="80"/>
      </w:pPr>
      <w:r>
        <w:t>MEDIUM: 2+ methods within 30%, or at least 8 data points</w:t>
      </w:r>
    </w:p>
    <w:p>
      <w:pPr>
        <w:pStyle w:val="ListBullet"/>
        <w:spacing w:after="80"/>
      </w:pPr>
      <w:r>
        <w:t>LOW: Wide divergence between methods, or fewer than 8 data points</w:t>
      </w:r>
    </w:p>
    <w:p>
      <w:r>
        <w:br w:type="page"/>
      </w:r>
    </w:p>
    <w:p>
      <w:pPr>
        <w:pStyle w:val="Heading1"/>
        <w:spacing w:after="240"/>
      </w:pPr>
      <w:r>
        <w:rPr>
          <w:b/>
          <w:color w:val="2C3E50"/>
          <w:sz w:val="56"/>
        </w:rPr>
        <w:t>6. UI/UX Design</w:t>
      </w:r>
    </w:p>
    <w:p>
      <w:pPr>
        <w:pStyle w:val="Heading2"/>
        <w:spacing w:after="200"/>
      </w:pPr>
      <w:r>
        <w:rPr>
          <w:b/>
          <w:color w:val="2C3E50"/>
          <w:sz w:val="48"/>
        </w:rPr>
        <w:t>6.1 Layout:</w:t>
      </w:r>
    </w:p>
    <w:p>
      <w:pPr>
        <w:spacing w:after="120"/>
      </w:pPr>
      <w:r>
        <w:rPr>
          <w:b w:val="0"/>
          <w:sz w:val="22"/>
        </w:rPr>
        <w:t>Single-page application with tabbed workflow (4 phases). Step indicator at top shows progress. Free navigation between phases (not locked linear).</w:t>
      </w:r>
    </w:p>
    <w:p>
      <w:pPr>
        <w:pStyle w:val="Heading2"/>
        <w:spacing w:after="200"/>
      </w:pPr>
      <w:r>
        <w:rPr>
          <w:b/>
          <w:color w:val="2C3E50"/>
          <w:sz w:val="48"/>
        </w:rPr>
        <w:t>6.2 Phase 1 (Data Input):</w:t>
      </w:r>
    </w:p>
    <w:p>
      <w:pPr>
        <w:spacing w:after="120"/>
      </w:pPr>
      <w:r>
        <w:rPr>
          <w:b w:val="0"/>
          <w:sz w:val="22"/>
        </w:rPr>
        <w:t>Drag-and-drop CSV upload, auto-mapping with manual override, filters (date, price, GLA, location), data preview table with sorting and missing data highlighting.</w:t>
      </w:r>
    </w:p>
    <w:p>
      <w:pPr>
        <w:pStyle w:val="Heading2"/>
        <w:spacing w:after="200"/>
      </w:pPr>
      <w:r>
        <w:rPr>
          <w:b/>
          <w:color w:val="2C3E50"/>
          <w:sz w:val="48"/>
        </w:rPr>
        <w:t>6.3 Phase 2 (Analysis):</w:t>
      </w:r>
    </w:p>
    <w:p>
      <w:pPr>
        <w:spacing w:after="120"/>
      </w:pPr>
      <w:r>
        <w:rPr>
          <w:b w:val="0"/>
          <w:sz w:val="22"/>
        </w:rPr>
        <w:t>Category selector tabs for each adjustment type. Each category shows all 4 methods side-by-side with full transparency: data points used, outliers removed, calculations shown.</w:t>
      </w:r>
    </w:p>
    <w:p>
      <w:pPr>
        <w:pStyle w:val="Heading2"/>
        <w:spacing w:after="200"/>
      </w:pPr>
      <w:r>
        <w:rPr>
          <w:b/>
          <w:color w:val="2C3E50"/>
          <w:sz w:val="48"/>
        </w:rPr>
        <w:t>6.4 Phase 3 (Selection):</w:t>
      </w:r>
    </w:p>
    <w:p>
      <w:pPr>
        <w:spacing w:after="120"/>
      </w:pPr>
      <w:r>
        <w:rPr>
          <w:b w:val="0"/>
          <w:sz w:val="22"/>
        </w:rPr>
        <w:t>Card per category showing visual range bar, method breakdown, editable input for appraiser's selected value, justification textarea, confidence badge. Warning if value is outside calculated range.</w:t>
      </w:r>
    </w:p>
    <w:p>
      <w:pPr>
        <w:pStyle w:val="Heading2"/>
        <w:spacing w:after="200"/>
      </w:pPr>
      <w:r>
        <w:rPr>
          <w:b/>
          <w:color w:val="2C3E50"/>
          <w:sz w:val="48"/>
        </w:rPr>
        <w:t>6.5 Phase 4 (Export):</w:t>
      </w:r>
    </w:p>
    <w:p>
      <w:pPr>
        <w:spacing w:after="120"/>
      </w:pPr>
      <w:r>
        <w:rPr>
          <w:b w:val="0"/>
          <w:sz w:val="22"/>
        </w:rPr>
        <w:t>Three export options — printable HTML summary report, CSV download, addendum text generator with USPAP-appropriate language.</w:t>
      </w:r>
    </w:p>
    <w:p>
      <w:r>
        <w:br w:type="page"/>
      </w:r>
    </w:p>
    <w:p>
      <w:pPr>
        <w:pStyle w:val="Heading1"/>
        <w:spacing w:after="240"/>
      </w:pPr>
      <w:r>
        <w:rPr>
          <w:b/>
          <w:color w:val="2C3E50"/>
          <w:sz w:val="56"/>
        </w:rPr>
        <w:t>7. Sample Output</w:t>
      </w:r>
    </w:p>
    <w:p>
      <w:pPr>
        <w:spacing w:after="120"/>
      </w:pPr>
      <w:r>
        <w:rPr>
          <w:b w:val="0"/>
          <w:sz w:val="22"/>
        </w:rPr>
        <w:t>Example for GLA Adjustment:</w:t>
      </w:r>
    </w:p>
    <w:p>
      <w:pPr>
        <w:pStyle w:val="ListBullet"/>
        <w:spacing w:after="80"/>
      </w:pPr>
      <w:r>
        <w:t>Paired Sales: $22.00 – $28.50/sf (8 valid pairs, median $25.60)</w:t>
      </w:r>
    </w:p>
    <w:p>
      <w:pPr>
        <w:pStyle w:val="ListBullet"/>
        <w:spacing w:after="80"/>
      </w:pPr>
      <w:r>
        <w:t>Grouped Data: $24.30 – $31.20/sf (4 quartile groups, 30 records)</w:t>
      </w:r>
    </w:p>
    <w:p>
      <w:pPr>
        <w:pStyle w:val="ListBullet"/>
        <w:spacing w:after="80"/>
      </w:pPr>
      <w:r>
        <w:t>Regression: $25.60/sf ± $3.40 (R²=0.72, p&lt;0.001, n=30)</w:t>
      </w:r>
    </w:p>
    <w:p>
      <w:pPr>
        <w:pStyle w:val="ListBullet"/>
        <w:spacing w:after="80"/>
      </w:pPr>
      <w:r>
        <w:t>Cost Reference: $100-150/sf (new construction benchmark)</w:t>
      </w:r>
    </w:p>
    <w:p>
      <w:pPr>
        <w:pStyle w:val="ListBullet"/>
        <w:spacing w:after="80"/>
      </w:pPr>
      <w:r>
        <w:t>Combined Range: $18.50 – $32.75/sf</w:t>
      </w:r>
    </w:p>
    <w:p>
      <w:pPr>
        <w:pStyle w:val="ListBullet"/>
        <w:spacing w:after="80"/>
      </w:pPr>
      <w:r>
        <w:t>Confidence: HIGH</w:t>
      </w:r>
    </w:p>
    <w:p>
      <w:pPr>
        <w:pStyle w:val="ListBullet"/>
        <w:spacing w:after="80"/>
      </w:pPr>
      <w:r>
        <w:t>Appraiser Selected: $25.00/sf</w:t>
      </w:r>
    </w:p>
    <w:p>
      <w:pPr>
        <w:pStyle w:val="ListBullet"/>
        <w:spacing w:after="80"/>
      </w:pPr>
      <w:r>
        <w:t>Justification: "Selected near regression midpoint and paired sales median. Consistent with market activity in subject's price range. Supported by 8 matched pairs and strong regression correlation."</w:t>
      </w:r>
    </w:p>
    <w:p>
      <w:r>
        <w:br w:type="page"/>
      </w:r>
    </w:p>
    <w:p>
      <w:pPr>
        <w:pStyle w:val="Heading1"/>
        <w:spacing w:after="240"/>
      </w:pPr>
      <w:r>
        <w:rPr>
          <w:b/>
          <w:color w:val="2C3E50"/>
          <w:sz w:val="56"/>
        </w:rPr>
        <w:t>8. Implementation Approach</w:t>
      </w:r>
    </w:p>
    <w:p>
      <w:pPr>
        <w:pStyle w:val="Heading2"/>
        <w:spacing w:after="200"/>
      </w:pPr>
      <w:r>
        <w:rPr>
          <w:b/>
          <w:color w:val="2C3E50"/>
          <w:sz w:val="48"/>
        </w:rPr>
        <w:t>8.1 Integration:</w:t>
      </w:r>
    </w:p>
    <w:p>
      <w:pPr>
        <w:spacing w:after="120"/>
      </w:pPr>
      <w:r>
        <w:rPr>
          <w:b w:val="0"/>
          <w:sz w:val="22"/>
        </w:rPr>
        <w:t>Add "Adjustment Analysis" to App Platform sidebar under the Appraisal section. Loads the standalone tool within the app shell's main content area.</w:t>
      </w:r>
    </w:p>
    <w:p>
      <w:pPr>
        <w:pStyle w:val="Heading2"/>
        <w:spacing w:after="200"/>
      </w:pPr>
      <w:r>
        <w:rPr>
          <w:b/>
          <w:color w:val="2C3E50"/>
          <w:sz w:val="48"/>
        </w:rPr>
        <w:t>8.2 Data Flow:</w:t>
      </w:r>
    </w:p>
    <w:p>
      <w:pPr>
        <w:spacing w:after="120"/>
      </w:pPr>
      <w:r>
        <w:rPr>
          <w:b w:val="0"/>
          <w:sz w:val="22"/>
        </w:rPr>
        <w:t>CSV Upload → Papa Parse → Field Mapping → Filtered Dataset → Statistical Engine → Results → Appraiser Selection → Export</w:t>
      </w:r>
    </w:p>
    <w:p>
      <w:pPr>
        <w:pStyle w:val="Heading2"/>
        <w:spacing w:after="200"/>
      </w:pPr>
      <w:r>
        <w:rPr>
          <w:b/>
          <w:color w:val="2C3E50"/>
          <w:sz w:val="48"/>
        </w:rPr>
        <w:t>8.3 Storage:</w:t>
      </w:r>
    </w:p>
    <w:p>
      <w:pPr>
        <w:spacing w:after="120"/>
      </w:pPr>
      <w:r>
        <w:rPr>
          <w:b w:val="0"/>
          <w:sz w:val="22"/>
        </w:rPr>
        <w:t>Selected adjustments and justifications saved to localStorage keyed by assignment ID. Exportable as CSV or included in report generation.</w:t>
      </w:r>
    </w:p>
    <w:p>
      <w:pPr>
        <w:pStyle w:val="Heading2"/>
        <w:spacing w:after="200"/>
      </w:pPr>
      <w:r>
        <w:rPr>
          <w:b/>
          <w:color w:val="2C3E50"/>
          <w:sz w:val="48"/>
        </w:rPr>
        <w:t>8.4 Performance:</w:t>
      </w:r>
    </w:p>
    <w:p>
      <w:pPr>
        <w:spacing w:after="120"/>
      </w:pPr>
      <w:r>
        <w:rPr>
          <w:b w:val="0"/>
          <w:sz w:val="22"/>
        </w:rPr>
        <w:t>Client-side processing handles datasets up to 500 records efficiently. Papa Parse handles CSV parsing. Statistical calculations are O(n²) for paired sales (manageable for typical MLS exports of 50-200 records).</w:t>
      </w:r>
    </w:p>
    <w:p>
      <w:r>
        <w:br w:type="page"/>
      </w:r>
    </w:p>
    <w:p>
      <w:pPr>
        <w:pStyle w:val="Heading1"/>
        <w:spacing w:after="240"/>
      </w:pPr>
      <w:r>
        <w:rPr>
          <w:b/>
          <w:color w:val="2C3E50"/>
          <w:sz w:val="56"/>
        </w:rPr>
        <w:t>9. Risks and Limitations</w:t>
      </w:r>
    </w:p>
    <w:tbl>
      <w:tblPr>
        <w:tblStyle w:val="LightGrid-Accent1"/>
        <w:tblW w:type="auto" w:w="0"/>
        <w:tblLook w:firstColumn="1" w:firstRow="1" w:lastColumn="0" w:lastRow="0" w:noHBand="0" w:noVBand="1" w:val="04A0"/>
      </w:tblPr>
      <w:tblGrid>
        <w:gridCol w:w="4680"/>
        <w:gridCol w:w="4680"/>
      </w:tblGrid>
      <w:tr>
        <w:tc>
          <w:tcPr>
            <w:tcW w:type="dxa" w:w="4680"/>
            <w:shd w:fill="2C3E50" w:val="clear"/>
          </w:tcPr>
          <w:p>
            <w:r>
              <w:rPr>
                <w:b/>
                <w:color w:val="FFFFFF"/>
              </w:rPr>
              <w:t>Risk</w:t>
            </w:r>
          </w:p>
        </w:tc>
        <w:tc>
          <w:tcPr>
            <w:tcW w:type="dxa" w:w="4680"/>
            <w:shd w:fill="2C3E50" w:val="clear"/>
          </w:tcPr>
          <w:p>
            <w:r>
              <w:rPr>
                <w:b/>
                <w:color w:val="FFFFFF"/>
              </w:rPr>
              <w:t>Mitigation</w:t>
            </w:r>
          </w:p>
        </w:tc>
      </w:tr>
      <w:tr>
        <w:tc>
          <w:tcPr>
            <w:tcW w:type="dxa" w:w="4680"/>
          </w:tcPr>
          <w:p>
            <w:r>
              <w:t>Small dataset produces unreliable results</w:t>
            </w:r>
          </w:p>
        </w:tc>
        <w:tc>
          <w:tcPr>
            <w:tcW w:type="dxa" w:w="4680"/>
          </w:tcPr>
          <w:p>
            <w:r>
              <w:t>Confidence scoring system warns when data is insufficient. Minimum 5 data points required for any method.</w:t>
            </w:r>
          </w:p>
        </w:tc>
      </w:tr>
      <w:tr>
        <w:tc>
          <w:tcPr>
            <w:tcW w:type="dxa" w:w="4680"/>
          </w:tcPr>
          <w:p>
            <w:r>
              <w:t>MLS CSV format varies by board/provider</w:t>
            </w:r>
          </w:p>
        </w:tc>
        <w:tc>
          <w:tcPr>
            <w:tcW w:type="dxa" w:w="4680"/>
          </w:tcPr>
          <w:p>
            <w:r>
              <w:t>Auto-mapping handles common variations. Manual mapping available as fallback.</w:t>
            </w:r>
          </w:p>
        </w:tc>
      </w:tr>
      <w:tr>
        <w:tc>
          <w:tcPr>
            <w:tcW w:type="dxa" w:w="4680"/>
          </w:tcPr>
          <w:p>
            <w:r>
              <w:t>Paired sales may not isolate single variables</w:t>
            </w:r>
          </w:p>
        </w:tc>
        <w:tc>
          <w:tcPr>
            <w:tcW w:type="dxa" w:w="4680"/>
          </w:tcPr>
          <w:p>
            <w:r>
              <w:t>Similarity thresholds configurable. Tool clearly shows pair details for appraiser review.</w:t>
            </w:r>
          </w:p>
        </w:tc>
      </w:tr>
      <w:tr>
        <w:tc>
          <w:tcPr>
            <w:tcW w:type="dxa" w:w="4680"/>
          </w:tcPr>
          <w:p>
            <w:r>
              <w:t>Regression assumes linear relationships</w:t>
            </w:r>
          </w:p>
        </w:tc>
        <w:tc>
          <w:tcPr>
            <w:tcW w:type="dxa" w:w="4680"/>
          </w:tcPr>
          <w:p>
            <w:r>
              <w:t>R² and p-value reported. Scatter plot allows visual assessment. Tool notes non-linear relationships where detected.</w:t>
            </w:r>
          </w:p>
        </w:tc>
      </w:tr>
      <w:tr>
        <w:tc>
          <w:tcPr>
            <w:tcW w:type="dxa" w:w="4680"/>
          </w:tcPr>
          <w:p>
            <w:r>
              <w:t>Cost does not equal value</w:t>
            </w:r>
          </w:p>
        </w:tc>
        <w:tc>
          <w:tcPr>
            <w:tcW w:type="dxa" w:w="4680"/>
          </w:tcPr>
          <w:p>
            <w:r>
              <w:t>Cost reference explicitly labeled as supplementary, not market-derived.</w:t>
            </w:r>
          </w:p>
        </w:tc>
      </w:tr>
      <w:tr>
        <w:tc>
          <w:tcPr>
            <w:tcW w:type="dxa" w:w="4680"/>
          </w:tcPr>
          <w:p>
            <w:r>
              <w:t>Data entry errors in MLS source data</w:t>
            </w:r>
          </w:p>
        </w:tc>
        <w:tc>
          <w:tcPr>
            <w:tcW w:type="dxa" w:w="4680"/>
          </w:tcPr>
          <w:p>
            <w:r>
              <w:t>Outlier detection flags unusual values. Data preview allows review before analysis.</w:t>
            </w:r>
          </w:p>
        </w:tc>
      </w:tr>
      <w:tr>
        <w:tc>
          <w:tcPr>
            <w:tcW w:type="dxa" w:w="4680"/>
          </w:tcPr>
          <w:p>
            <w:r>
              <w:t>Over-reliance on tool output</w:t>
            </w:r>
          </w:p>
        </w:tc>
        <w:tc>
          <w:tcPr>
            <w:tcW w:type="dxa" w:w="4680"/>
          </w:tcPr>
          <w:p>
            <w:r>
              <w:t>All language positions tool as support, not automation. Appraiser makes final decisions.</w:t>
            </w:r>
          </w:p>
        </w:tc>
      </w:tr>
    </w:tbl>
    <w:p>
      <w:r>
        <w:br w:type="page"/>
      </w:r>
    </w:p>
    <w:p>
      <w:pPr>
        <w:pStyle w:val="Heading1"/>
        <w:spacing w:after="240"/>
      </w:pPr>
      <w:r>
        <w:rPr>
          <w:b/>
          <w:color w:val="2C3E50"/>
          <w:sz w:val="56"/>
        </w:rPr>
        <w:t>10. USPAP Compliance Positioning</w:t>
      </w:r>
    </w:p>
    <w:p>
      <w:pPr>
        <w:spacing w:after="120"/>
      </w:pPr>
      <w:r>
        <w:rPr>
          <w:b w:val="0"/>
          <w:sz w:val="22"/>
        </w:rPr>
        <w:t>The tool is designed as an analytical support system, not an Automated Valuation Model (AVM). Key compliance features:</w:t>
      </w:r>
    </w:p>
    <w:p>
      <w:pPr>
        <w:pStyle w:val="ListBullet"/>
        <w:spacing w:after="80"/>
      </w:pPr>
      <w:r>
        <w:t>All adjustment conclusions are made by the appraiser, not the software</w:t>
      </w:r>
    </w:p>
    <w:p>
      <w:pPr>
        <w:pStyle w:val="ListBullet"/>
        <w:spacing w:after="80"/>
      </w:pPr>
      <w:r>
        <w:t>Methodology is transparent and auditable</w:t>
      </w:r>
    </w:p>
    <w:p>
      <w:pPr>
        <w:pStyle w:val="ListBullet"/>
        <w:spacing w:after="80"/>
      </w:pPr>
      <w:r>
        <w:t>Data sources are identified and verifiable</w:t>
      </w:r>
    </w:p>
    <w:p>
      <w:pPr>
        <w:pStyle w:val="ListBullet"/>
        <w:spacing w:after="80"/>
      </w:pPr>
      <w:r>
        <w:t>Multiple recognized methods provide cross-validation</w:t>
      </w:r>
    </w:p>
    <w:p>
      <w:pPr>
        <w:pStyle w:val="ListBullet"/>
        <w:spacing w:after="80"/>
      </w:pPr>
      <w:r>
        <w:t>Justification documentation supports workfile requirements</w:t>
      </w:r>
    </w:p>
    <w:p>
      <w:pPr>
        <w:pStyle w:val="ListBullet"/>
        <w:spacing w:after="80"/>
      </w:pPr>
      <w:r>
        <w:t>Addendum text uses appropriate professional language</w:t>
      </w:r>
    </w:p>
    <w:p>
      <w:pPr>
        <w:pStyle w:val="ListBullet"/>
        <w:spacing w:after="80"/>
      </w:pPr>
      <w:r>
        <w:t>The tool does not determine property values or final reconciliation</w:t>
      </w:r>
    </w:p>
    <w:p>
      <w:r>
        <w:br w:type="page"/>
      </w:r>
    </w:p>
    <w:p>
      <w:pPr>
        <w:pStyle w:val="Heading1"/>
        <w:spacing w:after="240"/>
      </w:pPr>
      <w:r>
        <w:rPr>
          <w:b/>
          <w:color w:val="2C3E50"/>
          <w:sz w:val="56"/>
        </w:rPr>
        <w:t>11. Platform Improvement Recommendations</w:t>
      </w:r>
    </w:p>
    <w:p>
      <w:pPr>
        <w:pStyle w:val="Heading2"/>
        <w:spacing w:after="200"/>
      </w:pPr>
      <w:r>
        <w:rPr>
          <w:b/>
          <w:color w:val="2C3E50"/>
          <w:sz w:val="48"/>
        </w:rPr>
        <w:t>11.1 Website (Public-Facing):</w:t>
      </w:r>
    </w:p>
    <w:p>
      <w:pPr>
        <w:pStyle w:val="ListBullet"/>
        <w:spacing w:after="80"/>
      </w:pPr>
      <w:r>
        <w:t>Add a "Why Hire a Local Appraiser" content section for SEO</w:t>
      </w:r>
    </w:p>
    <w:p>
      <w:pPr>
        <w:pStyle w:val="ListBullet"/>
        <w:spacing w:after="80"/>
      </w:pPr>
      <w:r>
        <w:t>Implement a real-time quote calculator (property type + sq ft → estimated fee range)</w:t>
      </w:r>
    </w:p>
    <w:p>
      <w:pPr>
        <w:pStyle w:val="ListBullet"/>
        <w:spacing w:after="80"/>
      </w:pPr>
      <w:r>
        <w:t>Add Google Reviews widget integration</w:t>
      </w:r>
    </w:p>
    <w:p>
      <w:pPr>
        <w:pStyle w:val="ListBullet"/>
        <w:spacing w:after="80"/>
      </w:pPr>
      <w:r>
        <w:t>Improve service area page with interactive map</w:t>
      </w:r>
    </w:p>
    <w:p>
      <w:pPr>
        <w:pStyle w:val="ListBullet"/>
        <w:spacing w:after="80"/>
      </w:pPr>
      <w:r>
        <w:t>Add blog/content section for appraiser insights (helps SEO)</w:t>
      </w:r>
    </w:p>
    <w:p>
      <w:pPr>
        <w:pStyle w:val="ListBullet"/>
        <w:spacing w:after="80"/>
      </w:pPr>
      <w:r>
        <w:t>Implement schema markup for local business + service provider</w:t>
      </w:r>
    </w:p>
    <w:p>
      <w:pPr>
        <w:pStyle w:val="ListBullet"/>
        <w:spacing w:after="80"/>
      </w:pPr>
      <w:r>
        <w:t>Add client portal for order status checking (link to app platform)</w:t>
      </w:r>
    </w:p>
    <w:p>
      <w:pPr>
        <w:pStyle w:val="Heading2"/>
        <w:spacing w:after="200"/>
      </w:pPr>
      <w:r>
        <w:rPr>
          <w:b/>
          <w:color w:val="2C3E50"/>
          <w:sz w:val="48"/>
        </w:rPr>
        <w:t>11.2 Admin Panel:</w:t>
      </w:r>
    </w:p>
    <w:p>
      <w:pPr>
        <w:pStyle w:val="ListBullet"/>
        <w:spacing w:after="80"/>
      </w:pPr>
      <w:r>
        <w:t>Add calendar view for scheduling inspections</w:t>
      </w:r>
    </w:p>
    <w:p>
      <w:pPr>
        <w:pStyle w:val="ListBullet"/>
        <w:spacing w:after="80"/>
      </w:pPr>
      <w:r>
        <w:t>Implement recurring invoice templates for repeat clients (AMCs, attorneys)</w:t>
      </w:r>
    </w:p>
    <w:p>
      <w:pPr>
        <w:pStyle w:val="ListBullet"/>
        <w:spacing w:after="80"/>
      </w:pPr>
      <w:r>
        <w:t>Add email template system for common client communications</w:t>
      </w:r>
    </w:p>
    <w:p>
      <w:pPr>
        <w:pStyle w:val="ListBullet"/>
        <w:spacing w:after="80"/>
      </w:pPr>
      <w:r>
        <w:t>Build revenue forecasting based on pipeline data</w:t>
      </w:r>
    </w:p>
    <w:p>
      <w:pPr>
        <w:pStyle w:val="ListBullet"/>
        <w:spacing w:after="80"/>
      </w:pPr>
      <w:r>
        <w:t>Add expense tracking beyond mileage (supplies, software, CE courses)</w:t>
      </w:r>
    </w:p>
    <w:p>
      <w:pPr>
        <w:pStyle w:val="ListBullet"/>
        <w:spacing w:after="80"/>
      </w:pPr>
      <w:r>
        <w:t>Implement client communication log (track all emails/calls per assignment)</w:t>
      </w:r>
    </w:p>
    <w:p>
      <w:pPr>
        <w:pStyle w:val="Heading2"/>
        <w:spacing w:after="200"/>
      </w:pPr>
      <w:r>
        <w:rPr>
          <w:b/>
          <w:color w:val="2C3E50"/>
          <w:sz w:val="48"/>
        </w:rPr>
        <w:t>11.3 App Platform:</w:t>
      </w:r>
    </w:p>
    <w:p>
      <w:pPr>
        <w:pStyle w:val="ListBullet"/>
        <w:spacing w:after="80"/>
      </w:pPr>
      <w:r>
        <w:t>Add AI-assisted comment generation (using subject/comp data to draft standard comments)</w:t>
      </w:r>
    </w:p>
    <w:p>
      <w:pPr>
        <w:pStyle w:val="ListBullet"/>
        <w:spacing w:after="80"/>
      </w:pPr>
      <w:r>
        <w:t>Build photo management integration (attach inspection photos to assignments)</w:t>
      </w:r>
    </w:p>
    <w:p>
      <w:pPr>
        <w:pStyle w:val="ListBullet"/>
        <w:spacing w:after="80"/>
      </w:pPr>
      <w:r>
        <w:t>Implement URAR form field mapping (map platform data to 1004 form fields)</w:t>
      </w:r>
    </w:p>
    <w:p>
      <w:pPr>
        <w:pStyle w:val="ListBullet"/>
        <w:spacing w:after="80"/>
      </w:pPr>
      <w:r>
        <w:t>Add comp adjustment grid export compatible with form software</w:t>
      </w:r>
    </w:p>
    <w:p>
      <w:pPr>
        <w:pStyle w:val="ListBullet"/>
        <w:spacing w:after="80"/>
      </w:pPr>
      <w:r>
        <w:t>Build market conditions analysis (FHFA data integration)</w:t>
      </w:r>
    </w:p>
    <w:p>
      <w:pPr>
        <w:pStyle w:val="ListBullet"/>
        <w:spacing w:after="80"/>
      </w:pPr>
      <w:r>
        <w:t>Add appraiser work log / time tracking per assignment</w:t>
      </w:r>
    </w:p>
    <w:p>
      <w:pPr>
        <w:pStyle w:val="ListBullet"/>
        <w:spacing w:after="80"/>
      </w:pPr>
      <w:r>
        <w:t>Implement automated CDA (Collateral Desktop Analysis) workflow</w:t>
      </w:r>
    </w:p>
    <w:p>
      <w:pPr>
        <w:pStyle w:val="Heading2"/>
        <w:spacing w:after="200"/>
      </w:pPr>
      <w:r>
        <w:rPr>
          <w:b/>
          <w:color w:val="2C3E50"/>
          <w:sz w:val="48"/>
        </w:rPr>
        <w:t>11.4 Cross-Platform:</w:t>
      </w:r>
    </w:p>
    <w:p>
      <w:pPr>
        <w:pStyle w:val="ListBullet"/>
        <w:spacing w:after="80"/>
      </w:pPr>
      <w:r>
        <w:t>Migrate from localStorage to Supabase for data persistence and multi-device access</w:t>
      </w:r>
    </w:p>
    <w:p>
      <w:pPr>
        <w:pStyle w:val="ListBullet"/>
        <w:spacing w:after="80"/>
      </w:pPr>
      <w:r>
        <w:t>Implement proper user authentication with JWT tokens</w:t>
      </w:r>
    </w:p>
    <w:p>
      <w:pPr>
        <w:pStyle w:val="ListBullet"/>
        <w:spacing w:after="80"/>
      </w:pPr>
      <w:r>
        <w:t>Add data backup and recovery system</w:t>
      </w:r>
    </w:p>
    <w:p>
      <w:pPr>
        <w:pStyle w:val="ListBullet"/>
        <w:spacing w:after="80"/>
      </w:pPr>
      <w:r>
        <w:t>Build API layer for potential AMC integration</w:t>
      </w:r>
    </w:p>
    <w:p>
      <w:pPr>
        <w:pStyle w:val="ListBullet"/>
        <w:spacing w:after="80"/>
      </w:pPr>
      <w:r>
        <w:t>Implement notification system (email alerts for status changes, payment reminders)</w:t>
      </w:r>
    </w:p>
    <w:p>
      <w:pPr>
        <w:pStyle w:val="ListBullet"/>
        <w:spacing w:after="80"/>
      </w:pPr>
      <w:r>
        <w:t>Add document storage (attach PDFs, photos to assignments)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