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left w:val="none"/>
          <w:bottom w:val="none"/>
          <w:right w:val="none"/>
          <w:insideH w:val="single" w:color="auto" w:sz="4"/>
          <w:insideV w:val="single" w:color="auto" w:sz="4"/>
        </w:tblBorders>
      </w:tblPr>
      <w:tblGrid>
        <w:gridCol w:w="10080"/>
      </w:tblGrid>
      <w:tr>
        <w:tc>
          <w:tcPr>
            <w:tcW w:type="dxa" w:w="10080"/>
            <w:shd w:fill="0F3D6E" w:val="clear"/>
            <w:tcMar>
              <w:top w:type="dxa" w:w="400"/>
              <w:left w:type="dxa" w:w="500"/>
              <w:bottom w:type="dxa" w:w="400"/>
              <w:right w:type="dxa" w:w="500"/>
            </w:tcMar>
          </w:tcPr>
          <w:p>
            <w:pPr>
              <w:spacing w:before="200" w:after="80"/>
              <w:jc w:val="left"/>
            </w:pPr>
            <w:r>
              <w:rPr>
                <w:rFonts w:ascii="Arial" w:cs="Arial" w:eastAsia="Arial" w:hAnsi="Arial"/>
                <w:b/>
                <w:bCs/>
                <w:caps/>
                <w:color w:val="10B981"/>
                <w:sz w:val="20"/>
                <w:szCs w:val="20"/>
              </w:rPr>
              <w:t xml:space="preserve">IDEAL DIGITAL CIRCULAR</w:t>
            </w:r>
          </w:p>
          <w:p>
            <w:pPr>
              <w:spacing w:before="0" w:after="60"/>
            </w:pPr>
            <w:r>
              <w:rPr>
                <w:rFonts w:ascii="Arial" w:cs="Arial" w:eastAsia="Arial" w:hAnsi="Arial"/>
                <w:b/>
                <w:bCs/>
                <w:color w:val="FFFFFF"/>
                <w:sz w:val="44"/>
                <w:szCs w:val="44"/>
              </w:rPr>
              <w:t xml:space="preserve">Analytics Dashboard 2.0</w:t>
            </w:r>
          </w:p>
          <w:p>
            <w:pPr>
              <w:spacing w:before="0" w:after="120"/>
            </w:pPr>
            <w:r>
              <w:rPr>
                <w:rFonts w:ascii="Arial" w:cs="Arial" w:eastAsia="Arial" w:hAnsi="Arial"/>
                <w:color w:val="B0C8E0"/>
                <w:sz w:val="28"/>
                <w:szCs w:val="28"/>
              </w:rPr>
              <w:t xml:space="preserve">Distribution Tab — Product Requirements Document</w:t>
            </w:r>
          </w:p>
          <w:p>
            <w:pPr>
              <w:spacing w:before="40" w:after="200"/>
            </w:pPr>
            <w:r>
              <w:rPr>
                <w:rFonts w:ascii="Arial" w:cs="Arial" w:eastAsia="Arial" w:hAnsi="Arial"/>
                <w:color w:val="6B9EC4"/>
                <w:sz w:val="20"/>
                <w:szCs w:val="20"/>
              </w:rPr>
              <w:t>Jira: UX-846  |  Status: DRAFT  |  Date: March 2026  |  Owner: Bill Klingensmith</w:t>
            </w:r>
          </w:p>
        </w:tc>
      </w:tr>
    </w:tbl>
    <w:p>
      <w:pPr>
        <w:spacing w:before="240" w:after="0"/>
      </w:pPr>
      <w:r>
        <w:t xml:space="preserve"/>
      </w:r>
    </w:p>
    <w:tbl>
      <w:tblPr>
        <w:tblW w:type="dxa" w:w="10080"/>
        <w:tblBorders>
          <w:top w:val="none"/>
          <w:left w:val="none"/>
          <w:bottom w:val="none"/>
          <w:right w:val="none"/>
          <w:insideH w:val="single" w:color="auto" w:sz="4"/>
          <w:insideV w:val="single" w:color="auto" w:sz="4"/>
        </w:tblBorders>
      </w:tblPr>
      <w:tblGrid>
        <w:gridCol w:w="2520"/>
        <w:gridCol w:w="2520"/>
        <w:gridCol w:w="2520"/>
        <w:gridCol w:w="2520"/>
      </w:tblGrid>
      <w:tr>
        <w:tc>
          <w:tcPr>
            <w:tcW w:type="dxa" w:w="2520"/>
            <w:tcBorders>
              <w:top w:val="none"/>
              <w:left w:val="single" w:color="1A5C96" w:sz="8"/>
              <w:bottom w:val="none"/>
              <w:right w:val="none"/>
            </w:tcBorders>
            <w:shd w:fill="E8F4FB" w:val="clear"/>
            <w:tcMar>
              <w:top w:type="dxa" w:w="80"/>
              <w:left w:type="dxa" w:w="120"/>
              <w:bottom w:type="dxa" w:w="80"/>
              <w:right w:type="dxa" w:w="80"/>
            </w:tcMar>
          </w:tcPr>
          <w:p>
            <w:r>
              <w:rPr>
                <w:rFonts w:ascii="Arial" w:cs="Arial" w:eastAsia="Arial" w:hAnsi="Arial"/>
                <w:b/>
                <w:bCs/>
                <w:caps/>
                <w:color w:val="6B7280"/>
                <w:sz w:val="16"/>
                <w:szCs w:val="16"/>
              </w:rPr>
              <w:t xml:space="preserve">STAKEHOLDERS</w:t>
            </w:r>
          </w:p>
          <w:p>
            <w:r>
              <w:rPr>
                <w:rFonts w:ascii="Arial" w:cs="Arial" w:eastAsia="Arial" w:hAnsi="Arial"/>
                <w:b/>
                <w:bCs/>
                <w:color w:val="0F3D6E"/>
                <w:sz w:val="20"/>
                <w:szCs w:val="20"/>
              </w:rPr>
              <w:t xml:space="preserve">Adam Z · Max W · Bill K · Amelia G</w:t>
            </w:r>
          </w:p>
        </w:tc>
        <w:tc>
          <w:tcPr>
            <w:tcW w:type="dxa" w:w="2520"/>
            <w:tcBorders>
              <w:top w:val="none"/>
              <w:left w:val="single" w:color="1A5C96" w:sz="8"/>
              <w:bottom w:val="none"/>
              <w:right w:val="none"/>
            </w:tcBorders>
            <w:shd w:fill="E8F4FB" w:val="clear"/>
            <w:tcMar>
              <w:top w:type="dxa" w:w="80"/>
              <w:left w:type="dxa" w:w="120"/>
              <w:bottom w:type="dxa" w:w="80"/>
              <w:right w:type="dxa" w:w="80"/>
            </w:tcMar>
          </w:tcPr>
          <w:p>
            <w:r>
              <w:rPr>
                <w:rFonts w:ascii="Arial" w:cs="Arial" w:eastAsia="Arial" w:hAnsi="Arial"/>
                <w:b/>
                <w:bCs/>
                <w:caps/>
                <w:color w:val="6B7280"/>
                <w:sz w:val="16"/>
                <w:szCs w:val="16"/>
              </w:rPr>
              <w:t xml:space="preserve">DATA PROVIDER</w:t>
            </w:r>
          </w:p>
          <w:p>
            <w:r>
              <w:rPr>
                <w:rFonts w:ascii="Arial" w:cs="Arial" w:eastAsia="Arial" w:hAnsi="Arial"/>
                <w:b/>
                <w:bCs/>
                <w:color w:val="0F3D6E"/>
                <w:sz w:val="20"/>
                <w:szCs w:val="20"/>
              </w:rPr>
              <w:t xml:space="preserve">Pulse by Greenberg Enterprises</w:t>
            </w:r>
          </w:p>
        </w:tc>
        <w:tc>
          <w:tcPr>
            <w:tcW w:type="dxa" w:w="2520"/>
            <w:tcBorders>
              <w:top w:val="none"/>
              <w:left w:val="single" w:color="1A5C96" w:sz="8"/>
              <w:bottom w:val="none"/>
              <w:right w:val="none"/>
            </w:tcBorders>
            <w:shd w:fill="E8F4FB" w:val="clear"/>
            <w:tcMar>
              <w:top w:type="dxa" w:w="80"/>
              <w:left w:type="dxa" w:w="120"/>
              <w:bottom w:type="dxa" w:w="80"/>
              <w:right w:type="dxa" w:w="80"/>
            </w:tcMar>
          </w:tcPr>
          <w:p>
            <w:r>
              <w:rPr>
                <w:rFonts w:ascii="Arial" w:cs="Arial" w:eastAsia="Arial" w:hAnsi="Arial"/>
                <w:b/>
                <w:bCs/>
                <w:caps/>
                <w:color w:val="6B7280"/>
                <w:sz w:val="16"/>
                <w:szCs w:val="16"/>
              </w:rPr>
              <w:t xml:space="preserve">AUDIENCE</w:t>
            </w:r>
          </w:p>
          <w:p>
            <w:r>
              <w:rPr>
                <w:rFonts w:ascii="Arial" w:cs="Arial" w:eastAsia="Arial" w:hAnsi="Arial"/>
                <w:b/>
                <w:bCs/>
                <w:color w:val="0F3D6E"/>
                <w:sz w:val="20"/>
                <w:szCs w:val="20"/>
              </w:rPr>
              <w:t xml:space="preserve">Paid media clients only</w:t>
            </w:r>
          </w:p>
        </w:tc>
        <w:tc>
          <w:tcPr>
            <w:tcW w:type="dxa" w:w="2520"/>
            <w:tcBorders>
              <w:top w:val="none"/>
              <w:left w:val="single" w:color="1A5C96" w:sz="8"/>
              <w:bottom w:val="none"/>
              <w:right w:val="none"/>
            </w:tcBorders>
            <w:shd w:fill="E8F4FB" w:val="clear"/>
            <w:tcMar>
              <w:top w:type="dxa" w:w="80"/>
              <w:left w:type="dxa" w:w="120"/>
              <w:bottom w:type="dxa" w:w="80"/>
              <w:right w:type="dxa" w:w="80"/>
            </w:tcMar>
          </w:tcPr>
          <w:p>
            <w:r>
              <w:rPr>
                <w:rFonts w:ascii="Arial" w:cs="Arial" w:eastAsia="Arial" w:hAnsi="Arial"/>
                <w:b/>
                <w:bCs/>
                <w:caps/>
                <w:color w:val="6B7280"/>
                <w:sz w:val="16"/>
                <w:szCs w:val="16"/>
              </w:rPr>
              <w:t xml:space="preserve">TARGET PHASE</w:t>
            </w:r>
          </w:p>
          <w:p>
            <w:r>
              <w:rPr>
                <w:rFonts w:ascii="Arial" w:cs="Arial" w:eastAsia="Arial" w:hAnsi="Arial"/>
                <w:b/>
                <w:bCs/>
                <w:color w:val="0F3D6E"/>
                <w:sz w:val="20"/>
                <w:szCs w:val="20"/>
              </w:rPr>
              <w:t xml:space="preserve">After Engagement tab goes live (June)</w:t>
            </w:r>
          </w:p>
        </w:tc>
      </w:tr>
    </w:tbl>
    <w:p>
      <w:r>
        <w:br w:type="page"/>
      </w:r>
    </w:p>
    <w:p>
      <w:pPr>
        <w:pStyle w:val="Heading1"/>
        <w:spacing w:before="320" w:after="160"/>
      </w:pPr>
      <w:r>
        <w:rPr>
          <w:rFonts w:ascii="Arial" w:cs="Arial" w:eastAsia="Arial" w:hAnsi="Arial"/>
          <w:b/>
          <w:bCs/>
          <w:color w:val="0F3D6E"/>
          <w:sz w:val="36"/>
          <w:szCs w:val="36"/>
        </w:rPr>
        <w:t xml:space="preserve">1. Overview &amp; Background</w:t>
      </w:r>
    </w:p>
    <w:p>
      <w:pPr>
        <w:pBdr>
          <w:bottom w:val="single" w:color="1A5C96" w:sz="6" w:space="1"/>
        </w:pBdr>
        <w:spacing w:before="120" w:after="120"/>
      </w:pPr>
      <w:r>
        <w:t xml:space="preserve"/>
      </w:r>
    </w:p>
    <w:p>
      <w:pPr>
        <w:spacing w:before="60" w:after="100"/>
      </w:pPr>
      <w:r>
        <w:rPr>
          <w:rFonts w:ascii="Arial" w:cs="Arial" w:eastAsia="Arial" w:hAnsi="Arial"/>
          <w:sz w:val="22"/>
          <w:szCs w:val="22"/>
        </w:rPr>
        <w:t xml:space="preserve">The Distribution Tab is the second major addition to the Analytics Dashboard 2.0, available exclusively to clients running paid media campaigns through Ideal Digital Circular. While the Engagement Tab (going live June 2026) measures how shoppers interact with the digital circular itself, the Distribution Tab answers a more fundamental business question:</w:t>
      </w:r>
    </w:p>
    <w:p>
      <w:pPr>
        <w:spacing w:before="60" w:after="0"/>
      </w:pPr>
      <w:r>
        <w:t xml:space="preserve"/>
      </w:r>
    </w:p>
    <w:tbl>
      <w:tblPr>
        <w:tblW w:type="dxa" w:w="9360"/>
        <w:tblBorders>
          <w:top w:val="single" w:color="1A5C96" w:sz="4"/>
          <w:left w:val="single" w:color="1A5C96" w:sz="12"/>
          <w:bottom w:val="single" w:color="1A5C96" w:sz="4"/>
          <w:right w:val="single" w:color="1A5C96" w:sz="4"/>
          <w:insideH w:val="single" w:color="auto" w:sz="4"/>
          <w:insideV w:val="single" w:color="auto" w:sz="4"/>
        </w:tblBorders>
      </w:tblPr>
      <w:tblGrid>
        <w:gridCol w:w="9360"/>
      </w:tblGrid>
      <w:tr>
        <w:tc>
          <w:tcPr>
            <w:tcW w:type="dxa" w:w="9360"/>
            <w:shd w:fill="E8F4FB" w:val="clear"/>
            <w:tcMar>
              <w:top w:type="dxa" w:w="100"/>
              <w:left w:type="dxa" w:w="200"/>
              <w:bottom w:type="dxa" w:w="100"/>
              <w:right w:type="dxa" w:w="120"/>
            </w:tcMar>
          </w:tcPr>
          <w:p>
            <w:r>
              <w:rPr>
                <w:rFonts w:ascii="Arial" w:cs="Arial" w:eastAsia="Arial" w:hAnsi="Arial"/>
                <w:i/>
                <w:iCs/>
                <w:sz w:val="21"/>
                <w:szCs w:val="21"/>
              </w:rPr>
              <w:t xml:space="preserve">Did our paid media investment actually drive people through the door — and are we winning more traffic share from competitors over time?</w:t>
            </w:r>
          </w:p>
        </w:tc>
      </w:tr>
    </w:tbl>
    <w:p>
      <w:pPr>
        <w:spacing w:before="100" w:after="0"/>
      </w:pPr>
      <w:r>
        <w:t xml:space="preserve"/>
      </w:r>
    </w:p>
    <w:p>
      <w:pPr>
        <w:spacing w:before="60" w:after="100"/>
      </w:pPr>
      <w:r>
        <w:rPr>
          <w:rFonts w:ascii="Arial" w:cs="Arial" w:eastAsia="Arial" w:hAnsi="Arial"/>
          <w:sz w:val="22"/>
          <w:szCs w:val="22"/>
        </w:rPr>
        <w:t xml:space="preserve">This document captures requirements gathered in the March 2, 2026 product call with Adam Zimmerman, Max Wilberding, and Amelia Green, supplemented by raw data provided by Amelia from Pulse by Greenberg Enterprises (the traffic data provider) and campaign reporting from the HFG / Price Less IGA YouTube campaign.</w:t>
      </w:r>
    </w:p>
    <w:p>
      <w:pPr>
        <w:spacing w:before="120" w:after="0"/>
      </w:pPr>
      <w:r>
        <w:t xml:space="preserve"/>
      </w:r>
    </w:p>
    <w:p>
      <w:pPr>
        <w:pStyle w:val="Heading2"/>
        <w:spacing w:before="260" w:after="120"/>
      </w:pPr>
      <w:r>
        <w:rPr>
          <w:rFonts w:ascii="Arial" w:cs="Arial" w:eastAsia="Arial" w:hAnsi="Arial"/>
          <w:b/>
          <w:bCs/>
          <w:color w:val="1A5C96"/>
          <w:sz w:val="28"/>
          <w:szCs w:val="28"/>
        </w:rPr>
        <w:t xml:space="preserve">1.1 Three-Section Architecture</w:t>
      </w:r>
    </w:p>
    <w:p>
      <w:pPr>
        <w:spacing w:before="60" w:after="100"/>
      </w:pPr>
      <w:r>
        <w:rPr>
          <w:rFonts w:ascii="Arial" w:cs="Arial" w:eastAsia="Arial" w:hAnsi="Arial"/>
          <w:sz w:val="22"/>
          <w:szCs w:val="22"/>
        </w:rPr>
        <w:t xml:space="preserve">Adam was explicit that the Distribution section must NOT be a flat list of metrics. It is divided into three distinct groupings, each representing a different question the retailer is trying to answer:</w:t>
      </w:r>
    </w:p>
    <w:p>
      <w:pPr>
        <w:spacing w:before="60" w:after="0"/>
      </w:pPr>
      <w:r>
        <w:t xml:space="preserve"/>
      </w:r>
    </w:p>
    <w:tbl>
      <w:tblPr>
        <w:tblW w:type="dxa" w:w="9360"/>
        <w:tblBorders>
          <w:top w:val="none"/>
          <w:left w:val="none"/>
          <w:bottom w:val="none"/>
          <w:right w:val="none"/>
          <w:insideH w:val="single" w:color="auto" w:sz="4"/>
          <w:insideV w:val="single" w:color="auto" w:sz="4"/>
        </w:tblBorders>
      </w:tblPr>
      <w:tblGrid>
        <w:gridCol w:w="600"/>
        <w:gridCol w:w="2800"/>
        <w:gridCol w:w="5960"/>
      </w:tblGrid>
      <w:tr>
        <w:tc>
          <w:tcPr>
            <w:tcW w:type="dxa" w:w="600"/>
            <w:shd w:fill="1A5C96"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1</w:t>
            </w:r>
          </w:p>
        </w:tc>
        <w:tc>
          <w:tcPr>
            <w:tcW w:type="dxa" w:w="2800"/>
            <w:shd w:fill="E8F4FB" w:val="clear"/>
            <w:tcMar>
              <w:top w:type="dxa" w:w="80"/>
              <w:left w:type="dxa" w:w="120"/>
              <w:bottom w:type="dxa" w:w="80"/>
              <w:right w:type="dxa" w:w="120"/>
            </w:tcMar>
          </w:tcPr>
          <w:p>
            <w:r>
              <w:rPr>
                <w:rFonts w:ascii="Arial" w:cs="Arial" w:eastAsia="Arial" w:hAnsi="Arial"/>
                <w:b/>
                <w:bCs/>
                <w:color w:val="0F3D6E"/>
                <w:sz w:val="22"/>
                <w:szCs w:val="22"/>
              </w:rPr>
              <w:t xml:space="preserve">Media Buy Metrics</w:t>
            </w:r>
          </w:p>
        </w:tc>
        <w:tc>
          <w:tcPr>
            <w:tcW w:type="dxa" w:w="5960"/>
            <w:shd w:fill="E8F4FB" w:val="clear"/>
            <w:tcMar>
              <w:top w:type="dxa" w:w="80"/>
              <w:left w:type="dxa" w:w="120"/>
              <w:bottom w:type="dxa" w:w="80"/>
              <w:right w:type="dxa" w:w="120"/>
            </w:tcMar>
          </w:tcPr>
          <w:p>
            <w:r>
              <w:rPr>
                <w:rFonts w:ascii="Arial" w:cs="Arial" w:eastAsia="Arial" w:hAnsi="Arial"/>
                <w:sz w:val="20"/>
                <w:szCs w:val="20"/>
              </w:rPr>
              <w:t xml:space="preserve">How did our ad creative perform? (impressions, clicks, CTR, cost per visit, creative attachment)</w:t>
            </w:r>
          </w:p>
        </w:tc>
      </w:tr>
      <w:tr>
        <w:tc>
          <w:tcPr>
            <w:tcW w:type="dxa" w:w="600"/>
            <w:shd w:fill="10B981"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2</w:t>
            </w:r>
          </w:p>
        </w:tc>
        <w:tc>
          <w:tcPr>
            <w:tcW w:type="dxa" w:w="2800"/>
            <w:shd w:fill="EBF9F4" w:val="clear"/>
            <w:tcMar>
              <w:top w:type="dxa" w:w="80"/>
              <w:left w:type="dxa" w:w="120"/>
              <w:bottom w:type="dxa" w:w="80"/>
              <w:right w:type="dxa" w:w="120"/>
            </w:tcMar>
          </w:tcPr>
          <w:p>
            <w:r>
              <w:rPr>
                <w:rFonts w:ascii="Arial" w:cs="Arial" w:eastAsia="Arial" w:hAnsi="Arial"/>
                <w:b/>
                <w:bCs/>
                <w:color w:val="0F3D6E"/>
                <w:sz w:val="22"/>
                <w:szCs w:val="22"/>
              </w:rPr>
              <w:t xml:space="preserve">Store Visitation Driven by Media</w:t>
            </w:r>
          </w:p>
        </w:tc>
        <w:tc>
          <w:tcPr>
            <w:tcW w:type="dxa" w:w="5960"/>
            <w:shd w:fill="EBF9F4" w:val="clear"/>
            <w:tcMar>
              <w:top w:type="dxa" w:w="80"/>
              <w:left w:type="dxa" w:w="120"/>
              <w:bottom w:type="dxa" w:w="80"/>
              <w:right w:type="dxa" w:w="120"/>
            </w:tcMar>
          </w:tcPr>
          <w:p>
            <w:r>
              <w:rPr>
                <w:rFonts w:ascii="Arial" w:cs="Arial" w:eastAsia="Arial" w:hAnsi="Arial"/>
                <w:sz w:val="20"/>
                <w:szCs w:val="20"/>
              </w:rPr>
              <w:t xml:space="preserve">How many people did we drive to our stores, and what kind of shoppers were they? (visit frequency, competitive crossover)</w:t>
            </w:r>
          </w:p>
        </w:tc>
      </w:tr>
      <w:tr>
        <w:tc>
          <w:tcPr>
            <w:tcW w:type="dxa" w:w="600"/>
            <w:shd w:fill="F59E0B"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3</w:t>
            </w:r>
          </w:p>
        </w:tc>
        <w:tc>
          <w:tcPr>
            <w:tcW w:type="dxa" w:w="2800"/>
            <w:shd w:fill="FEF3E2" w:val="clear"/>
            <w:tcMar>
              <w:top w:type="dxa" w:w="80"/>
              <w:left w:type="dxa" w:w="120"/>
              <w:bottom w:type="dxa" w:w="80"/>
              <w:right w:type="dxa" w:w="120"/>
            </w:tcMar>
          </w:tcPr>
          <w:p>
            <w:r>
              <w:rPr>
                <w:rFonts w:ascii="Arial" w:cs="Arial" w:eastAsia="Arial" w:hAnsi="Arial"/>
                <w:b/>
                <w:bCs/>
                <w:color w:val="0F3D6E"/>
                <w:sz w:val="22"/>
                <w:szCs w:val="22"/>
              </w:rPr>
              <w:t xml:space="preserve">Gross Foot Traffic Share Shift</w:t>
            </w:r>
          </w:p>
        </w:tc>
        <w:tc>
          <w:tcPr>
            <w:tcW w:type="dxa" w:w="5960"/>
            <w:shd w:fill="FEF3E2" w:val="clear"/>
            <w:tcMar>
              <w:top w:type="dxa" w:w="80"/>
              <w:left w:type="dxa" w:w="120"/>
              <w:bottom w:type="dxa" w:w="80"/>
              <w:right w:type="dxa" w:w="120"/>
            </w:tcMar>
          </w:tcPr>
          <w:p>
            <w:r>
              <w:rPr>
                <w:rFonts w:ascii="Arial" w:cs="Arial" w:eastAsia="Arial" w:hAnsi="Arial"/>
                <w:sz w:val="20"/>
                <w:szCs w:val="20"/>
              </w:rPr>
              <w:t xml:space="preserve">Are we actually gaining market share from competitors over time? (Pulse / Placer.ai-style data)</w:t>
            </w:r>
          </w:p>
        </w:tc>
      </w:tr>
    </w:tbl>
    <w:p>
      <w:pPr>
        <w:spacing w:before="120" w:after="0"/>
      </w:pPr>
      <w:r>
        <w:t xml:space="preserve"/>
      </w:r>
    </w:p>
    <w:p>
      <w:pPr>
        <w:pStyle w:val="Heading2"/>
        <w:spacing w:before="260" w:after="120"/>
      </w:pPr>
      <w:r>
        <w:rPr>
          <w:rFonts w:ascii="Arial" w:cs="Arial" w:eastAsia="Arial" w:hAnsi="Arial"/>
          <w:b/>
          <w:bCs/>
          <w:color w:val="1A5C96"/>
          <w:sz w:val="28"/>
          <w:szCs w:val="28"/>
        </w:rPr>
        <w:t xml:space="preserve">1.2 Relationship to Engagement Tab</w:t>
      </w:r>
    </w:p>
    <w:p>
      <w:pPr>
        <w:spacing w:before="60" w:after="100"/>
      </w:pPr>
      <w:r>
        <w:rPr>
          <w:rFonts w:ascii="Arial" w:cs="Arial" w:eastAsia="Arial" w:hAnsi="Arial"/>
          <w:sz w:val="22"/>
          <w:szCs w:val="22"/>
        </w:rPr>
        <w:t xml:space="preserve">The Engagement Tab and Distribution Tab are complementary but fully separate. Engagement measures digital circular interaction (Card in View, Card Clicked, Added to List). Distribution measures real-world outcomes — foot traffic, competitive share, and media efficiency. Together they create a complete ROI story: media drove impressions → circular drove engagement → shoppers visited stores.</w:t>
      </w:r>
    </w:p>
    <w:p>
      <w:r>
        <w:br w:type="page"/>
      </w:r>
    </w:p>
    <w:tbl>
      <w:tblPr>
        <w:tblW w:type="dxa" w:w="9360"/>
        <w:tblBorders>
          <w:top w:val="none"/>
          <w:left w:val="none"/>
          <w:bottom w:val="none"/>
          <w:right w:val="none"/>
          <w:insideH w:val="single" w:color="auto" w:sz="4"/>
          <w:insideV w:val="single" w:color="auto" w:sz="4"/>
        </w:tblBorders>
      </w:tblPr>
      <w:tblGrid>
        <w:gridCol w:w="720"/>
        <w:gridCol w:w="8640"/>
      </w:tblGrid>
      <w:tr>
        <w:tc>
          <w:tcPr>
            <w:tcW w:type="dxa" w:w="720"/>
            <w:shd w:fill="1A5C96" w:val="clear"/>
            <w:tcMar>
              <w:top w:type="dxa" w:w="140"/>
              <w:left w:type="dxa" w:w="100"/>
              <w:bottom w:type="dxa" w:w="140"/>
              <w:right w:type="dxa" w:w="100"/>
            </w:tcMar>
          </w:tcPr>
          <w:p>
            <w:pPr>
              <w:jc w:val="center"/>
            </w:pPr>
            <w:r>
              <w:rPr>
                <w:rFonts w:ascii="Arial" w:cs="Arial" w:eastAsia="Arial" w:hAnsi="Arial"/>
                <w:b/>
                <w:bCs/>
                <w:color w:val="FFFFFF"/>
                <w:sz w:val="36"/>
                <w:szCs w:val="36"/>
              </w:rPr>
              <w:t xml:space="preserve">1</w:t>
            </w:r>
          </w:p>
        </w:tc>
        <w:tc>
          <w:tcPr>
            <w:tcW w:type="dxa" w:w="8640"/>
            <w:shd w:fill="E8F4FB" w:val="clear"/>
            <w:tcMar>
              <w:top w:type="dxa" w:w="80"/>
              <w:left w:type="dxa" w:w="160"/>
              <w:bottom w:type="dxa" w:w="80"/>
              <w:right w:type="dxa" w:w="120"/>
            </w:tcMar>
          </w:tcPr>
          <w:p>
            <w:r>
              <w:rPr>
                <w:rFonts w:ascii="Arial" w:cs="Arial" w:eastAsia="Arial" w:hAnsi="Arial"/>
                <w:b/>
                <w:bCs/>
                <w:color w:val="0F3D6E"/>
                <w:sz w:val="30"/>
                <w:szCs w:val="30"/>
              </w:rPr>
              <w:t xml:space="preserve">Media Buy Metrics</w:t>
            </w:r>
          </w:p>
          <w:p>
            <w:r>
              <w:rPr>
                <w:rFonts w:ascii="Arial" w:cs="Arial" w:eastAsia="Arial" w:hAnsi="Arial"/>
                <w:color w:val="6B7280"/>
                <w:sz w:val="20"/>
                <w:szCs w:val="20"/>
              </w:rPr>
              <w:t xml:space="preserve">Impressions · Clicks · CTR · Cost Per Visit · Media Creative · Video Engagement</w:t>
            </w:r>
          </w:p>
        </w:tc>
      </w:tr>
    </w:tbl>
    <w:p>
      <w:pPr>
        <w:spacing w:before="120" w:after="0"/>
      </w:pPr>
      <w:r>
        <w:t xml:space="preserve"/>
      </w:r>
    </w:p>
    <w:p>
      <w:pPr>
        <w:pStyle w:val="Heading2"/>
        <w:spacing w:before="260" w:after="120"/>
      </w:pPr>
      <w:r>
        <w:rPr>
          <w:rFonts w:ascii="Arial" w:cs="Arial" w:eastAsia="Arial" w:hAnsi="Arial"/>
          <w:b/>
          <w:bCs/>
          <w:color w:val="1A5C96"/>
          <w:sz w:val="28"/>
          <w:szCs w:val="28"/>
        </w:rPr>
        <w:t xml:space="preserve">1.1 Purpose</w:t>
      </w:r>
    </w:p>
    <w:p>
      <w:pPr>
        <w:spacing w:before="60" w:after="100"/>
      </w:pPr>
      <w:r>
        <w:rPr>
          <w:rFonts w:ascii="Arial" w:cs="Arial" w:eastAsia="Arial" w:hAnsi="Arial"/>
          <w:sz w:val="22"/>
          <w:szCs w:val="22"/>
        </w:rPr>
        <w:t xml:space="preserve">This section answers: How efficiently are we spending our media budget, and what creative drove it? It is the smallest section data-wise (just three core numbers plus a calculated metric) but the most action-oriented — retailers want to see the actual ad creative attached to performance numbers to understand why a week performed well or poorly.</w:t>
      </w:r>
    </w:p>
    <w:p>
      <w:pPr>
        <w:spacing w:before="80" w:after="0"/>
      </w:pPr>
      <w:r>
        <w:t xml:space="preserve"/>
      </w:r>
    </w:p>
    <w:p>
      <w:pPr>
        <w:pStyle w:val="Heading2"/>
        <w:spacing w:before="260" w:after="120"/>
      </w:pPr>
      <w:r>
        <w:rPr>
          <w:rFonts w:ascii="Arial" w:cs="Arial" w:eastAsia="Arial" w:hAnsi="Arial"/>
          <w:b/>
          <w:bCs/>
          <w:color w:val="1A5C96"/>
          <w:sz w:val="28"/>
          <w:szCs w:val="28"/>
        </w:rPr>
        <w:t xml:space="preserve">1.2 Metrics &amp; Field Definitions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c>
          <w:tcPr>
            <w:tcW w:type="dxa" w:w="2500"/>
            <w:shd w:fill="1A5C9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shd w:fill="1A5C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60"/>
            <w:shd w:fill="1A5C96" w:val="clear"/>
            <w:tcMar>
              <w:top w:type="dxa" w:w="80"/>
              <w:left w:type="dxa" w:w="120"/>
              <w:bottom w:type="dxa" w:w="80"/>
              <w:right w:type="dxa" w:w="120"/>
            </w:tcMar>
          </w:tcPr>
          <w:p>
            <w:r>
              <w:rPr>
                <w:rFonts w:ascii="Arial" w:cs="Arial" w:eastAsia="Arial" w:hAnsi="Arial"/>
                <w:b/>
                <w:bCs/>
                <w:color w:val="FFFFFF"/>
                <w:sz w:val="20"/>
                <w:szCs w:val="20"/>
              </w:rPr>
              <w:t xml:space="preserve">Description / Source</w:t>
            </w:r>
          </w:p>
        </w:tc>
      </w:tr>
      <w:tr>
        <w:tc>
          <w:tcPr>
            <w:tcW w:type="dxa" w:w="25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impressions</w:t>
            </w:r>
          </w:p>
        </w:tc>
        <w:tc>
          <w:tcPr>
            <w:tcW w:type="dxa" w:w="14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4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number of times the ad was served. Source: media partner API feed.</w:t>
            </w:r>
          </w:p>
        </w:tc>
      </w:tr>
      <w:tr>
        <w:tc>
          <w:tcPr>
            <w:tcW w:type="dxa" w:w="25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clicks</w:t>
            </w:r>
          </w:p>
        </w:tc>
        <w:tc>
          <w:tcPr>
            <w:tcW w:type="dxa" w:w="14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4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Total number of clicks on the ad creative. Source: media partner API feed.</w:t>
            </w:r>
          </w:p>
        </w:tc>
      </w:tr>
      <w:tr>
        <w:tc>
          <w:tcPr>
            <w:tcW w:type="dxa" w:w="25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ctr</w:t>
            </w:r>
          </w:p>
        </w:tc>
        <w:tc>
          <w:tcPr>
            <w:tcW w:type="dxa" w:w="14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 (%)</w:t>
            </w:r>
          </w:p>
        </w:tc>
        <w:tc>
          <w:tcPr>
            <w:tcW w:type="dxa" w:w="54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Click-through rate. Calculated: (clicks / impressions) * 100. Display as percentage with 2 decimal places.</w:t>
            </w:r>
          </w:p>
        </w:tc>
      </w:tr>
      <w:tr>
        <w:tc>
          <w:tcPr>
            <w:tcW w:type="dxa" w:w="25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cost_per_impression</w:t>
            </w:r>
          </w:p>
        </w:tc>
        <w:tc>
          <w:tcPr>
            <w:tcW w:type="dxa" w:w="14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Float ($)</w:t>
            </w:r>
          </w:p>
        </w:tc>
        <w:tc>
          <w:tcPr>
            <w:tcW w:type="dxa" w:w="54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Budget spend / impressions. Source: media partner feed.</w:t>
            </w:r>
          </w:p>
        </w:tc>
      </w:tr>
      <w:tr>
        <w:tc>
          <w:tcPr>
            <w:tcW w:type="dxa" w:w="25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cost_per_visit</w:t>
            </w:r>
          </w:p>
        </w:tc>
        <w:tc>
          <w:tcPr>
            <w:tcW w:type="dxa" w:w="14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 ($)</w:t>
            </w:r>
          </w:p>
        </w:tc>
        <w:tc>
          <w:tcPr>
            <w:tcW w:type="dxa" w:w="54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PRIORITY METRIC. Total media spend / gross visits attributed to media. The single most important number in the entire Distribution tab. Display prominently and first.</w:t>
            </w:r>
          </w:p>
        </w:tc>
      </w:tr>
      <w:tr>
        <w:tc>
          <w:tcPr>
            <w:tcW w:type="dxa" w:w="25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visits_per_thousand</w:t>
            </w:r>
          </w:p>
        </w:tc>
        <w:tc>
          <w:tcPr>
            <w:tcW w:type="dxa" w:w="14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4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NEW METRIC from Amelia. Calculated: (gross_visits / impressions) * 1000. Measures visit yield per 1,000 ad impressions. Bridge between media and visitation sections.</w:t>
            </w:r>
          </w:p>
        </w:tc>
      </w:tr>
      <w:tr>
        <w:tc>
          <w:tcPr>
            <w:tcW w:type="dxa" w:w="25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budget</w:t>
            </w:r>
          </w:p>
        </w:tc>
        <w:tc>
          <w:tcPr>
            <w:tcW w:type="dxa" w:w="14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 ($)</w:t>
            </w:r>
          </w:p>
        </w:tc>
        <w:tc>
          <w:tcPr>
            <w:tcW w:type="dxa" w:w="54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campaign budget for the period. Source: media partner feed.</w:t>
            </w:r>
          </w:p>
        </w:tc>
      </w:tr>
      <w:tr>
        <w:tc>
          <w:tcPr>
            <w:tcW w:type="dxa" w:w="25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store_id</w:t>
            </w:r>
          </w:p>
        </w:tc>
        <w:tc>
          <w:tcPr>
            <w:tcW w:type="dxa" w:w="14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4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Winn-Dixie store number (e.g. '726'). Foreign key to store master.</w:t>
            </w:r>
          </w:p>
        </w:tc>
      </w:tr>
      <w:tr>
        <w:tc>
          <w:tcPr>
            <w:tcW w:type="dxa" w:w="25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flight_week</w:t>
            </w:r>
          </w:p>
        </w:tc>
        <w:tc>
          <w:tcPr>
            <w:tcW w:type="dxa" w:w="14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4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identifier (e.g. 'wk3'). Maps to date range in flight_weeks table.</w:t>
            </w:r>
          </w:p>
        </w:tc>
      </w:tr>
      <w:tr>
        <w:tc>
          <w:tcPr>
            <w:tcW w:type="dxa" w:w="25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flight_start_date</w:t>
            </w:r>
          </w:p>
        </w:tc>
        <w:tc>
          <w:tcPr>
            <w:tcW w:type="dxa" w:w="14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54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Start date of the flight week (e.g. 12/10/2025).</w:t>
            </w:r>
          </w:p>
        </w:tc>
      </w:tr>
      <w:tr>
        <w:tc>
          <w:tcPr>
            <w:tcW w:type="dxa" w:w="25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flight_end_date</w:t>
            </w:r>
          </w:p>
        </w:tc>
        <w:tc>
          <w:tcPr>
            <w:tcW w:type="dxa" w:w="14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54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 date of the flight week (e.g. 12/16/2025).</w:t>
            </w:r>
          </w:p>
        </w:tc>
      </w:tr>
    </w:tbl>
    <w:p>
      <w:pPr>
        <w:spacing w:before="120" w:after="0"/>
      </w:pPr>
      <w:r>
        <w:t xml:space="preserve"/>
      </w:r>
    </w:p>
    <w:p>
      <w:pPr>
        <w:pStyle w:val="Heading3"/>
        <w:spacing w:before="200" w:after="80"/>
      </w:pPr>
      <w:r>
        <w:rPr>
          <w:rFonts w:ascii="Arial" w:cs="Arial" w:eastAsia="Arial" w:hAnsi="Arial"/>
          <w:b/>
          <w:bCs/>
          <w:color w:val="0F3D6E"/>
          <w:sz w:val="24"/>
          <w:szCs w:val="24"/>
        </w:rPr>
        <w:t xml:space="preserve">1.2a YouTube / Video-Specific Fields</w:t>
      </w:r>
    </w:p>
    <w:p>
      <w:pPr>
        <w:spacing w:before="60" w:after="100"/>
      </w:pPr>
      <w:r>
        <w:rPr>
          <w:rFonts w:ascii="Arial" w:cs="Arial" w:eastAsia="Arial" w:hAnsi="Arial"/>
          <w:sz w:val="22"/>
          <w:szCs w:val="22"/>
        </w:rPr>
        <w:t xml:space="preserve">From HFG Price Less IGA YouTube campaign data (Store 485, 12/26-12/31/25). These fields apply when creative_type = 'video'.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260"/>
      </w:tblGrid>
      <w:tr>
        <w:tc>
          <w:tcPr>
            <w:tcW w:type="dxa" w:w="2800"/>
            <w:shd w:fill="1A5C9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300"/>
            <w:shd w:fill="1A5C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60"/>
            <w:shd w:fill="1A5C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video_complete_views</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2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viewers who watched the video to completion. Example: 2,757 of 3,595 impressions.</w:t>
            </w:r>
          </w:p>
        </w:tc>
      </w:tr>
      <w:tr>
        <w:tc>
          <w:tcPr>
            <w:tcW w:type="dxa" w:w="2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video_completion_rate</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Float (%)</w:t>
            </w:r>
          </w:p>
        </w:tc>
        <w:tc>
          <w:tcPr>
            <w:tcW w:type="dxa" w:w="52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Percentage of impressions that resulted in a complete view. Example: 77%. Also expected for Meta campaigns.</w:t>
            </w:r>
          </w:p>
        </w:tc>
      </w:tr>
      <w:tr>
        <w:tc>
          <w:tcPr>
            <w:tcW w:type="dxa" w:w="2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video_first_quartile_views</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2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Viewers who watched at least 25% of the video (first 4 seconds in the IGA example).</w:t>
            </w:r>
          </w:p>
        </w:tc>
      </w:tr>
      <w:tr>
        <w:tc>
          <w:tcPr>
            <w:tcW w:type="dxa" w:w="2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video_midpoint_views</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2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Viewers who watched at least 50% of the video (first 8 seconds in the IGA example).</w:t>
            </w:r>
          </w:p>
        </w:tc>
      </w:tr>
      <w:tr>
        <w:tc>
          <w:tcPr>
            <w:tcW w:type="dxa" w:w="2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video_third_quartile_views</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2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Viewers who watched at least 75% of the video (first 11 seconds in the IGA example).</w:t>
            </w:r>
          </w:p>
        </w:tc>
      </w:tr>
      <w:tr>
        <w:tc>
          <w:tcPr>
            <w:tcW w:type="dxa" w:w="2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avg_circular_time</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Duration</w:t>
            </w:r>
          </w:p>
        </w:tc>
        <w:tc>
          <w:tcPr>
            <w:tcW w:type="dxa" w:w="52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Average time spent in the digital circular after clicking through. Example: 01:44 (minutes:seconds).</w:t>
            </w:r>
          </w:p>
        </w:tc>
      </w:tr>
      <w:tr>
        <w:tc>
          <w:tcPr>
            <w:tcW w:type="dxa" w:w="2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circular_views</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2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views of the digital circular driven by the ad. Example: 364.</w:t>
            </w:r>
          </w:p>
        </w:tc>
      </w:tr>
    </w:tbl>
    <w:p>
      <w:pPr>
        <w:spacing w:before="120" w:after="0"/>
      </w:pPr>
      <w:r>
        <w:t xml:space="preserve"/>
      </w:r>
    </w:p>
    <w:p>
      <w:pPr>
        <w:pStyle w:val="Heading2"/>
        <w:spacing w:before="260" w:after="120"/>
      </w:pPr>
      <w:r>
        <w:rPr>
          <w:rFonts w:ascii="Arial" w:cs="Arial" w:eastAsia="Arial" w:hAnsi="Arial"/>
          <w:b/>
          <w:bCs/>
          <w:color w:val="1A5C96"/>
          <w:sz w:val="28"/>
          <w:szCs w:val="28"/>
        </w:rPr>
        <w:t xml:space="preserve">1.3 Media Creative Attachment</w:t>
      </w:r>
    </w:p>
    <w:p>
      <w:pPr>
        <w:spacing w:before="60" w:after="100"/>
      </w:pPr>
      <w:r>
        <w:rPr>
          <w:rFonts w:ascii="Arial" w:cs="Arial" w:eastAsia="Arial" w:hAnsi="Arial"/>
          <w:sz w:val="22"/>
          <w:szCs w:val="22"/>
        </w:rPr>
        <w:t xml:space="preserve">This is a new capability that does not exist in the current system. The goal is to allow a retailer to look at a week with an unusually high or low CTR and immediately see what creative was running — was it the T-bone steak ad? The holiday GIF? A new video format?</w:t>
      </w:r>
    </w:p>
    <w:p>
      <w:pPr>
        <w:spacing w:before="60" w:after="0"/>
      </w:pPr>
      <w:r>
        <w:t xml:space="preserve"/>
      </w:r>
    </w:p>
    <w:tbl>
      <w:tblPr>
        <w:tblW w:type="dxa" w:w="9360"/>
        <w:tblBorders>
          <w:top w:val="single" w:color="1A5C96" w:sz="4"/>
          <w:left w:val="single" w:color="1A5C96" w:sz="12"/>
          <w:bottom w:val="single" w:color="1A5C96" w:sz="4"/>
          <w:right w:val="single" w:color="1A5C96" w:sz="4"/>
          <w:insideH w:val="single" w:color="auto" w:sz="4"/>
          <w:insideV w:val="single" w:color="auto" w:sz="4"/>
        </w:tblBorders>
      </w:tblPr>
      <w:tblGrid>
        <w:gridCol w:w="9360"/>
      </w:tblGrid>
      <w:tr>
        <w:tc>
          <w:tcPr>
            <w:tcW w:type="dxa" w:w="9360"/>
            <w:shd w:fill="E8F4FB" w:val="clear"/>
            <w:tcMar>
              <w:top w:type="dxa" w:w="100"/>
              <w:left w:type="dxa" w:w="200"/>
              <w:bottom w:type="dxa" w:w="100"/>
              <w:right w:type="dxa" w:w="120"/>
            </w:tcMar>
          </w:tcPr>
          <w:p>
            <w:r>
              <w:rPr>
                <w:rFonts w:ascii="Arial" w:cs="Arial" w:eastAsia="Arial" w:hAnsi="Arial"/>
                <w:i/>
                <w:iCs/>
                <w:sz w:val="21"/>
                <w:szCs w:val="21"/>
              </w:rPr>
              <w:t xml:space="preserve">Per Adam: 'We want to be able to attach the creative — the ad, what Tammy at MDI calls clickbait — to a specific time period and store group so the retailer can correlate performance with the actual asset.'</w:t>
            </w:r>
          </w:p>
        </w:tc>
      </w:tr>
    </w:tbl>
    <w:p>
      <w:pPr>
        <w:spacing w:before="100" w:after="0"/>
      </w:pPr>
      <w:r>
        <w:t xml:space="preserve"/>
      </w:r>
    </w:p>
    <w:p>
      <w:pPr>
        <w:pStyle w:val="Heading3"/>
        <w:spacing w:before="200" w:after="80"/>
      </w:pPr>
      <w:r>
        <w:rPr>
          <w:rFonts w:ascii="Arial" w:cs="Arial" w:eastAsia="Arial" w:hAnsi="Arial"/>
          <w:b/>
          <w:bCs/>
          <w:color w:val="0F3D6E"/>
          <w:sz w:val="24"/>
          <w:szCs w:val="24"/>
        </w:rPr>
        <w:t xml:space="preserve">1.3a Creative Record Fields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shd w:fill="1A5C9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00"/>
            <w:shd w:fill="1A5C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shd w:fill="1A5C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creative_id</w:t>
            </w:r>
          </w:p>
        </w:tc>
        <w:tc>
          <w:tcPr>
            <w:tcW w:type="dxa" w:w="15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56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System-generated unique identifier for each uploaded creative asset.</w:t>
            </w:r>
          </w:p>
        </w:tc>
      </w:tr>
      <w:tr>
        <w:tc>
          <w:tcPr>
            <w:tcW w:type="dxa" w:w="22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retailer_id</w:t>
            </w:r>
          </w:p>
        </w:tc>
        <w:tc>
          <w:tcPr>
            <w:tcW w:type="dxa" w:w="15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6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Which retailer chain this creative belongs to.</w:t>
            </w:r>
          </w:p>
        </w:tc>
      </w:tr>
      <w:tr>
        <w:tc>
          <w:tcPr>
            <w:tcW w:type="dxa" w:w="2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store_group</w:t>
            </w:r>
          </w:p>
        </w:tc>
        <w:tc>
          <w:tcPr>
            <w:tcW w:type="dxa" w:w="15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Array[String]</w:t>
            </w:r>
          </w:p>
        </w:tc>
        <w:tc>
          <w:tcPr>
            <w:tcW w:type="dxa" w:w="56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or more store IDs this creative was served to. Supports A/B testing (e.g. stores 1-5 see Creative A, stores 6-10 see Creative B).</w:t>
            </w:r>
          </w:p>
        </w:tc>
      </w:tr>
      <w:tr>
        <w:tc>
          <w:tcPr>
            <w:tcW w:type="dxa" w:w="22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creative_type</w:t>
            </w:r>
          </w:p>
        </w:tc>
        <w:tc>
          <w:tcPr>
            <w:tcW w:type="dxa" w:w="15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6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gif | jpeg | png | mp4 | other. Determines how it is rendered in the dashboard.</w:t>
            </w:r>
          </w:p>
        </w:tc>
      </w:tr>
      <w:tr>
        <w:tc>
          <w:tcPr>
            <w:tcW w:type="dxa" w:w="2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file_url</w:t>
            </w:r>
          </w:p>
        </w:tc>
        <w:tc>
          <w:tcPr>
            <w:tcW w:type="dxa" w:w="15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6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Secure URL to the stored asset. CDN-hosted.</w:t>
            </w:r>
          </w:p>
        </w:tc>
      </w:tr>
      <w:tr>
        <w:tc>
          <w:tcPr>
            <w:tcW w:type="dxa" w:w="22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date_range_start</w:t>
            </w:r>
          </w:p>
        </w:tc>
        <w:tc>
          <w:tcPr>
            <w:tcW w:type="dxa" w:w="15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56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First date this creative was active.</w:t>
            </w:r>
          </w:p>
        </w:tc>
      </w:tr>
      <w:tr>
        <w:tc>
          <w:tcPr>
            <w:tcW w:type="dxa" w:w="2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date_range_end</w:t>
            </w:r>
          </w:p>
        </w:tc>
        <w:tc>
          <w:tcPr>
            <w:tcW w:type="dxa" w:w="15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56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Last date this creative was active.</w:t>
            </w:r>
          </w:p>
        </w:tc>
      </w:tr>
      <w:tr>
        <w:tc>
          <w:tcPr>
            <w:tcW w:type="dxa" w:w="22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uploaded_by</w:t>
            </w:r>
          </w:p>
        </w:tc>
        <w:tc>
          <w:tcPr>
            <w:tcW w:type="dxa" w:w="15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6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User ID of the media creative team member who uploaded it.</w:t>
            </w:r>
          </w:p>
        </w:tc>
      </w:tr>
      <w:tr>
        <w:tc>
          <w:tcPr>
            <w:tcW w:type="dxa" w:w="2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uploaded_at</w:t>
            </w:r>
          </w:p>
        </w:tc>
        <w:tc>
          <w:tcPr>
            <w:tcW w:type="dxa" w:w="15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56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the upload occurred.</w:t>
            </w:r>
          </w:p>
        </w:tc>
      </w:tr>
      <w:tr>
        <w:tc>
          <w:tcPr>
            <w:tcW w:type="dxa" w:w="22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15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6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Optional free-text notes from the uploader (e.g. 'Holiday version — T-bone steak hero').</w:t>
            </w:r>
          </w:p>
        </w:tc>
      </w:tr>
    </w:tbl>
    <w:p>
      <w:pPr>
        <w:spacing w:before="80" w:after="0"/>
      </w:pPr>
      <w:r>
        <w:t xml:space="preserve"/>
      </w:r>
    </w:p>
    <w:p>
      <w:pPr>
        <w:pStyle w:val="Heading3"/>
        <w:spacing w:before="200" w:after="80"/>
      </w:pPr>
      <w:r>
        <w:rPr>
          <w:rFonts w:ascii="Arial" w:cs="Arial" w:eastAsia="Arial" w:hAnsi="Arial"/>
          <w:b/>
          <w:bCs/>
          <w:color w:val="0F3D6E"/>
          <w:sz w:val="24"/>
          <w:szCs w:val="24"/>
        </w:rPr>
        <w:t xml:space="preserve">1.3b A/B Testing Support</w:t>
      </w:r>
    </w:p>
    <w:p>
      <w:pPr>
        <w:spacing w:before="60" w:after="100"/>
      </w:pPr>
      <w:r>
        <w:rPr>
          <w:rFonts w:ascii="Arial" w:cs="Arial" w:eastAsia="Arial" w:hAnsi="Arial"/>
          <w:sz w:val="22"/>
          <w:szCs w:val="22"/>
        </w:rPr>
        <w:t xml:space="preserve">The system must support multiple creatives for the same period and retailer. When two or more creatives share an overlapping date range for the same retailer, the dashboard should display them side-by-side with their respective performance metrics for comparison.</w:t>
      </w:r>
    </w:p>
    <w:p>
      <w:pPr>
        <w:spacing w:before="40" w:after="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A/B variant is defined by: same retailer_id + overlapping date range + different store_group arrays</w:t>
      </w:r>
    </w:p>
    <w:p>
      <w:pPr>
        <w:pStyle w:val="ListParagraph"/>
        <w:numPr>
          <w:ilvl w:val="0"/>
          <w:numId w:val="2"/>
        </w:numPr>
        <w:spacing w:before="40" w:after="40"/>
      </w:pPr>
      <w:r>
        <w:rPr>
          <w:rFonts w:ascii="Arial" w:cs="Arial" w:eastAsia="Arial" w:hAnsi="Arial"/>
          <w:b w:val="false"/>
          <w:bCs w:val="false"/>
          <w:sz w:val="22"/>
          <w:szCs w:val="22"/>
        </w:rPr>
        <w:t xml:space="preserve">Dashboard must clearly label Variant A / Variant B when multiple creatives exist for a period</w:t>
      </w:r>
    </w:p>
    <w:p>
      <w:pPr>
        <w:pStyle w:val="ListParagraph"/>
        <w:numPr>
          <w:ilvl w:val="0"/>
          <w:numId w:val="2"/>
        </w:numPr>
        <w:spacing w:before="40" w:after="40"/>
      </w:pPr>
      <w:r>
        <w:rPr>
          <w:rFonts w:ascii="Arial" w:cs="Arial" w:eastAsia="Arial" w:hAnsi="Arial"/>
          <w:b w:val="false"/>
          <w:bCs w:val="false"/>
          <w:sz w:val="22"/>
          <w:szCs w:val="22"/>
        </w:rPr>
        <w:t xml:space="preserve">Metrics (CTR, impressions, visits) must be attributed per creative/store group, not aggregated</w:t>
      </w:r>
    </w:p>
    <w:p>
      <w:pPr>
        <w:spacing w:before="120" w:after="0"/>
      </w:pPr>
      <w:r>
        <w:t xml:space="preserve"/>
      </w:r>
    </w:p>
    <w:p>
      <w:pPr>
        <w:pStyle w:val="Heading2"/>
        <w:spacing w:before="260" w:after="120"/>
      </w:pPr>
      <w:r>
        <w:rPr>
          <w:rFonts w:ascii="Arial" w:cs="Arial" w:eastAsia="Arial" w:hAnsi="Arial"/>
          <w:b/>
          <w:bCs/>
          <w:color w:val="1A5C96"/>
          <w:sz w:val="28"/>
          <w:szCs w:val="28"/>
        </w:rPr>
        <w:t xml:space="preserve">1.4 Demographic Overlay (Foot Traffic)</w:t>
      </w:r>
    </w:p>
    <w:p>
      <w:pPr>
        <w:spacing w:before="60" w:after="100"/>
      </w:pPr>
      <w:r>
        <w:rPr>
          <w:rFonts w:ascii="Arial" w:cs="Arial" w:eastAsia="Arial" w:hAnsi="Arial"/>
          <w:sz w:val="22"/>
          <w:szCs w:val="22"/>
        </w:rPr>
        <w:t xml:space="preserve">Amelia provided foot traffic demographic data from the period 11/28/25-12/31/25. These demographic dimensions are available for overlay on visitation data:</w:t>
      </w:r>
    </w:p>
    <w:p>
      <w:pPr>
        <w:spacing w:before="40" w:after="0"/>
      </w:pPr>
      <w:r>
        <w:t xml:space="preserve"/>
      </w:r>
    </w:p>
    <w:tbl>
      <w:tblPr>
        <w:tblW w:type="dxa" w:w="9360"/>
        <w:tblBorders>
          <w:top w:val="none"/>
          <w:left w:val="none"/>
          <w:bottom w:val="none"/>
          <w:right w:val="none"/>
          <w:insideH w:val="single" w:color="auto" w:sz="4"/>
          <w:insideV w:val="single" w:color="auto" w:sz="4"/>
        </w:tblBorders>
      </w:tblPr>
      <w:tblGrid>
        <w:gridCol w:w="2000"/>
        <w:gridCol w:w="4000"/>
        <w:gridCol w:w="3360"/>
      </w:tblGrid>
      <w:tr>
        <w:tc>
          <w:tcPr>
            <w:tcW w:type="dxa" w:w="2000"/>
            <w:shd w:fill="1A5C9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000"/>
            <w:shd w:fill="1A5C96" w:val="clear"/>
            <w:tcMar>
              <w:top w:type="dxa" w:w="80"/>
              <w:left w:type="dxa" w:w="120"/>
              <w:bottom w:type="dxa" w:w="80"/>
              <w:right w:type="dxa" w:w="120"/>
            </w:tcMar>
          </w:tcPr>
          <w:p>
            <w:r>
              <w:rPr>
                <w:rFonts w:ascii="Arial" w:cs="Arial" w:eastAsia="Arial" w:hAnsi="Arial"/>
                <w:b/>
                <w:bCs/>
                <w:color w:val="FFFFFF"/>
                <w:sz w:val="20"/>
                <w:szCs w:val="20"/>
              </w:rPr>
              <w:t xml:space="preserve">Values Available</w:t>
            </w:r>
          </w:p>
        </w:tc>
        <w:tc>
          <w:tcPr>
            <w:tcW w:type="dxa" w:w="3360"/>
            <w:shd w:fill="1A5C96" w:val="clear"/>
            <w:tcMar>
              <w:top w:type="dxa" w:w="80"/>
              <w:left w:type="dxa" w:w="120"/>
              <w:bottom w:type="dxa" w:w="80"/>
              <w:right w:type="dxa" w:w="120"/>
            </w:tcMar>
          </w:tcPr>
          <w:p>
            <w:r>
              <w:rPr>
                <w:rFonts w:ascii="Arial" w:cs="Arial" w:eastAsia="Arial" w:hAnsi="Arial"/>
                <w:b/>
                <w:bCs/>
                <w:color w:val="FFFFFF"/>
                <w:sz w:val="20"/>
                <w:szCs w:val="20"/>
              </w:rPr>
              <w:t xml:space="preserve">Sample (Winn-Dixie 11/28-12/31)</w:t>
            </w:r>
          </w:p>
        </w:tc>
      </w:tr>
      <w:tr>
        <w:tc>
          <w:tcPr>
            <w:tcW w:type="dxa" w:w="20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F3D6E"/>
                <w:sz w:val="20"/>
                <w:szCs w:val="20"/>
              </w:rPr>
              <w:t xml:space="preserve">Gender</w:t>
            </w:r>
          </w:p>
        </w:tc>
        <w:tc>
          <w:tcPr>
            <w:tcW w:type="dxa" w:w="40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Female / Male</w:t>
            </w:r>
          </w:p>
        </w:tc>
        <w:tc>
          <w:tcPr>
            <w:tcW w:type="dxa" w:w="33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53% Female / 47% Male</w:t>
            </w:r>
          </w:p>
        </w:tc>
      </w:tr>
      <w:tr>
        <w:tc>
          <w:tcPr>
            <w:tcW w:type="dxa" w:w="20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color w:val="0F3D6E"/>
                <w:sz w:val="20"/>
                <w:szCs w:val="20"/>
              </w:rPr>
              <w:t xml:space="preserve">Marital Status</w:t>
            </w:r>
          </w:p>
        </w:tc>
        <w:tc>
          <w:tcPr>
            <w:tcW w:type="dxa" w:w="40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sz w:val="20"/>
                <w:szCs w:val="20"/>
              </w:rPr>
              <w:t xml:space="preserve">Married / Single</w:t>
            </w:r>
          </w:p>
        </w:tc>
        <w:tc>
          <w:tcPr>
            <w:tcW w:type="dxa" w:w="33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color w:val="6B7280"/>
                <w:sz w:val="20"/>
                <w:szCs w:val="20"/>
              </w:rPr>
              <w:t xml:space="preserve">57% Married / 43% Single</w:t>
            </w:r>
          </w:p>
        </w:tc>
      </w:tr>
      <w:tr>
        <w:tc>
          <w:tcPr>
            <w:tcW w:type="dxa" w:w="20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F3D6E"/>
                <w:sz w:val="20"/>
                <w:szCs w:val="20"/>
              </w:rPr>
              <w:t xml:space="preserve">Presence of Children</w:t>
            </w:r>
          </w:p>
        </w:tc>
        <w:tc>
          <w:tcPr>
            <w:tcW w:type="dxa" w:w="40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Yes / No</w:t>
            </w:r>
          </w:p>
        </w:tc>
        <w:tc>
          <w:tcPr>
            <w:tcW w:type="dxa" w:w="33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69% No / 31% Yes</w:t>
            </w:r>
          </w:p>
        </w:tc>
      </w:tr>
      <w:tr>
        <w:tc>
          <w:tcPr>
            <w:tcW w:type="dxa" w:w="20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color w:val="0F3D6E"/>
                <w:sz w:val="20"/>
                <w:szCs w:val="20"/>
              </w:rPr>
              <w:t xml:space="preserve">Homeowner Status</w:t>
            </w:r>
          </w:p>
        </w:tc>
        <w:tc>
          <w:tcPr>
            <w:tcW w:type="dxa" w:w="40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sz w:val="20"/>
                <w:szCs w:val="20"/>
              </w:rPr>
              <w:t xml:space="preserve">Homeowner / Renter</w:t>
            </w:r>
          </w:p>
        </w:tc>
        <w:tc>
          <w:tcPr>
            <w:tcW w:type="dxa" w:w="33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color w:val="6B7280"/>
                <w:sz w:val="20"/>
                <w:szCs w:val="20"/>
              </w:rPr>
              <w:t xml:space="preserve">69% Homeowner / 31% Renter</w:t>
            </w:r>
          </w:p>
        </w:tc>
      </w:tr>
      <w:tr>
        <w:tc>
          <w:tcPr>
            <w:tcW w:type="dxa" w:w="20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F3D6E"/>
                <w:sz w:val="20"/>
                <w:szCs w:val="20"/>
              </w:rPr>
              <w:t xml:space="preserve">Age</w:t>
            </w:r>
          </w:p>
        </w:tc>
        <w:tc>
          <w:tcPr>
            <w:tcW w:type="dxa" w:w="40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18-24, 25-34, 35-44, 45-54, 55-64, 65+</w:t>
            </w:r>
          </w:p>
        </w:tc>
        <w:tc>
          <w:tcPr>
            <w:tcW w:type="dxa" w:w="33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Largest: 65+ (29%), then 25-34 (18%)</w:t>
            </w:r>
          </w:p>
        </w:tc>
      </w:tr>
      <w:tr>
        <w:tc>
          <w:tcPr>
            <w:tcW w:type="dxa" w:w="20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color w:val="0F3D6E"/>
                <w:sz w:val="20"/>
                <w:szCs w:val="20"/>
              </w:rPr>
              <w:t xml:space="preserve">Household Size</w:t>
            </w:r>
          </w:p>
        </w:tc>
        <w:tc>
          <w:tcPr>
            <w:tcW w:type="dxa" w:w="40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sz w:val="20"/>
                <w:szCs w:val="20"/>
              </w:rPr>
              <w:t xml:space="preserve">1 through 9+</w:t>
            </w:r>
          </w:p>
        </w:tc>
        <w:tc>
          <w:tcPr>
            <w:tcW w:type="dxa" w:w="33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color w:val="6B7280"/>
                <w:sz w:val="20"/>
                <w:szCs w:val="20"/>
              </w:rPr>
              <w:t xml:space="preserve">Skews small: 32% single-person HH</w:t>
            </w:r>
          </w:p>
        </w:tc>
      </w:tr>
      <w:tr>
        <w:tc>
          <w:tcPr>
            <w:tcW w:type="dxa" w:w="20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F3D6E"/>
                <w:sz w:val="20"/>
                <w:szCs w:val="20"/>
              </w:rPr>
              <w:t xml:space="preserve">Net Worth</w:t>
            </w:r>
          </w:p>
        </w:tc>
        <w:tc>
          <w:tcPr>
            <w:tcW w:type="dxa" w:w="40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$1-4K, $5-24K, $25-99K, $100-499K, $500K+</w:t>
            </w:r>
          </w:p>
        </w:tc>
        <w:tc>
          <w:tcPr>
            <w:tcW w:type="dxa" w:w="33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Bimodal: 33% &lt;$4K and 28% $100-499K</w:t>
            </w:r>
          </w:p>
        </w:tc>
      </w:tr>
      <w:tr>
        <w:tc>
          <w:tcPr>
            <w:tcW w:type="dxa" w:w="20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color w:val="0F3D6E"/>
                <w:sz w:val="20"/>
                <w:szCs w:val="20"/>
              </w:rPr>
              <w:t xml:space="preserve">Est. Household Income</w:t>
            </w:r>
          </w:p>
        </w:tc>
        <w:tc>
          <w:tcPr>
            <w:tcW w:type="dxa" w:w="40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sz w:val="20"/>
                <w:szCs w:val="20"/>
              </w:rPr>
              <w:t xml:space="preserve">&lt;$19K through $250K+</w:t>
            </w:r>
          </w:p>
        </w:tc>
        <w:tc>
          <w:tcPr>
            <w:tcW w:type="dxa" w:w="33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color w:val="6B7280"/>
                <w:sz w:val="20"/>
                <w:szCs w:val="20"/>
              </w:rPr>
              <w:t xml:space="preserve">37% in $65K-$149K bracket</w:t>
            </w:r>
          </w:p>
        </w:tc>
      </w:tr>
    </w:tbl>
    <w:p>
      <w:pPr>
        <w:spacing w:before="120" w:after="0"/>
      </w:pPr>
      <w:r>
        <w:t xml:space="preserve"/>
      </w:r>
    </w:p>
    <w:p>
      <w:pPr>
        <w:pStyle w:val="Heading2"/>
        <w:spacing w:before="260" w:after="120"/>
      </w:pPr>
      <w:r>
        <w:rPr>
          <w:rFonts w:ascii="Arial" w:cs="Arial" w:eastAsia="Arial" w:hAnsi="Arial"/>
          <w:b/>
          <w:bCs/>
          <w:color w:val="1A5C96"/>
          <w:sz w:val="28"/>
          <w:szCs w:val="28"/>
        </w:rPr>
        <w:t xml:space="preserve">1.5 Loyalty Retention (New — Northgate)</w:t>
      </w:r>
    </w:p>
    <w:p>
      <w:pPr>
        <w:spacing w:before="60" w:after="100"/>
      </w:pPr>
      <w:r>
        <w:rPr>
          <w:rFonts w:ascii="Arial" w:cs="Arial" w:eastAsia="Arial" w:hAnsi="Arial"/>
          <w:sz w:val="22"/>
          <w:szCs w:val="22"/>
        </w:rPr>
        <w:t xml:space="preserve">Amelia has flagged a new report type incoming for Northgate Market: MAID-count-based loyalty retention — tracking how many unique device IDs visited a store 10 or more times within a quarter. This is quarterly cadence to start but is architecturally available for any account.</w:t>
      </w:r>
    </w:p>
    <w:p>
      <w:pPr>
        <w:spacing w:before="40" w:after="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Field: loyalty_retention_maid_count — Integer count of unique MAIDs with 10+ visits in a quarter</w:t>
      </w:r>
    </w:p>
    <w:p>
      <w:pPr>
        <w:pStyle w:val="ListParagraph"/>
        <w:numPr>
          <w:ilvl w:val="0"/>
          <w:numId w:val="2"/>
        </w:numPr>
        <w:spacing w:before="40" w:after="40"/>
      </w:pPr>
      <w:r>
        <w:rPr>
          <w:rFonts w:ascii="Arial" w:cs="Arial" w:eastAsia="Arial" w:hAnsi="Arial"/>
          <w:b w:val="false"/>
          <w:bCs w:val="false"/>
          <w:sz w:val="22"/>
          <w:szCs w:val="22"/>
        </w:rPr>
        <w:t xml:space="preserve">Cadence: Quarterly per store</w:t>
      </w:r>
    </w:p>
    <w:p>
      <w:pPr>
        <w:pStyle w:val="ListParagraph"/>
        <w:numPr>
          <w:ilvl w:val="0"/>
          <w:numId w:val="2"/>
        </w:numPr>
        <w:spacing w:before="40" w:after="40"/>
      </w:pPr>
      <w:r>
        <w:rPr>
          <w:rFonts w:ascii="Arial" w:cs="Arial" w:eastAsia="Arial" w:hAnsi="Arial"/>
          <w:b w:val="false"/>
          <w:bCs w:val="false"/>
          <w:sz w:val="22"/>
          <w:szCs w:val="22"/>
        </w:rPr>
        <w:t xml:space="preserve">Status: First Northgate report not yet received — treat as a future field, design schema to accommodate</w:t>
      </w:r>
    </w:p>
    <w:p>
      <w:r>
        <w:br w:type="page"/>
      </w:r>
    </w:p>
    <w:tbl>
      <w:tblPr>
        <w:tblW w:type="dxa" w:w="9360"/>
        <w:tblBorders>
          <w:top w:val="none"/>
          <w:left w:val="none"/>
          <w:bottom w:val="none"/>
          <w:right w:val="none"/>
          <w:insideH w:val="single" w:color="auto" w:sz="4"/>
          <w:insideV w:val="single" w:color="auto" w:sz="4"/>
        </w:tblBorders>
      </w:tblPr>
      <w:tblGrid>
        <w:gridCol w:w="720"/>
        <w:gridCol w:w="8640"/>
      </w:tblGrid>
      <w:tr>
        <w:tc>
          <w:tcPr>
            <w:tcW w:type="dxa" w:w="720"/>
            <w:shd w:fill="10B981" w:val="clear"/>
            <w:tcMar>
              <w:top w:type="dxa" w:w="140"/>
              <w:left w:type="dxa" w:w="100"/>
              <w:bottom w:type="dxa" w:w="140"/>
              <w:right w:type="dxa" w:w="100"/>
            </w:tcMar>
          </w:tcPr>
          <w:p>
            <w:pPr>
              <w:jc w:val="center"/>
            </w:pPr>
            <w:r>
              <w:rPr>
                <w:rFonts w:ascii="Arial" w:cs="Arial" w:eastAsia="Arial" w:hAnsi="Arial"/>
                <w:b/>
                <w:bCs/>
                <w:color w:val="FFFFFF"/>
                <w:sz w:val="36"/>
                <w:szCs w:val="36"/>
              </w:rPr>
              <w:t xml:space="preserve">2</w:t>
            </w:r>
          </w:p>
        </w:tc>
        <w:tc>
          <w:tcPr>
            <w:tcW w:type="dxa" w:w="8640"/>
            <w:shd w:fill="EBF9F4" w:val="clear"/>
            <w:tcMar>
              <w:top w:type="dxa" w:w="80"/>
              <w:left w:type="dxa" w:w="160"/>
              <w:bottom w:type="dxa" w:w="80"/>
              <w:right w:type="dxa" w:w="120"/>
            </w:tcMar>
          </w:tcPr>
          <w:p>
            <w:r>
              <w:rPr>
                <w:rFonts w:ascii="Arial" w:cs="Arial" w:eastAsia="Arial" w:hAnsi="Arial"/>
                <w:b/>
                <w:bCs/>
                <w:color w:val="0F3D6E"/>
                <w:sz w:val="30"/>
                <w:szCs w:val="30"/>
              </w:rPr>
              <w:t xml:space="preserve">Store Visitation Driven by Media</w:t>
            </w:r>
          </w:p>
          <w:p>
            <w:r>
              <w:rPr>
                <w:rFonts w:ascii="Arial" w:cs="Arial" w:eastAsia="Arial" w:hAnsi="Arial"/>
                <w:color w:val="6B7280"/>
                <w:sz w:val="20"/>
                <w:szCs w:val="20"/>
              </w:rPr>
              <w:t xml:space="preserve">Visit Frequency Buckets · Competitive Crossover · Cost Per Visit · Change Over Time</w:t>
            </w:r>
          </w:p>
        </w:tc>
      </w:tr>
    </w:tbl>
    <w:p>
      <w:pPr>
        <w:spacing w:before="120" w:after="0"/>
      </w:pPr>
      <w:r>
        <w:t xml:space="preserve"/>
      </w:r>
    </w:p>
    <w:p>
      <w:pPr>
        <w:pStyle w:val="Heading2"/>
        <w:spacing w:before="260" w:after="120"/>
      </w:pPr>
      <w:r>
        <w:rPr>
          <w:rFonts w:ascii="Arial" w:cs="Arial" w:eastAsia="Arial" w:hAnsi="Arial"/>
          <w:b/>
          <w:bCs/>
          <w:color w:val="1A5C96"/>
          <w:sz w:val="28"/>
          <w:szCs w:val="28"/>
        </w:rPr>
        <w:t xml:space="preserve">2.1 Purpose</w:t>
      </w:r>
    </w:p>
    <w:p>
      <w:pPr>
        <w:spacing w:before="60" w:after="100"/>
      </w:pPr>
      <w:r>
        <w:rPr>
          <w:rFonts w:ascii="Arial" w:cs="Arial" w:eastAsia="Arial" w:hAnsi="Arial"/>
          <w:sz w:val="22"/>
          <w:szCs w:val="22"/>
        </w:rPr>
        <w:t xml:space="preserve">This section answers: Of the people our media reached, how many came to our stores — and what type of shopper are they? It is the most data-rich section and the most complicated according to Adam. Cost Per Visit is the headline number and should be displayed first and most prominently.</w:t>
      </w:r>
    </w:p>
    <w:p>
      <w:pPr>
        <w:spacing w:before="80" w:after="0"/>
      </w:pPr>
      <w:r>
        <w:t xml:space="preserve"/>
      </w:r>
    </w:p>
    <w:p>
      <w:pPr>
        <w:pStyle w:val="Heading2"/>
        <w:spacing w:before="260" w:after="120"/>
      </w:pPr>
      <w:r>
        <w:rPr>
          <w:rFonts w:ascii="Arial" w:cs="Arial" w:eastAsia="Arial" w:hAnsi="Arial"/>
          <w:b/>
          <w:bCs/>
          <w:color w:val="1A5C96"/>
          <w:sz w:val="28"/>
          <w:szCs w:val="28"/>
        </w:rPr>
        <w:t xml:space="preserve">2.2 Visit Frequency Buckets</w:t>
      </w:r>
    </w:p>
    <w:p>
      <w:pPr>
        <w:spacing w:before="60" w:after="100"/>
      </w:pPr>
      <w:r>
        <w:rPr>
          <w:rFonts w:ascii="Arial" w:cs="Arial" w:eastAsia="Arial" w:hAnsi="Arial"/>
          <w:sz w:val="22"/>
          <w:szCs w:val="22"/>
        </w:rPr>
        <w:t xml:space="preserve">All gross visits attributed to media are classified into three buckets based on the number of times that device visited the store in the preceding 30 days. These buckets are critical for understanding the quality of traffic being driven.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c>
          <w:tcPr>
            <w:tcW w:type="dxa" w:w="2500"/>
            <w:shd w:fill="1A5C9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300"/>
            <w:shd w:fill="1A5C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shd w:fill="1A5C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visits_zero_prev</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5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PREVIOUS VISITS in 30 days. Highest-value bucket — media likely drove this shopper from a competitor. We can take significant attribution credit. DO NOT label as 'new visits' (per Adam — this term is misleading).</w:t>
            </w:r>
          </w:p>
        </w:tc>
      </w:tr>
      <w:tr>
        <w:tc>
          <w:tcPr>
            <w:tcW w:type="dxa" w:w="25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visits_one_three_prev</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5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1-3 PREVIOUS VISITS in 30 days. Occasional shoppers. Some attribution credit appropriate.</w:t>
            </w:r>
          </w:p>
        </w:tc>
      </w:tr>
      <w:tr>
        <w:tc>
          <w:tcPr>
            <w:tcW w:type="dxa" w:w="25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visits_four_plus_prev</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5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PREVIOUS VISITS in 30 days. Loyal, frequent shoppers. Lowest attribution credit — likely would have come anyway. Most valuable for loyalty tracking.</w:t>
            </w:r>
          </w:p>
        </w:tc>
      </w:tr>
      <w:tr>
        <w:tc>
          <w:tcPr>
            <w:tcW w:type="dxa" w:w="25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gross_visits</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5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Sum of all three buckets. Total visits attributed to media impressions in the period.</w:t>
            </w:r>
          </w:p>
        </w:tc>
      </w:tr>
      <w:tr>
        <w:tc>
          <w:tcPr>
            <w:tcW w:type="dxa" w:w="25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cost_per_visit</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 ($)</w:t>
            </w:r>
          </w:p>
        </w:tc>
        <w:tc>
          <w:tcPr>
            <w:tcW w:type="dxa" w:w="55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 spend / gross_visits. THE PRIMARY METRIC. Display first in the UI, largest type, most visible position.</w:t>
            </w:r>
          </w:p>
        </w:tc>
      </w:tr>
      <w:tr>
        <w:tc>
          <w:tcPr>
            <w:tcW w:type="dxa" w:w="25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visits_per_thousand</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5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Gross visits / impressions * 1000. New metric from Amelia. Shows visit yield efficiency per 1,000 ad impressions.</w:t>
            </w:r>
          </w:p>
        </w:tc>
      </w:tr>
    </w:tbl>
    <w:p>
      <w:pPr>
        <w:spacing w:before="120" w:after="0"/>
      </w:pPr>
      <w:r>
        <w:t xml:space="preserve"/>
      </w:r>
    </w:p>
    <w:p>
      <w:pPr>
        <w:pStyle w:val="Heading2"/>
        <w:spacing w:before="260" w:after="120"/>
      </w:pPr>
      <w:r>
        <w:rPr>
          <w:rFonts w:ascii="Arial" w:cs="Arial" w:eastAsia="Arial" w:hAnsi="Arial"/>
          <w:b/>
          <w:bCs/>
          <w:color w:val="1A5C96"/>
          <w:sz w:val="28"/>
          <w:szCs w:val="28"/>
        </w:rPr>
        <w:t xml:space="preserve">2.3 Competitive Crossover</w:t>
      </w:r>
    </w:p>
    <w:p>
      <w:pPr>
        <w:spacing w:before="60" w:after="100"/>
      </w:pPr>
      <w:r>
        <w:rPr>
          <w:rFonts w:ascii="Arial" w:cs="Arial" w:eastAsia="Arial" w:hAnsi="Arial"/>
          <w:sz w:val="22"/>
          <w:szCs w:val="22"/>
        </w:rPr>
        <w:t xml:space="preserve">For each visit attributed to media, the system tracks where that device also shops (within the same period). This creates a cross-shopping profile that shows which competitor stores the media-driven visitors also frequent.</w:t>
      </w:r>
    </w:p>
    <w:p>
      <w:pPr>
        <w:spacing w:before="40" w:after="0"/>
      </w:pPr>
      <w:r>
        <w:t xml:space="preserve"/>
      </w:r>
    </w:p>
    <w:tbl>
      <w:tblPr>
        <w:tblW w:type="dxa" w:w="9360"/>
        <w:tblBorders>
          <w:top w:val="single" w:color="10B981" w:sz="4"/>
          <w:left w:val="single" w:color="10B981" w:sz="12"/>
          <w:bottom w:val="single" w:color="10B981" w:sz="4"/>
          <w:right w:val="single" w:color="10B981" w:sz="4"/>
          <w:insideH w:val="single" w:color="auto" w:sz="4"/>
          <w:insideV w:val="single" w:color="auto" w:sz="4"/>
        </w:tblBorders>
      </w:tblPr>
      <w:tblGrid>
        <w:gridCol w:w="9360"/>
      </w:tblGrid>
      <w:tr>
        <w:tc>
          <w:tcPr>
            <w:tcW w:type="dxa" w:w="9360"/>
            <w:shd w:fill="EBF9F4" w:val="clear"/>
            <w:tcMar>
              <w:top w:type="dxa" w:w="100"/>
              <w:left w:type="dxa" w:w="200"/>
              <w:bottom w:type="dxa" w:w="100"/>
              <w:right w:type="dxa" w:w="120"/>
            </w:tcMar>
          </w:tcPr>
          <w:p>
            <w:r>
              <w:rPr>
                <w:rFonts w:ascii="Arial" w:cs="Arial" w:eastAsia="Arial" w:hAnsi="Arial"/>
                <w:i/>
                <w:iCs/>
                <w:sz w:val="21"/>
                <w:szCs w:val="21"/>
              </w:rPr>
              <w:t xml:space="preserve">Per Adam: 'It's not that we're stealing customers — it's allowing retailers to understand where their shoppers are also shopping. That data is something all our retailers wish they had and can't get anywhere else.'</w:t>
            </w:r>
          </w:p>
        </w:tc>
      </w:tr>
    </w:tbl>
    <w:p>
      <w:pPr>
        <w:spacing w:before="100" w:after="0"/>
      </w:pPr>
      <w:r>
        <w:t xml:space="preserve"/>
      </w:r>
    </w:p>
    <w:p>
      <w:pPr>
        <w:pStyle w:val="Heading3"/>
        <w:spacing w:before="200" w:after="80"/>
      </w:pPr>
      <w:r>
        <w:rPr>
          <w:rFonts w:ascii="Arial" w:cs="Arial" w:eastAsia="Arial" w:hAnsi="Arial"/>
          <w:b/>
          <w:bCs/>
          <w:color w:val="0F3D6E"/>
          <w:sz w:val="24"/>
          <w:szCs w:val="24"/>
        </w:rPr>
        <w:t xml:space="preserve">2.3a Crossover Record Fields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260"/>
      </w:tblGrid>
      <w:tr>
        <w:tc>
          <w:tcPr>
            <w:tcW w:type="dxa" w:w="2800"/>
            <w:shd w:fill="1A5C9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300"/>
            <w:shd w:fill="1A5C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60"/>
            <w:shd w:fill="1A5C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store_id</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2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Winn-Dixie store this crossover data is associated with.</w:t>
            </w:r>
          </w:p>
        </w:tc>
      </w:tr>
      <w:tr>
        <w:tc>
          <w:tcPr>
            <w:tcW w:type="dxa" w:w="2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competitor_name</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2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Competitor brand name (e.g. 'Publix', 'ALDI', 'Walmart').</w:t>
            </w:r>
          </w:p>
        </w:tc>
      </w:tr>
      <w:tr>
        <w:tc>
          <w:tcPr>
            <w:tcW w:type="dxa" w:w="2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competitor_store_address</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2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address of the specific competitor location. Critical — 'Publix' could be 2 different stores near the same WD location.</w:t>
            </w:r>
          </w:p>
        </w:tc>
      </w:tr>
      <w:tr>
        <w:tc>
          <w:tcPr>
            <w:tcW w:type="dxa" w:w="2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crossover_pct</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Float (%)</w:t>
            </w:r>
          </w:p>
        </w:tc>
        <w:tc>
          <w:tcPr>
            <w:tcW w:type="dxa" w:w="52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Percentage of this WD store's media-driven visitors who also visited this competitor.</w:t>
            </w:r>
          </w:p>
        </w:tc>
      </w:tr>
      <w:tr>
        <w:tc>
          <w:tcPr>
            <w:tcW w:type="dxa" w:w="2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crossover_visits_zero_prev</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2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 crossover visitors from this competitor, how many had zero prior WD visits (30 days).</w:t>
            </w:r>
          </w:p>
        </w:tc>
      </w:tr>
      <w:tr>
        <w:tc>
          <w:tcPr>
            <w:tcW w:type="dxa" w:w="2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crossover_visits_one_three</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2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Of crossover visitors from this competitor, how many had 1-3 prior WD visits.</w:t>
            </w:r>
          </w:p>
        </w:tc>
      </w:tr>
      <w:tr>
        <w:tc>
          <w:tcPr>
            <w:tcW w:type="dxa" w:w="2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crossover_visits_four_plus</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2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 crossover visitors from this competitor, how many had 4+ prior WD visits.</w:t>
            </w:r>
          </w:p>
        </w:tc>
      </w:tr>
      <w:tr>
        <w:tc>
          <w:tcPr>
            <w:tcW w:type="dxa" w:w="2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flight_week</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2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Flight week this crossover data belongs to.</w:t>
            </w:r>
          </w:p>
        </w:tc>
      </w:tr>
      <w:tr>
        <w:tc>
          <w:tcPr>
            <w:tcW w:type="dxa" w:w="2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hhi_status</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2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Market concentration: Highly Concentrated | Moderately Concentrated. From Pulse data.</w:t>
            </w:r>
          </w:p>
        </w:tc>
      </w:tr>
      <w:tr>
        <w:tc>
          <w:tcPr>
            <w:tcW w:type="dxa" w:w="2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primary_threat</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2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The single competitor with the highest crossover share for this WD store.</w:t>
            </w:r>
          </w:p>
        </w:tc>
      </w:tr>
    </w:tbl>
    <w:p>
      <w:pPr>
        <w:spacing w:before="80" w:after="0"/>
      </w:pPr>
      <w:r>
        <w:t xml:space="preserve"/>
      </w:r>
    </w:p>
    <w:p>
      <w:pPr>
        <w:pStyle w:val="Heading3"/>
        <w:spacing w:before="200" w:after="80"/>
      </w:pPr>
      <w:r>
        <w:rPr>
          <w:rFonts w:ascii="Arial" w:cs="Arial" w:eastAsia="Arial" w:hAnsi="Arial"/>
          <w:b/>
          <w:bCs/>
          <w:color w:val="0F3D6E"/>
          <w:sz w:val="24"/>
          <w:szCs w:val="24"/>
        </w:rPr>
        <w:t xml:space="preserve">2.3b Data Notes from Pulse (Winn-Dixie Pilot)</w:t>
      </w:r>
    </w:p>
    <w:p>
      <w:pPr>
        <w:pStyle w:val="ListParagraph"/>
        <w:numPr>
          <w:ilvl w:val="0"/>
          <w:numId w:val="2"/>
        </w:numPr>
        <w:spacing w:before="40" w:after="40"/>
      </w:pPr>
      <w:r>
        <w:rPr>
          <w:rFonts w:ascii="Arial" w:cs="Arial" w:eastAsia="Arial" w:hAnsi="Arial"/>
          <w:b w:val="false"/>
          <w:bCs w:val="false"/>
          <w:sz w:val="22"/>
          <w:szCs w:val="22"/>
        </w:rPr>
        <w:t xml:space="preserve">20 Winn-Dixie stores in fixed panel across Florida (Black Friday through 1/13/26)</w:t>
      </w:r>
    </w:p>
    <w:p>
      <w:pPr>
        <w:pStyle w:val="ListParagraph"/>
        <w:numPr>
          <w:ilvl w:val="0"/>
          <w:numId w:val="2"/>
        </w:numPr>
        <w:spacing w:before="40" w:after="40"/>
      </w:pPr>
      <w:r>
        <w:rPr>
          <w:rFonts w:ascii="Arial" w:cs="Arial" w:eastAsia="Arial" w:hAnsi="Arial"/>
          <w:b w:val="false"/>
          <w:bCs w:val="false"/>
          <w:sz w:val="22"/>
          <w:szCs w:val="22"/>
        </w:rPr>
        <w:t xml:space="preserve">16 of 20 stores are in Highly Concentrated markets (HHI metric) — one competitor drives most share movement</w:t>
      </w:r>
    </w:p>
    <w:p>
      <w:pPr>
        <w:pStyle w:val="ListParagraph"/>
        <w:numPr>
          <w:ilvl w:val="0"/>
          <w:numId w:val="2"/>
        </w:numPr>
        <w:spacing w:before="40" w:after="40"/>
      </w:pPr>
      <w:r>
        <w:rPr>
          <w:rFonts w:ascii="Arial" w:cs="Arial" w:eastAsia="Arial" w:hAnsi="Arial"/>
          <w:b w:val="false"/>
          <w:bCs w:val="false"/>
          <w:sz w:val="22"/>
          <w:szCs w:val="22"/>
        </w:rPr>
        <w:t xml:space="preserve">Primary threat brand breakdown: Publix (11 stores), ALDI (3 stores), Walmart (2 stores)</w:t>
      </w:r>
    </w:p>
    <w:p>
      <w:pPr>
        <w:pStyle w:val="ListParagraph"/>
        <w:numPr>
          <w:ilvl w:val="0"/>
          <w:numId w:val="2"/>
        </w:numPr>
        <w:spacing w:before="40" w:after="40"/>
      </w:pPr>
      <w:r>
        <w:rPr>
          <w:rFonts w:ascii="Arial" w:cs="Arial" w:eastAsia="Arial" w:hAnsi="Arial"/>
          <w:b w:val="false"/>
          <w:bCs w:val="false"/>
          <w:sz w:val="22"/>
          <w:szCs w:val="22"/>
        </w:rPr>
        <w:t xml:space="preserve">Competitor store-level granularity is critical — 'Publix' must show as specific addresses, not just the brand</w:t>
      </w:r>
    </w:p>
    <w:p>
      <w:pPr>
        <w:pStyle w:val="ListParagraph"/>
        <w:numPr>
          <w:ilvl w:val="0"/>
          <w:numId w:val="2"/>
        </w:numPr>
        <w:spacing w:before="40" w:after="40"/>
      </w:pPr>
      <w:r>
        <w:rPr>
          <w:rFonts w:ascii="Arial" w:cs="Arial" w:eastAsia="Arial" w:hAnsi="Arial"/>
          <w:b w:val="false"/>
          <w:bCs w:val="false"/>
          <w:sz w:val="22"/>
          <w:szCs w:val="22"/>
        </w:rPr>
        <w:t xml:space="preserve">Stores with CRITICAL data anomaly flags: 2288, 436, 711 — data QA validation required before dashboard display</w:t>
      </w:r>
    </w:p>
    <w:p>
      <w:pPr>
        <w:spacing w:before="120" w:after="0"/>
      </w:pPr>
      <w:r>
        <w:t xml:space="preserve"/>
      </w:r>
    </w:p>
    <w:p>
      <w:pPr>
        <w:pStyle w:val="Heading2"/>
        <w:spacing w:before="260" w:after="120"/>
      </w:pPr>
      <w:r>
        <w:rPr>
          <w:rFonts w:ascii="Arial" w:cs="Arial" w:eastAsia="Arial" w:hAnsi="Arial"/>
          <w:b/>
          <w:bCs/>
          <w:color w:val="1A5C96"/>
          <w:sz w:val="28"/>
          <w:szCs w:val="28"/>
        </w:rPr>
        <w:t xml:space="preserve">2.4 Change Over Time</w:t>
      </w:r>
    </w:p>
    <w:p>
      <w:pPr>
        <w:spacing w:before="60" w:after="100"/>
      </w:pPr>
      <w:r>
        <w:rPr>
          <w:rFonts w:ascii="Arial" w:cs="Arial" w:eastAsia="Arial" w:hAnsi="Arial"/>
          <w:sz w:val="22"/>
          <w:szCs w:val="22"/>
        </w:rPr>
        <w:t xml:space="preserve">Both visit frequency and competitive crossover must be viewable as trend charts over the campaign duration. This is described by Adam as 'one of the most important things we will do with this new system that we cannot do today.'</w:t>
      </w:r>
    </w:p>
    <w:p>
      <w:pPr>
        <w:spacing w:before="40" w:after="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Default view: All stores aggregated, current flight week</w:t>
      </w:r>
    </w:p>
    <w:p>
      <w:pPr>
        <w:pStyle w:val="ListParagraph"/>
        <w:numPr>
          <w:ilvl w:val="0"/>
          <w:numId w:val="2"/>
        </w:numPr>
        <w:spacing w:before="40" w:after="40"/>
      </w:pPr>
      <w:r>
        <w:rPr>
          <w:rFonts w:ascii="Arial" w:cs="Arial" w:eastAsia="Arial" w:hAnsi="Arial"/>
          <w:b w:val="false"/>
          <w:bCs w:val="false"/>
          <w:sz w:val="22"/>
          <w:szCs w:val="22"/>
        </w:rPr>
        <w:t xml:space="preserve">Date range selector: Allow any date range within the data history</w:t>
      </w:r>
    </w:p>
    <w:p>
      <w:pPr>
        <w:pStyle w:val="ListParagraph"/>
        <w:numPr>
          <w:ilvl w:val="0"/>
          <w:numId w:val="2"/>
        </w:numPr>
        <w:spacing w:before="40" w:after="40"/>
      </w:pPr>
      <w:r>
        <w:rPr>
          <w:rFonts w:ascii="Arial" w:cs="Arial" w:eastAsia="Arial" w:hAnsi="Arial"/>
          <w:b w:val="false"/>
          <w:bCs w:val="false"/>
          <w:sz w:val="22"/>
          <w:szCs w:val="22"/>
        </w:rPr>
        <w:t xml:space="preserve">Store filter: Drill down to a single store — all metrics recalculate for that store only</w:t>
      </w:r>
    </w:p>
    <w:p>
      <w:pPr>
        <w:pStyle w:val="ListParagraph"/>
        <w:numPr>
          <w:ilvl w:val="0"/>
          <w:numId w:val="2"/>
        </w:numPr>
        <w:spacing w:before="40" w:after="40"/>
      </w:pPr>
      <w:r>
        <w:rPr>
          <w:rFonts w:ascii="Arial" w:cs="Arial" w:eastAsia="Arial" w:hAnsi="Arial"/>
          <w:b w:val="false"/>
          <w:bCs w:val="false"/>
          <w:sz w:val="22"/>
          <w:szCs w:val="22"/>
        </w:rPr>
        <w:t xml:space="preserve">Store group filter: Aggregate by group (e.g. Red / Amber / Green store health groupings)</w:t>
      </w:r>
    </w:p>
    <w:p>
      <w:pPr>
        <w:pStyle w:val="ListParagraph"/>
        <w:numPr>
          <w:ilvl w:val="0"/>
          <w:numId w:val="2"/>
        </w:numPr>
        <w:spacing w:before="40" w:after="40"/>
      </w:pPr>
      <w:r>
        <w:rPr>
          <w:rFonts w:ascii="Arial" w:cs="Arial" w:eastAsia="Arial" w:hAnsi="Arial"/>
          <w:b w:val="false"/>
          <w:bCs w:val="false"/>
          <w:sz w:val="22"/>
          <w:szCs w:val="22"/>
        </w:rPr>
        <w:t xml:space="preserve">Chart type for crossover over time: Line chart per competitor, showing % crossover by week</w:t>
      </w:r>
    </w:p>
    <w:p>
      <w:pPr>
        <w:pStyle w:val="ListParagraph"/>
        <w:numPr>
          <w:ilvl w:val="0"/>
          <w:numId w:val="2"/>
        </w:numPr>
        <w:spacing w:before="40" w:after="40"/>
      </w:pPr>
      <w:r>
        <w:rPr>
          <w:rFonts w:ascii="Arial" w:cs="Arial" w:eastAsia="Arial" w:hAnsi="Arial"/>
          <w:b w:val="false"/>
          <w:bCs w:val="false"/>
          <w:sz w:val="22"/>
          <w:szCs w:val="22"/>
        </w:rPr>
        <w:t xml:space="preserve">Chart type for frequency over time: 100% stacked bar (zero / 1-3 / 4+) by week — matches Pulse PDF visualization</w:t>
      </w:r>
    </w:p>
    <w:p>
      <w:r>
        <w:br w:type="page"/>
      </w:r>
    </w:p>
    <w:tbl>
      <w:tblPr>
        <w:tblW w:type="dxa" w:w="9360"/>
        <w:tblBorders>
          <w:top w:val="none"/>
          <w:left w:val="none"/>
          <w:bottom w:val="none"/>
          <w:right w:val="none"/>
          <w:insideH w:val="single" w:color="auto" w:sz="4"/>
          <w:insideV w:val="single" w:color="auto" w:sz="4"/>
        </w:tblBorders>
      </w:tblPr>
      <w:tblGrid>
        <w:gridCol w:w="720"/>
        <w:gridCol w:w="8640"/>
      </w:tblGrid>
      <w:tr>
        <w:tc>
          <w:tcPr>
            <w:tcW w:type="dxa" w:w="720"/>
            <w:shd w:fill="F59E0B" w:val="clear"/>
            <w:tcMar>
              <w:top w:type="dxa" w:w="140"/>
              <w:left w:type="dxa" w:w="100"/>
              <w:bottom w:type="dxa" w:w="140"/>
              <w:right w:type="dxa" w:w="100"/>
            </w:tcMar>
          </w:tcPr>
          <w:p>
            <w:pPr>
              <w:jc w:val="center"/>
            </w:pPr>
            <w:r>
              <w:rPr>
                <w:rFonts w:ascii="Arial" w:cs="Arial" w:eastAsia="Arial" w:hAnsi="Arial"/>
                <w:b/>
                <w:bCs/>
                <w:color w:val="FFFFFF"/>
                <w:sz w:val="36"/>
                <w:szCs w:val="36"/>
              </w:rPr>
              <w:t xml:space="preserve">3</w:t>
            </w:r>
          </w:p>
        </w:tc>
        <w:tc>
          <w:tcPr>
            <w:tcW w:type="dxa" w:w="8640"/>
            <w:shd w:fill="FEF3E2" w:val="clear"/>
            <w:tcMar>
              <w:top w:type="dxa" w:w="80"/>
              <w:left w:type="dxa" w:w="160"/>
              <w:bottom w:type="dxa" w:w="80"/>
              <w:right w:type="dxa" w:w="120"/>
            </w:tcMar>
          </w:tcPr>
          <w:p>
            <w:r>
              <w:rPr>
                <w:rFonts w:ascii="Arial" w:cs="Arial" w:eastAsia="Arial" w:hAnsi="Arial"/>
                <w:b/>
                <w:bCs/>
                <w:color w:val="0F3D6E"/>
                <w:sz w:val="30"/>
                <w:szCs w:val="30"/>
              </w:rPr>
              <w:t xml:space="preserve">Gross Foot Traffic Share Shift</w:t>
            </w:r>
          </w:p>
          <w:p>
            <w:r>
              <w:rPr>
                <w:rFonts w:ascii="Arial" w:cs="Arial" w:eastAsia="Arial" w:hAnsi="Arial"/>
                <w:color w:val="6B7280"/>
                <w:sz w:val="20"/>
                <w:szCs w:val="20"/>
              </w:rPr>
              <w:t xml:space="preserve">Placer.ai / Pulse Data · Daily Feed · WD vs Competitors · Store-Level Market Share</w:t>
            </w:r>
          </w:p>
        </w:tc>
      </w:tr>
    </w:tbl>
    <w:p>
      <w:pPr>
        <w:spacing w:before="120" w:after="0"/>
      </w:pPr>
      <w:r>
        <w:t xml:space="preserve"/>
      </w:r>
    </w:p>
    <w:p>
      <w:pPr>
        <w:pStyle w:val="Heading2"/>
        <w:spacing w:before="260" w:after="120"/>
      </w:pPr>
      <w:r>
        <w:rPr>
          <w:rFonts w:ascii="Arial" w:cs="Arial" w:eastAsia="Arial" w:hAnsi="Arial"/>
          <w:b/>
          <w:bCs/>
          <w:color w:val="1A5C96"/>
          <w:sz w:val="28"/>
          <w:szCs w:val="28"/>
        </w:rPr>
        <w:t xml:space="preserve">3.1 Purpose</w:t>
      </w:r>
    </w:p>
    <w:p>
      <w:pPr>
        <w:spacing w:before="60" w:after="100"/>
      </w:pPr>
      <w:r>
        <w:rPr>
          <w:rFonts w:ascii="Arial" w:cs="Arial" w:eastAsia="Arial" w:hAnsi="Arial"/>
          <w:sz w:val="22"/>
          <w:szCs w:val="22"/>
        </w:rPr>
        <w:t xml:space="preserve">This section answers: Is our total traffic share growing or shrinking in each market — regardless of whether that traffic came from our media? This is entirely new capability that Ideal Digital Circular does not currently offer. The data comes from a separate, comprehensive foot traffic feed (Pulse by Greenberg Enterprises) that captures ALL visits to ALL stores — not just media-attributed ones.</w:t>
      </w:r>
    </w:p>
    <w:p>
      <w:pPr>
        <w:spacing w:before="40" w:after="0"/>
      </w:pPr>
      <w:r>
        <w:t xml:space="preserve"/>
      </w:r>
    </w:p>
    <w:tbl>
      <w:tblPr>
        <w:tblW w:type="dxa" w:w="9360"/>
        <w:tblBorders>
          <w:top w:val="single" w:color="F59E0B" w:sz="4"/>
          <w:left w:val="single" w:color="F59E0B" w:sz="12"/>
          <w:bottom w:val="single" w:color="F59E0B" w:sz="4"/>
          <w:right w:val="single" w:color="F59E0B" w:sz="4"/>
          <w:insideH w:val="single" w:color="auto" w:sz="4"/>
          <w:insideV w:val="single" w:color="auto" w:sz="4"/>
        </w:tblBorders>
      </w:tblPr>
      <w:tblGrid>
        <w:gridCol w:w="9360"/>
      </w:tblGrid>
      <w:tr>
        <w:tc>
          <w:tcPr>
            <w:tcW w:type="dxa" w:w="9360"/>
            <w:shd w:fill="FEF3E2" w:val="clear"/>
            <w:tcMar>
              <w:top w:type="dxa" w:w="100"/>
              <w:left w:type="dxa" w:w="200"/>
              <w:bottom w:type="dxa" w:w="100"/>
              <w:right w:type="dxa" w:w="120"/>
            </w:tcMar>
          </w:tcPr>
          <w:p>
            <w:r>
              <w:rPr>
                <w:rFonts w:ascii="Arial" w:cs="Arial" w:eastAsia="Arial" w:hAnsi="Arial"/>
                <w:i/>
                <w:iCs/>
                <w:sz w:val="21"/>
                <w:szCs w:val="21"/>
              </w:rPr>
              <w:t xml:space="preserve">Per Adam: 'The value that this has to our clients is extraordinary. It's like Placer.ai, but we don't want to be Placer.ai — we want to give them the data in context of their campaigns and their circulars.'</w:t>
            </w:r>
          </w:p>
        </w:tc>
      </w:tr>
    </w:tbl>
    <w:p>
      <w:pPr>
        <w:spacing w:before="100" w:after="0"/>
      </w:pPr>
      <w:r>
        <w:t xml:space="preserve"/>
      </w:r>
    </w:p>
    <w:p>
      <w:pPr>
        <w:pStyle w:val="Heading2"/>
        <w:spacing w:before="260" w:after="120"/>
      </w:pPr>
      <w:r>
        <w:rPr>
          <w:rFonts w:ascii="Arial" w:cs="Arial" w:eastAsia="Arial" w:hAnsi="Arial"/>
          <w:b/>
          <w:bCs/>
          <w:color w:val="1A5C96"/>
          <w:sz w:val="28"/>
          <w:szCs w:val="28"/>
        </w:rPr>
        <w:t xml:space="preserve">3.2 Data Feed Architecture</w:t>
      </w:r>
    </w:p>
    <w:p>
      <w:pPr>
        <w:spacing w:before="60" w:after="100"/>
      </w:pPr>
      <w:r>
        <w:rPr>
          <w:rFonts w:ascii="Arial" w:cs="Arial" w:eastAsia="Arial" w:hAnsi="Arial"/>
          <w:sz w:val="22"/>
          <w:szCs w:val="22"/>
        </w:rPr>
        <w:t xml:space="preserve">The foundational unit is a daily gross visit count per store — both client stores and all nearby competitor stores. Everything in this section is derived from this simple input.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shd w:fill="1A5C9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shd w:fill="1A5C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shd w:fill="1A5C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store_id</w:t>
            </w:r>
          </w:p>
        </w:tc>
        <w:tc>
          <w:tcPr>
            <w:tcW w:type="dxa" w:w="14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identifier. Can be a Winn-Dixie store OR a competitor store.</w:t>
            </w:r>
          </w:p>
        </w:tc>
      </w:tr>
      <w:tr>
        <w:tc>
          <w:tcPr>
            <w:tcW w:type="dxa" w:w="22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store_type</w:t>
            </w:r>
          </w:p>
        </w:tc>
        <w:tc>
          <w:tcPr>
            <w:tcW w:type="dxa" w:w="14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7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client | competitor</w:t>
            </w:r>
          </w:p>
        </w:tc>
      </w:tr>
      <w:tr>
        <w:tc>
          <w:tcPr>
            <w:tcW w:type="dxa" w:w="2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store_name</w:t>
            </w:r>
          </w:p>
        </w:tc>
        <w:tc>
          <w:tcPr>
            <w:tcW w:type="dxa" w:w="14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Brand name (e.g. 'Winn-Dixie', 'Publix', 'ALDI').</w:t>
            </w:r>
          </w:p>
        </w:tc>
      </w:tr>
      <w:tr>
        <w:tc>
          <w:tcPr>
            <w:tcW w:type="dxa" w:w="22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store_address</w:t>
            </w:r>
          </w:p>
        </w:tc>
        <w:tc>
          <w:tcPr>
            <w:tcW w:type="dxa" w:w="14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Full street address. Essential for store-level competitive granularity.</w:t>
            </w:r>
          </w:p>
        </w:tc>
      </w:tr>
      <w:tr>
        <w:tc>
          <w:tcPr>
            <w:tcW w:type="dxa" w:w="2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observation_date</w:t>
            </w:r>
          </w:p>
        </w:tc>
        <w:tc>
          <w:tcPr>
            <w:tcW w:type="dxa" w:w="14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57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date this visit count was recorded. Feed cadence: daily preferred, weekly minimum.</w:t>
            </w:r>
          </w:p>
        </w:tc>
      </w:tr>
      <w:tr>
        <w:tc>
          <w:tcPr>
            <w:tcW w:type="dxa" w:w="22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gross_visits</w:t>
            </w:r>
          </w:p>
        </w:tc>
        <w:tc>
          <w:tcPr>
            <w:tcW w:type="dxa" w:w="14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7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Total foot traffic count for this store on this date. This is the raw number from which all share calculations are derived.</w:t>
            </w:r>
          </w:p>
        </w:tc>
      </w:tr>
      <w:tr>
        <w:tc>
          <w:tcPr>
            <w:tcW w:type="dxa" w:w="2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competitive_group_id</w:t>
            </w:r>
          </w:p>
        </w:tc>
        <w:tc>
          <w:tcPr>
            <w:tcW w:type="dxa" w:w="14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competitive group this store belongs to (each WD store has its own competitive set of nearby competitors).</w:t>
            </w:r>
          </w:p>
        </w:tc>
      </w:tr>
      <w:tr>
        <w:tc>
          <w:tcPr>
            <w:tcW w:type="dxa" w:w="22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data_source</w:t>
            </w:r>
          </w:p>
        </w:tc>
        <w:tc>
          <w:tcPr>
            <w:tcW w:type="dxa" w:w="14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Provider name. Currently: 'Pulse by Greenberg Enterprises'.</w:t>
            </w:r>
          </w:p>
        </w:tc>
      </w:tr>
    </w:tbl>
    <w:p>
      <w:pPr>
        <w:spacing w:before="120" w:after="0"/>
      </w:pPr>
      <w:r>
        <w:t xml:space="preserve"/>
      </w:r>
    </w:p>
    <w:p>
      <w:pPr>
        <w:pStyle w:val="Heading2"/>
        <w:spacing w:before="260" w:after="120"/>
      </w:pPr>
      <w:r>
        <w:rPr>
          <w:rFonts w:ascii="Arial" w:cs="Arial" w:eastAsia="Arial" w:hAnsi="Arial"/>
          <w:b/>
          <w:bCs/>
          <w:color w:val="1A5C96"/>
          <w:sz w:val="28"/>
          <w:szCs w:val="28"/>
        </w:rPr>
        <w:t xml:space="preserve">3.3 Derived Metrics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260"/>
      </w:tblGrid>
      <w:tr>
        <w:tc>
          <w:tcPr>
            <w:tcW w:type="dxa" w:w="2800"/>
            <w:shd w:fill="1A5C9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300"/>
            <w:shd w:fill="1A5C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60"/>
            <w:shd w:fill="1A5C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retailer_traffic_share</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 (%)</w:t>
            </w:r>
          </w:p>
        </w:tc>
        <w:tc>
          <w:tcPr>
            <w:tcW w:type="dxa" w:w="52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Retailer gross_visits / (retailer gross_visits + all competitor gross_visits in competitive group) for a given period. This is the headline metric for this section.</w:t>
            </w:r>
          </w:p>
        </w:tc>
      </w:tr>
      <w:tr>
        <w:tc>
          <w:tcPr>
            <w:tcW w:type="dxa" w:w="2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comp_traffic_share</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Float (%)</w:t>
            </w:r>
          </w:p>
        </w:tc>
        <w:tc>
          <w:tcPr>
            <w:tcW w:type="dxa" w:w="52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Complement of retailer_traffic_share. Calculated: 100% - retailer_traffic_share.</w:t>
            </w:r>
          </w:p>
        </w:tc>
      </w:tr>
      <w:tr>
        <w:tc>
          <w:tcPr>
            <w:tcW w:type="dxa" w:w="2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retailer_share_change</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 (pp)</w:t>
            </w:r>
          </w:p>
        </w:tc>
        <w:tc>
          <w:tcPr>
            <w:tcW w:type="dxa" w:w="52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 in retailer_traffic_share from period A to period B in percentage points. Positive = WD gaining share. Example: 40.5% → 48.5% = +8.0 pp.</w:t>
            </w:r>
          </w:p>
        </w:tc>
      </w:tr>
      <w:tr>
        <w:tc>
          <w:tcPr>
            <w:tcW w:type="dxa" w:w="2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retailer_growth_rate</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Float (%)</w:t>
            </w:r>
          </w:p>
        </w:tc>
        <w:tc>
          <w:tcPr>
            <w:tcW w:type="dxa" w:w="52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Percentage change in retailer gross visits from period A to period B.</w:t>
            </w:r>
          </w:p>
        </w:tc>
      </w:tr>
      <w:tr>
        <w:tc>
          <w:tcPr>
            <w:tcW w:type="dxa" w:w="2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comp_growth_rate</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 (%)</w:t>
            </w:r>
          </w:p>
        </w:tc>
        <w:tc>
          <w:tcPr>
            <w:tcW w:type="dxa" w:w="52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Percentage change in total competitor gross visits from period A to period B.</w:t>
            </w:r>
          </w:p>
        </w:tc>
      </w:tr>
      <w:tr>
        <w:tc>
          <w:tcPr>
            <w:tcW w:type="dxa" w:w="2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growth_advantage</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Float (%)</w:t>
            </w:r>
          </w:p>
        </w:tc>
        <w:tc>
          <w:tcPr>
            <w:tcW w:type="dxa" w:w="52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retailer_growth_rate minus comp_growth_rate. Positive = retailer growing faster than market.</w:t>
            </w:r>
          </w:p>
        </w:tc>
      </w:tr>
      <w:tr>
        <w:tc>
          <w:tcPr>
            <w:tcW w:type="dxa" w:w="2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retailer_outperforming_comp</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52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retailer_growth_rate &gt; comp_growth_rate for the period. Drives store alert badges.</w:t>
            </w:r>
          </w:p>
        </w:tc>
      </w:tr>
      <w:tr>
        <w:tc>
          <w:tcPr>
            <w:tcW w:type="dxa" w:w="2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hhi</w:t>
            </w:r>
          </w:p>
        </w:tc>
        <w:tc>
          <w:tcPr>
            <w:tcW w:type="dxa" w:w="13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2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Herfindahl-Hirschman Index — market concentration score. &gt;2500 = Highly Concentrated.</w:t>
            </w:r>
          </w:p>
        </w:tc>
      </w:tr>
      <w:tr>
        <w:tc>
          <w:tcPr>
            <w:tcW w:type="dxa" w:w="2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alert_type</w:t>
            </w:r>
          </w:p>
        </w:tc>
        <w:tc>
          <w:tcPr>
            <w:tcW w:type="dxa" w:w="13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2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opportunity | warning | critical | none. Drives visual indicators in UI.</w:t>
            </w:r>
          </w:p>
        </w:tc>
      </w:tr>
    </w:tbl>
    <w:p>
      <w:pPr>
        <w:spacing w:before="80" w:after="0"/>
      </w:pPr>
      <w:r>
        <w:t xml:space="preserve"/>
      </w:r>
    </w:p>
    <w:p>
      <w:pPr>
        <w:pStyle w:val="Heading3"/>
        <w:spacing w:before="200" w:after="80"/>
      </w:pPr>
      <w:r>
        <w:rPr>
          <w:rFonts w:ascii="Arial" w:cs="Arial" w:eastAsia="Arial" w:hAnsi="Arial"/>
          <w:b/>
          <w:bCs/>
          <w:color w:val="0F3D6E"/>
          <w:sz w:val="24"/>
          <w:szCs w:val="24"/>
        </w:rPr>
        <w:t xml:space="preserve">3.3a Real Data Example — Winn-Dixie 20-Store Pilot (Sample Data)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shd w:fill="1A5C9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shd w:fill="1A5C9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600"/>
            <w:shd w:fill="1A5C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Aggregated Traffic Share Start (wk3 12/10)</w:t>
            </w:r>
          </w:p>
        </w:tc>
        <w:tc>
          <w:tcPr>
            <w:tcW w:type="dxa" w:w="21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40.5%</w:t>
            </w:r>
          </w:p>
        </w:tc>
        <w:tc>
          <w:tcPr>
            <w:tcW w:type="dxa" w:w="36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Retailer share across all 20 stores vs. their competitor sets</w:t>
            </w:r>
          </w:p>
        </w:tc>
      </w:tr>
      <w:tr>
        <w:tc>
          <w:tcPr>
            <w:tcW w:type="dxa" w:w="36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Aggregated Traffic Share End (wk2 1/7)</w:t>
            </w:r>
          </w:p>
        </w:tc>
        <w:tc>
          <w:tcPr>
            <w:tcW w:type="dxa" w:w="21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48.5%</w:t>
            </w:r>
          </w:p>
        </w:tc>
        <w:tc>
          <w:tcPr>
            <w:tcW w:type="dxa" w:w="36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+8.0 percentage points over the campaign</w:t>
            </w:r>
          </w:p>
        </w:tc>
      </w:tr>
      <w:tr>
        <w:tc>
          <w:tcPr>
            <w:tcW w:type="dxa" w:w="36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Stores Outperforming Competitors</w:t>
            </w:r>
          </w:p>
        </w:tc>
        <w:tc>
          <w:tcPr>
            <w:tcW w:type="dxa" w:w="21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of 20</w:t>
            </w:r>
          </w:p>
        </w:tc>
        <w:tc>
          <w:tcPr>
            <w:tcW w:type="dxa" w:w="36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 of stores gained share vs. local competitors</w:t>
            </w:r>
          </w:p>
        </w:tc>
      </w:tr>
      <w:tr>
        <w:tc>
          <w:tcPr>
            <w:tcW w:type="dxa" w:w="36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Best Performer (Share Change)</w:t>
            </w:r>
          </w:p>
        </w:tc>
        <w:tc>
          <w:tcPr>
            <w:tcW w:type="dxa" w:w="21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Store 726 — St James City</w:t>
            </w:r>
          </w:p>
        </w:tc>
        <w:tc>
          <w:tcPr>
            <w:tcW w:type="dxa" w:w="36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+69.2 pp (12.9% → 82.1%)</w:t>
            </w:r>
          </w:p>
        </w:tc>
      </w:tr>
      <w:tr>
        <w:tc>
          <w:tcPr>
            <w:tcW w:type="dxa" w:w="36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sz w:val="20"/>
                <w:szCs w:val="20"/>
              </w:rPr>
              <w:t xml:space="preserve">Best Performer (Absolute Share)</w:t>
            </w:r>
          </w:p>
        </w:tc>
        <w:tc>
          <w:tcPr>
            <w:tcW w:type="dxa" w:w="21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726 — St James City</w:t>
            </w:r>
          </w:p>
        </w:tc>
        <w:tc>
          <w:tcPr>
            <w:tcW w:type="dxa" w:w="36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82.1% traffic share in wk2</w:t>
            </w:r>
          </w:p>
        </w:tc>
      </w:tr>
      <w:tr>
        <w:tc>
          <w:tcPr>
            <w:tcW w:type="dxa" w:w="36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sz w:val="20"/>
                <w:szCs w:val="20"/>
              </w:rPr>
              <w:t xml:space="preserve">Critical Flag Stores (data QA needed)</w:t>
            </w:r>
          </w:p>
        </w:tc>
        <w:tc>
          <w:tcPr>
            <w:tcW w:type="dxa" w:w="21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2288 · 436 · 711</w:t>
            </w:r>
          </w:p>
        </w:tc>
        <w:tc>
          <w:tcPr>
            <w:tcW w:type="dxa" w:w="36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val="false"/>
                <w:bCs w:val="false"/>
                <w:sz w:val="20"/>
                <w:szCs w:val="20"/>
              </w:rPr>
              <w:t xml:space="preserve">Anomaly detected — validate before presenting</w:t>
            </w:r>
          </w:p>
        </w:tc>
      </w:tr>
    </w:tbl>
    <w:p>
      <w:pPr>
        <w:spacing w:before="120" w:after="0"/>
      </w:pPr>
      <w:r>
        <w:t xml:space="preserve"/>
      </w:r>
    </w:p>
    <w:p>
      <w:pPr>
        <w:pStyle w:val="Heading2"/>
        <w:spacing w:before="260" w:after="120"/>
      </w:pPr>
      <w:r>
        <w:rPr>
          <w:rFonts w:ascii="Arial" w:cs="Arial" w:eastAsia="Arial" w:hAnsi="Arial"/>
          <w:b/>
          <w:bCs/>
          <w:color w:val="1A5C96"/>
          <w:sz w:val="28"/>
          <w:szCs w:val="28"/>
        </w:rPr>
        <w:t xml:space="preserve">3.5 Entity Hierarchy &amp; Node Mapping</w:t>
      </w:r>
    </w:p>
    <w:p>
      <w:pPr>
        <w:spacing w:before="60" w:after="100"/>
      </w:pPr>
      <w:r>
        <w:rPr>
          <w:rFonts w:ascii="Arial" w:cs="Arial" w:eastAsia="Arial" w:hAnsi="Arial"/>
          <w:sz w:val="22"/>
          <w:szCs w:val="22"/>
        </w:rPr>
        <w:t xml:space="preserve">The Distribution Tab uses a retailer-agnostic entity hierarchy that mirrors the Engagement Tab’s proven Brand → Sub-brand → Store pattern, mapped to the platform’s existing node API. This ensures consistency across all dashboard tabs and supports any retailer on the platform — not just a single chain.</w:t>
      </w:r>
    </w:p>
    <w:p>
      <w:pPr>
        <w:spacing w:before="60" w:after="60"/>
      </w:pPr>
      <w:r>
        <w:rPr>
          <w:rFonts w:ascii="Arial" w:cs="Arial" w:eastAsia="Arial" w:hAnsi="Arial"/>
          <w:b/>
          <w:bCs/>
          <w:sz w:val="22"/>
          <w:szCs w:val="22"/>
        </w:rPr>
        <w:t xml:space="preserve">Entity Levels: </w:t>
      </w:r>
      <w:r>
        <w:rPr>
          <w:rFonts w:ascii="Arial" w:cs="Arial" w:eastAsia="Arial" w:hAnsi="Arial"/>
          <w:sz w:val="22"/>
          <w:szCs w:val="22"/>
        </w:rPr>
        <w:t xml:space="preserve">‘all’ | ‘brand’ | ‘sub-brand’ | ‘store’ — identical to Engagement Tab.</w:t>
      </w:r>
    </w:p>
    <w:p>
      <w:pPr>
        <w:spacing w:before="60" w:after="60"/>
      </w:pPr>
      <w:r>
        <w:rPr>
          <w:rFonts w:ascii="Arial" w:cs="Arial" w:eastAsia="Arial" w:hAnsi="Arial"/>
          <w:b/>
          <w:bCs/>
          <w:sz w:val="22"/>
          <w:szCs w:val="22"/>
        </w:rPr>
        <w:t xml:space="preserve">retailerConfig: </w:t>
      </w:r>
      <w:r>
        <w:rPr>
          <w:rFonts w:ascii="Arial" w:cs="Arial" w:eastAsia="Arial" w:hAnsi="Arial"/>
          <w:sz w:val="22"/>
          <w:szCs w:val="22"/>
        </w:rPr>
        <w:t xml:space="preserve">A metadata object (id, name, label, pilotLabel) that identifies the sample data retailer. This is NOT a hierarchy node — it is used only for dynamic UI labels (e.g. “Retailer Traffic Share”) and can be swapped for any customer.</w:t>
      </w:r>
    </w:p>
    <w:p>
      <w:pPr>
        <w:spacing w:before="60" w:after="60"/>
      </w:pPr>
      <w:r>
        <w:rPr>
          <w:rFonts w:ascii="Arial" w:cs="Arial" w:eastAsia="Arial" w:hAnsi="Arial"/>
          <w:b/>
          <w:bCs/>
          <w:sz w:val="22"/>
          <w:szCs w:val="22"/>
        </w:rPr>
        <w:t xml:space="preserve">Hierarchy: </w:t>
      </w:r>
      <w:r>
        <w:rPr>
          <w:rFonts w:ascii="Arial" w:cs="Arial" w:eastAsia="Arial" w:hAnsi="Arial"/>
          <w:sz w:val="22"/>
          <w:szCs w:val="22"/>
        </w:rPr>
        <w:t xml:space="preserve">All Stores (top level) → Brand (e.g. “South Florida”) → Sub-brand (e.g. “South FL Coast”) → Store (e.g. Store 726, St James City). Filtering at any level recalculates all metrics for the selected scope.</w:t>
      </w:r>
    </w:p>
    <w:p>
      <w:pPr>
        <w:spacing w:before="60" w:after="60"/>
      </w:pPr>
      <w:r>
        <w:rPr>
          <w:rFonts w:ascii="Arial" w:cs="Arial" w:eastAsia="Arial" w:hAnsi="Arial"/>
          <w:b/>
          <w:bCs/>
          <w:sz w:val="22"/>
          <w:szCs w:val="22"/>
        </w:rPr>
        <w:t xml:space="preserve">Field Naming Convention: </w:t>
      </w:r>
      <w:r>
        <w:rPr>
          <w:rFonts w:ascii="Arial" w:cs="Arial" w:eastAsia="Arial" w:hAnsi="Arial"/>
          <w:sz w:val="22"/>
          <w:szCs w:val="22"/>
        </w:rPr>
        <w:t xml:space="preserve">All metrics use retailer_* prefix (e.g. retailer_traffic_share, retailer_visits, retailer_growth_rate) rather than brand-specific prefixes. This ensures the codebase remains retailer-agnostic and the same code works for any customer.</w:t>
      </w:r>
    </w:p>
    <w:p>
      <w:pPr>
        <w:spacing w:before="60" w:after="100"/>
      </w:pPr>
      <w:r>
        <w:rPr>
          <w:rFonts w:ascii="Arial" w:cs="Arial" w:eastAsia="Arial" w:hAnsi="Arial"/>
          <w:sz w:val="22"/>
          <w:szCs w:val="22"/>
        </w:rPr>
        <w:t xml:space="preserve">The entity system exposes lookup helpers: getBrandById(), getSubBrandById(), getStoreById(), and getStoresForEntity(entityId, entityLevel) which returns the set of store IDs matching any selection. Context state tracks the current entityId, entityLevel, and entityName and broadcasts filter changes to all three sections.</w:t>
      </w:r>
    </w:p>
    <w:p>
      <w:pPr>
        <w:pStyle w:val="Heading2"/>
        <w:spacing w:before="260" w:after="120"/>
      </w:pPr>
      <w:r>
        <w:rPr>
          <w:rFonts w:ascii="Arial" w:cs="Arial" w:eastAsia="Arial" w:hAnsi="Arial"/>
          <w:b/>
          <w:bCs/>
          <w:color w:val="1A5C96"/>
          <w:sz w:val="28"/>
          <w:szCs w:val="28"/>
        </w:rPr>
        <w:t xml:space="preserve">3.6 Store Geolocation &amp; Map Visualization</w:t>
      </w:r>
    </w:p>
    <w:p>
      <w:pPr>
        <w:spacing w:before="60" w:after="100"/>
      </w:pPr>
      <w:r>
        <w:rPr>
          <w:rFonts w:ascii="Arial" w:cs="Arial" w:eastAsia="Arial" w:hAnsi="Arial"/>
          <w:sz w:val="22"/>
          <w:szCs w:val="22"/>
        </w:rPr>
        <w:t xml:space="preserve">Every store in the entity system includes geographic coordinates and a Google Maps identifier for map integration:</w:t>
      </w:r>
    </w:p>
    <w:p>
      <w:pPr>
        <w:spacing w:before="60" w:after="60"/>
      </w:pPr>
      <w:r>
        <w:rPr>
          <w:rFonts w:ascii="Arial" w:cs="Arial" w:eastAsia="Arial" w:hAnsi="Arial"/>
          <w:b/>
          <w:bCs/>
          <w:sz w:val="22"/>
          <w:szCs w:val="22"/>
        </w:rPr>
        <w:t xml:space="preserve">lat / lng: </w:t>
      </w:r>
      <w:r>
        <w:rPr>
          <w:rFonts w:ascii="Arial" w:cs="Arial" w:eastAsia="Arial" w:hAnsi="Arial"/>
          <w:sz w:val="22"/>
          <w:szCs w:val="22"/>
        </w:rPr>
        <w:t xml:space="preserve">Decimal latitude and longitude for the store location. Used to render store markers on the map.</w:t>
      </w:r>
    </w:p>
    <w:p>
      <w:pPr>
        <w:spacing w:before="60" w:after="60"/>
      </w:pPr>
      <w:r>
        <w:rPr>
          <w:rFonts w:ascii="Arial" w:cs="Arial" w:eastAsia="Arial" w:hAnsi="Arial"/>
          <w:b/>
          <w:bCs/>
          <w:sz w:val="22"/>
          <w:szCs w:val="22"/>
        </w:rPr>
        <w:t xml:space="preserve">google_place_id: </w:t>
      </w:r>
      <w:r>
        <w:rPr>
          <w:rFonts w:ascii="Arial" w:cs="Arial" w:eastAsia="Arial" w:hAnsi="Arial"/>
          <w:sz w:val="22"/>
          <w:szCs w:val="22"/>
        </w:rPr>
        <w:t xml:space="preserve">Google Maps Place ID string for future Google Maps API integration (directions, place details, reviews).</w:t>
      </w:r>
    </w:p>
    <w:p>
      <w:pPr>
        <w:spacing w:before="60" w:after="100"/>
      </w:pPr>
      <w:r>
        <w:rPr>
          <w:rFonts w:ascii="Arial" w:cs="Arial" w:eastAsia="Arial" w:hAnsi="Arial"/>
          <w:sz w:val="22"/>
          <w:szCs w:val="22"/>
        </w:rPr>
        <w:t xml:space="preserve">The Distribution Tab includes an interactive map component in Section 3 (Traffic Share), rendered between the KPI tiles and the Share Trend chart. The map uses Leaflet.js with OpenStreetMap tiles (free, no API key required) and displays all stores as circle markers color-coded by performance group:</w:t>
      </w:r>
    </w:p>
    <w:p>
      <w:pPr>
        <w:spacing w:before="60" w:after="60"/>
      </w:pPr>
      <w:r>
        <w:rPr>
          <w:rFonts w:ascii="Arial" w:cs="Arial" w:eastAsia="Arial" w:hAnsi="Arial"/>
          <w:b/>
          <w:bCs/>
          <w:sz w:val="22"/>
          <w:szCs w:val="22"/>
        </w:rPr>
        <w:t xml:space="preserve">Green (#10b981): </w:t>
      </w:r>
      <w:r>
        <w:rPr>
          <w:rFonts w:ascii="Arial" w:cs="Arial" w:eastAsia="Arial" w:hAnsi="Arial"/>
          <w:sz w:val="22"/>
          <w:szCs w:val="22"/>
        </w:rPr>
        <w:t xml:space="preserve">Strong performers — stores gaining significant traffic share.</w:t>
      </w:r>
    </w:p>
    <w:p>
      <w:pPr>
        <w:spacing w:before="60" w:after="60"/>
      </w:pPr>
      <w:r>
        <w:rPr>
          <w:rFonts w:ascii="Arial" w:cs="Arial" w:eastAsia="Arial" w:hAnsi="Arial"/>
          <w:b/>
          <w:bCs/>
          <w:sz w:val="22"/>
          <w:szCs w:val="22"/>
        </w:rPr>
        <w:t xml:space="preserve">Amber (#f59e0b): </w:t>
      </w:r>
      <w:r>
        <w:rPr>
          <w:rFonts w:ascii="Arial" w:cs="Arial" w:eastAsia="Arial" w:hAnsi="Arial"/>
          <w:sz w:val="22"/>
          <w:szCs w:val="22"/>
        </w:rPr>
        <w:t xml:space="preserve">Watch — stores with moderate or flat share movement.</w:t>
      </w:r>
    </w:p>
    <w:p>
      <w:pPr>
        <w:spacing w:before="60" w:after="60"/>
      </w:pPr>
      <w:r>
        <w:rPr>
          <w:rFonts w:ascii="Arial" w:cs="Arial" w:eastAsia="Arial" w:hAnsi="Arial"/>
          <w:b/>
          <w:bCs/>
          <w:sz w:val="22"/>
          <w:szCs w:val="22"/>
        </w:rPr>
        <w:t xml:space="preserve">Red (#ef4444): </w:t>
      </w:r>
      <w:r>
        <w:rPr>
          <w:rFonts w:ascii="Arial" w:cs="Arial" w:eastAsia="Arial" w:hAnsi="Arial"/>
          <w:sz w:val="22"/>
          <w:szCs w:val="22"/>
        </w:rPr>
        <w:t xml:space="preserve">Critical — stores with anomalous data or declining share.</w:t>
      </w:r>
    </w:p>
    <w:p>
      <w:pPr>
        <w:spacing w:before="60" w:after="100"/>
      </w:pPr>
      <w:r>
        <w:rPr>
          <w:rFonts w:ascii="Arial" w:cs="Arial" w:eastAsia="Arial" w:hAnsi="Arial"/>
          <w:sz w:val="22"/>
          <w:szCs w:val="22"/>
        </w:rPr>
        <w:t xml:space="preserve">Clicking a store marker opens a popup showing: store name and number, city, current traffic share %, share change in percentage points, primary competitive threat, and performance group badge. The map auto-fits to show all stores in the current entity selection and responds to entity filter changes.</w:t>
      </w:r>
    </w:p>
    <w:p>
      <w:pPr>
        <w:pStyle w:val="Heading2"/>
        <w:spacing w:before="260" w:after="120"/>
      </w:pPr>
      <w:r>
        <w:rPr>
          <w:rFonts w:ascii="Arial" w:cs="Arial" w:eastAsia="Arial" w:hAnsi="Arial"/>
          <w:b/>
          <w:bCs/>
          <w:color w:val="1A5C96"/>
          <w:sz w:val="28"/>
          <w:szCs w:val="28"/>
        </w:rPr>
        <w:t xml:space="preserve">3.4 Store Groupings View</w:t>
      </w:r>
    </w:p>
    <w:p>
      <w:pPr>
        <w:spacing w:before="60" w:after="100"/>
      </w:pPr>
      <w:r>
        <w:rPr>
          <w:rFonts w:ascii="Arial" w:cs="Arial" w:eastAsia="Arial" w:hAnsi="Arial"/>
          <w:sz w:val="22"/>
          <w:szCs w:val="22"/>
        </w:rPr>
        <w:t xml:space="preserve">Larger retail chains (100+ stores) cannot view individual store lines on a single chart. The system must support retailer-defined store groupings that aggregate traffic share and display as group-level trend lines.</w:t>
      </w:r>
    </w:p>
    <w:p>
      <w:pPr>
        <w:spacing w:before="40" w:after="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Store groups can be defined by: health (Red / Amber / Green), geography, store size, or custom retailer taxonomy</w:t>
      </w:r>
    </w:p>
    <w:p>
      <w:pPr>
        <w:pStyle w:val="ListParagraph"/>
        <w:numPr>
          <w:ilvl w:val="0"/>
          <w:numId w:val="2"/>
        </w:numPr>
        <w:spacing w:before="40" w:after="40"/>
      </w:pPr>
      <w:r>
        <w:rPr>
          <w:rFonts w:ascii="Arial" w:cs="Arial" w:eastAsia="Arial" w:hAnsi="Arial"/>
          <w:b w:val="false"/>
          <w:bCs w:val="false"/>
          <w:sz w:val="22"/>
          <w:szCs w:val="22"/>
        </w:rPr>
        <w:t xml:space="preserve">Group trend chart: Line chart showing traffic share over time, one line per group</w:t>
      </w:r>
    </w:p>
    <w:p>
      <w:pPr>
        <w:pStyle w:val="ListParagraph"/>
        <w:numPr>
          <w:ilvl w:val="0"/>
          <w:numId w:val="2"/>
        </w:numPr>
        <w:spacing w:before="40" w:after="40"/>
      </w:pPr>
      <w:r>
        <w:rPr>
          <w:rFonts w:ascii="Arial" w:cs="Arial" w:eastAsia="Arial" w:hAnsi="Arial"/>
          <w:b w:val="false"/>
          <w:bCs w:val="false"/>
          <w:sz w:val="22"/>
          <w:szCs w:val="22"/>
        </w:rPr>
        <w:t xml:space="preserve">Individual store drill-down remains available from within any group view</w:t>
      </w:r>
    </w:p>
    <w:p>
      <w:pPr>
        <w:pStyle w:val="ListParagraph"/>
        <w:numPr>
          <w:ilvl w:val="0"/>
          <w:numId w:val="2"/>
        </w:numPr>
        <w:spacing w:before="40" w:after="40"/>
      </w:pPr>
      <w:r>
        <w:rPr>
          <w:rFonts w:ascii="Arial" w:cs="Arial" w:eastAsia="Arial" w:hAnsi="Arial"/>
          <w:b w:val="false"/>
          <w:bCs w:val="false"/>
          <w:sz w:val="22"/>
          <w:szCs w:val="22"/>
        </w:rPr>
        <w:t xml:space="preserve">Store groups used here are separate from circular builder groups — these are analytics-specific</w:t>
      </w:r>
    </w:p>
    <w:p>
      <w:r>
        <w:br w:type="page"/>
      </w:r>
    </w:p>
    <w:p>
      <w:pPr>
        <w:pStyle w:val="Heading1"/>
        <w:spacing w:before="320" w:after="160"/>
      </w:pPr>
      <w:r>
        <w:rPr>
          <w:rFonts w:ascii="Arial" w:cs="Arial" w:eastAsia="Arial" w:hAnsi="Arial"/>
          <w:b/>
          <w:bCs/>
          <w:color w:val="0F3D6E"/>
          <w:sz w:val="36"/>
          <w:szCs w:val="36"/>
        </w:rPr>
        <w:t xml:space="preserve">5. UX Flow &amp; Screen Descriptions</w:t>
      </w:r>
    </w:p>
    <w:p>
      <w:pPr>
        <w:pBdr>
          <w:bottom w:val="single" w:color="1A5C96" w:sz="6" w:space="1"/>
        </w:pBdr>
        <w:spacing w:before="120" w:after="120"/>
      </w:pPr>
      <w:r>
        <w:t xml:space="preserve"/>
      </w:r>
    </w:p>
    <w:p>
      <w:pPr>
        <w:pStyle w:val="Heading2"/>
        <w:spacing w:before="260" w:after="120"/>
      </w:pPr>
      <w:r>
        <w:rPr>
          <w:rFonts w:ascii="Arial" w:cs="Arial" w:eastAsia="Arial" w:hAnsi="Arial"/>
          <w:b/>
          <w:bCs/>
          <w:color w:val="1A5C96"/>
          <w:sz w:val="28"/>
          <w:szCs w:val="28"/>
        </w:rPr>
        <w:t xml:space="preserve">5.1 Navigation Entry Point</w:t>
      </w:r>
    </w:p>
    <w:p>
      <w:pPr>
        <w:spacing w:before="60" w:after="100"/>
      </w:pPr>
      <w:r>
        <w:rPr>
          <w:rFonts w:ascii="Arial" w:cs="Arial" w:eastAsia="Arial" w:hAnsi="Arial"/>
          <w:sz w:val="22"/>
          <w:szCs w:val="22"/>
        </w:rPr>
        <w:t xml:space="preserve">The Distribution Tab appears as a second tab in the main dashboard header, adjacent to the Engagement Tab. It is only visible to users whose account has active paid media campaigns. The tab is labeled 'Distribution' (not 'Paid Media') to match existing Ideal Digital Circular nomenclature.</w:t>
      </w:r>
    </w:p>
    <w:p>
      <w:pPr>
        <w:spacing w:before="80" w:after="0"/>
      </w:pPr>
      <w:r>
        <w:t xml:space="preserve"/>
      </w:r>
    </w:p>
    <w:p>
      <w:pPr>
        <w:pStyle w:val="Heading2"/>
        <w:spacing w:before="260" w:after="120"/>
      </w:pPr>
      <w:r>
        <w:rPr>
          <w:rFonts w:ascii="Arial" w:cs="Arial" w:eastAsia="Arial" w:hAnsi="Arial"/>
          <w:b/>
          <w:bCs/>
          <w:color w:val="1A5C96"/>
          <w:sz w:val="28"/>
          <w:szCs w:val="28"/>
        </w:rPr>
        <w:t xml:space="preserve">5.2 Global Controls (Persistent)</w:t>
      </w:r>
    </w:p>
    <w:p>
      <w:pPr>
        <w:spacing w:before="60" w:after="100"/>
      </w:pPr>
      <w:r>
        <w:rPr>
          <w:rFonts w:ascii="Arial" w:cs="Arial" w:eastAsia="Arial" w:hAnsi="Arial"/>
          <w:sz w:val="22"/>
          <w:szCs w:val="22"/>
        </w:rPr>
        <w:t xml:space="preserve">The following filters persist across all three sections of the Distribution Tab:</w:t>
      </w:r>
    </w:p>
    <w:p>
      <w:pPr>
        <w:spacing w:before="40" w:after="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Date Range Selector — flight week selector (wk3, wk4, etc.) OR calendar date range</w:t>
      </w:r>
    </w:p>
    <w:p>
      <w:pPr>
        <w:pStyle w:val="ListParagraph"/>
        <w:numPr>
          <w:ilvl w:val="0"/>
          <w:numId w:val="2"/>
        </w:numPr>
        <w:spacing w:before="40" w:after="40"/>
      </w:pPr>
      <w:r>
        <w:rPr>
          <w:rFonts w:ascii="Arial" w:cs="Arial" w:eastAsia="Arial" w:hAnsi="Arial"/>
          <w:b w:val="false"/>
          <w:bCs w:val="false"/>
          <w:sz w:val="22"/>
          <w:szCs w:val="22"/>
        </w:rPr>
        <w:t xml:space="preserve">Store Selector — 'All Stores', individual store number/name, or saved store group</w:t>
      </w:r>
    </w:p>
    <w:p>
      <w:pPr>
        <w:pStyle w:val="ListParagraph"/>
        <w:numPr>
          <w:ilvl w:val="0"/>
          <w:numId w:val="2"/>
        </w:numPr>
        <w:spacing w:before="40" w:after="40"/>
      </w:pPr>
      <w:r>
        <w:rPr>
          <w:rFonts w:ascii="Arial" w:cs="Arial" w:eastAsia="Arial" w:hAnsi="Arial"/>
          <w:b w:val="false"/>
          <w:bCs w:val="false"/>
          <w:sz w:val="22"/>
          <w:szCs w:val="22"/>
        </w:rPr>
        <w:t xml:space="preserve">Active selection displayed as filter chips (matches Engagement Tab pattern)</w:t>
      </w:r>
    </w:p>
    <w:p>
      <w:pPr>
        <w:pStyle w:val="ListParagraph"/>
        <w:numPr>
          <w:ilvl w:val="0"/>
          <w:numId w:val="2"/>
        </w:numPr>
        <w:spacing w:before="40" w:after="40"/>
      </w:pPr>
      <w:r>
        <w:rPr>
          <w:rFonts w:ascii="Arial" w:cs="Arial" w:eastAsia="Arial" w:hAnsi="Arial"/>
          <w:b w:val="false"/>
          <w:bCs w:val="false"/>
          <w:sz w:val="22"/>
          <w:szCs w:val="22"/>
        </w:rPr>
        <w:t xml:space="preserve">Changing any filter updates all three sections simultaneously</w:t>
      </w:r>
    </w:p>
    <w:p>
      <w:pPr>
        <w:spacing w:before="80" w:after="0"/>
      </w:pPr>
      <w:r>
        <w:t xml:space="preserve"/>
      </w:r>
    </w:p>
    <w:p>
      <w:pPr>
        <w:pStyle w:val="Heading2"/>
        <w:spacing w:before="260" w:after="120"/>
      </w:pPr>
      <w:r>
        <w:rPr>
          <w:rFonts w:ascii="Arial" w:cs="Arial" w:eastAsia="Arial" w:hAnsi="Arial"/>
          <w:b/>
          <w:bCs/>
          <w:color w:val="1A5C96"/>
          <w:sz w:val="28"/>
          <w:szCs w:val="28"/>
        </w:rPr>
        <w:t xml:space="preserve">5.3 Section 1 — Media Buy Metrics Screen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9EA" w:sz="1"/>
              <w:left w:val="single" w:color="C5D9EA" w:sz="1"/>
              <w:bottom w:val="single" w:color="C5D9EA" w:sz="1"/>
              <w:right w:val="single" w:color="C5D9EA" w:sz="1"/>
            </w:tcBorders>
            <w:shd w:fill="E8F4FB" w:val="clear"/>
            <w:tcMar>
              <w:top w:type="dxa" w:w="80"/>
              <w:left w:type="dxa" w:w="120"/>
              <w:bottom w:type="dxa" w:w="80"/>
              <w:right w:type="dxa" w:w="120"/>
            </w:tcMar>
          </w:tcPr>
          <w:p>
            <w:r>
              <w:rPr>
                <w:rFonts w:ascii="Arial" w:cs="Arial" w:eastAsia="Arial" w:hAnsi="Arial"/>
                <w:b/>
                <w:bCs/>
                <w:color w:val="1A5C96"/>
                <w:sz w:val="20"/>
                <w:szCs w:val="20"/>
              </w:rPr>
              <w:t xml:space="preserve">KPI Row</w:t>
            </w:r>
          </w:p>
        </w:tc>
        <w:tc>
          <w:tcPr>
            <w:tcW w:type="dxa" w:w="7560"/>
            <w:tcBorders>
              <w:top w:val="single" w:color="C5D9EA" w:sz="1"/>
              <w:left w:val="single" w:color="C5D9EA" w:sz="1"/>
              <w:bottom w:val="single" w:color="C5D9EA" w:sz="1"/>
              <w:right w:val="single" w:color="C5D9EA" w:sz="1"/>
            </w:tcBorders>
            <w:shd w:fill="E8F4FB" w:val="clear"/>
            <w:tcMar>
              <w:top w:type="dxa" w:w="80"/>
              <w:left w:type="dxa" w:w="120"/>
              <w:bottom w:type="dxa" w:w="80"/>
              <w:right w:type="dxa" w:w="120"/>
            </w:tcMar>
          </w:tcPr>
          <w:p>
            <w:r>
              <w:rPr>
                <w:rFonts w:ascii="Arial" w:cs="Arial" w:eastAsia="Arial" w:hAnsi="Arial"/>
                <w:sz w:val="20"/>
                <w:szCs w:val="20"/>
              </w:rPr>
              <w:t xml:space="preserve">Horizontal row of tiles: Cost Per Visit (primary, largest), Impressions, Clicks, CTR, Visits/1000, Budget. Cost Per Visit uses accent color treatment.</w:t>
            </w:r>
          </w:p>
        </w:tc>
      </w:tr>
      <w:tr>
        <w:tc>
          <w:tcPr>
            <w:tcW w:type="dxa" w:w="1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1A5C96"/>
                <w:sz w:val="20"/>
                <w:szCs w:val="20"/>
              </w:rPr>
              <w:t xml:space="preserve">Creative Panel</w:t>
            </w:r>
          </w:p>
        </w:tc>
        <w:tc>
          <w:tcPr>
            <w:tcW w:type="dxa" w:w="75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Below KPIs. Shows thumbnail of the media creative (GIF/MP4/image) with date range and store association. If A/B test active, shows both creatives side-by-side with respective metrics.</w:t>
            </w:r>
          </w:p>
        </w:tc>
      </w:tr>
      <w:tr>
        <w:tc>
          <w:tcPr>
            <w:tcW w:type="dxa" w:w="1800"/>
            <w:tcBorders>
              <w:top w:val="single" w:color="C5D9EA" w:sz="1"/>
              <w:left w:val="single" w:color="C5D9EA" w:sz="1"/>
              <w:bottom w:val="single" w:color="C5D9EA" w:sz="1"/>
              <w:right w:val="single" w:color="C5D9EA" w:sz="1"/>
            </w:tcBorders>
            <w:shd w:fill="E8F4FB" w:val="clear"/>
            <w:tcMar>
              <w:top w:type="dxa" w:w="80"/>
              <w:left w:type="dxa" w:w="120"/>
              <w:bottom w:type="dxa" w:w="80"/>
              <w:right w:type="dxa" w:w="120"/>
            </w:tcMar>
          </w:tcPr>
          <w:p>
            <w:r>
              <w:rPr>
                <w:rFonts w:ascii="Arial" w:cs="Arial" w:eastAsia="Arial" w:hAnsi="Arial"/>
                <w:b/>
                <w:bCs/>
                <w:color w:val="1A5C96"/>
                <w:sz w:val="20"/>
                <w:szCs w:val="20"/>
              </w:rPr>
              <w:t xml:space="preserve">Video Section</w:t>
            </w:r>
          </w:p>
        </w:tc>
        <w:tc>
          <w:tcPr>
            <w:tcW w:type="dxa" w:w="7560"/>
            <w:tcBorders>
              <w:top w:val="single" w:color="C5D9EA" w:sz="1"/>
              <w:left w:val="single" w:color="C5D9EA" w:sz="1"/>
              <w:bottom w:val="single" w:color="C5D9EA" w:sz="1"/>
              <w:right w:val="single" w:color="C5D9EA" w:sz="1"/>
            </w:tcBorders>
            <w:shd w:fill="E8F4FB" w:val="clear"/>
            <w:tcMar>
              <w:top w:type="dxa" w:w="80"/>
              <w:left w:type="dxa" w:w="120"/>
              <w:bottom w:type="dxa" w:w="80"/>
              <w:right w:type="dxa" w:w="120"/>
            </w:tcMar>
          </w:tcPr>
          <w:p>
            <w:r>
              <w:rPr>
                <w:rFonts w:ascii="Arial" w:cs="Arial" w:eastAsia="Arial" w:hAnsi="Arial"/>
                <w:sz w:val="20"/>
                <w:szCs w:val="20"/>
              </w:rPr>
              <w:t xml:space="preserve">Conditional — only shown when creative_type = 'video'. Displays: Complete Views, Completion Rate, quartile funnel (1st / Mid / 3rd quartile with view counts and time marks), Avg Circular Time.</w:t>
            </w:r>
          </w:p>
        </w:tc>
      </w:tr>
      <w:tr>
        <w:tc>
          <w:tcPr>
            <w:tcW w:type="dxa" w:w="1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1A5C96"/>
                <w:sz w:val="20"/>
                <w:szCs w:val="20"/>
              </w:rPr>
              <w:t xml:space="preserve">Demographic Panel</w:t>
            </w:r>
          </w:p>
        </w:tc>
        <w:tc>
          <w:tcPr>
            <w:tcW w:type="dxa" w:w="75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Collapsible panel. Shows foot traffic demographic breakdown: age distribution bar chart, gender pie, income distribution, net worth, marital status, homeowner status.</w:t>
            </w:r>
          </w:p>
        </w:tc>
      </w:tr>
      <w:tr>
        <w:tc>
          <w:tcPr>
            <w:tcW w:type="dxa" w:w="1800"/>
            <w:tcBorders>
              <w:top w:val="single" w:color="C5D9EA" w:sz="1"/>
              <w:left w:val="single" w:color="C5D9EA" w:sz="1"/>
              <w:bottom w:val="single" w:color="C5D9EA" w:sz="1"/>
              <w:right w:val="single" w:color="C5D9EA" w:sz="1"/>
            </w:tcBorders>
            <w:shd w:fill="E8F4FB" w:val="clear"/>
            <w:tcMar>
              <w:top w:type="dxa" w:w="80"/>
              <w:left w:type="dxa" w:w="120"/>
              <w:bottom w:type="dxa" w:w="80"/>
              <w:right w:type="dxa" w:w="120"/>
            </w:tcMar>
          </w:tcPr>
          <w:p>
            <w:r>
              <w:rPr>
                <w:rFonts w:ascii="Arial" w:cs="Arial" w:eastAsia="Arial" w:hAnsi="Arial"/>
                <w:b/>
                <w:bCs/>
                <w:color w:val="1A5C96"/>
                <w:sz w:val="20"/>
                <w:szCs w:val="20"/>
              </w:rPr>
              <w:t xml:space="preserve">Upload CTA</w:t>
            </w:r>
          </w:p>
        </w:tc>
        <w:tc>
          <w:tcPr>
            <w:tcW w:type="dxa" w:w="7560"/>
            <w:tcBorders>
              <w:top w:val="single" w:color="C5D9EA" w:sz="1"/>
              <w:left w:val="single" w:color="C5D9EA" w:sz="1"/>
              <w:bottom w:val="single" w:color="C5D9EA" w:sz="1"/>
              <w:right w:val="single" w:color="C5D9EA" w:sz="1"/>
            </w:tcBorders>
            <w:shd w:fill="E8F4FB" w:val="clear"/>
            <w:tcMar>
              <w:top w:type="dxa" w:w="80"/>
              <w:left w:type="dxa" w:w="120"/>
              <w:bottom w:type="dxa" w:w="80"/>
              <w:right w:type="dxa" w:w="120"/>
            </w:tcMar>
          </w:tcPr>
          <w:p>
            <w:r>
              <w:rPr>
                <w:rFonts w:ascii="Arial" w:cs="Arial" w:eastAsia="Arial" w:hAnsi="Arial"/>
                <w:sz w:val="20"/>
                <w:szCs w:val="20"/>
              </w:rPr>
              <w:t xml:space="preserve">For admin users: 'Upload Creative' button opens modal. Fields: retailer, date range, store group(s), file upload (GIF/JPEG/PNG/MP4), notes.</w:t>
            </w:r>
          </w:p>
        </w:tc>
      </w:tr>
    </w:tbl>
    <w:p>
      <w:pPr>
        <w:spacing w:before="120" w:after="0"/>
      </w:pPr>
      <w:r>
        <w:t xml:space="preserve"/>
      </w:r>
    </w:p>
    <w:p>
      <w:pPr>
        <w:pStyle w:val="Heading2"/>
        <w:spacing w:before="260" w:after="120"/>
      </w:pPr>
      <w:r>
        <w:rPr>
          <w:rFonts w:ascii="Arial" w:cs="Arial" w:eastAsia="Arial" w:hAnsi="Arial"/>
          <w:b/>
          <w:bCs/>
          <w:color w:val="1A5C96"/>
          <w:sz w:val="28"/>
          <w:szCs w:val="28"/>
        </w:rPr>
        <w:t xml:space="preserve">5.4 Section 2 — Store Visitation Screen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9EA" w:sz="1"/>
              <w:left w:val="single" w:color="C5D9EA" w:sz="1"/>
              <w:bottom w:val="single" w:color="C5D9EA" w:sz="1"/>
              <w:right w:val="single" w:color="C5D9EA" w:sz="1"/>
            </w:tcBorders>
            <w:shd w:fill="EBF9F4" w:val="clear"/>
            <w:tcMar>
              <w:top w:type="dxa" w:w="80"/>
              <w:left w:type="dxa" w:w="120"/>
              <w:bottom w:type="dxa" w:w="80"/>
              <w:right w:type="dxa" w:w="120"/>
            </w:tcMar>
          </w:tcPr>
          <w:p>
            <w:r>
              <w:rPr>
                <w:rFonts w:ascii="Arial" w:cs="Arial" w:eastAsia="Arial" w:hAnsi="Arial"/>
                <w:b/>
                <w:bCs/>
                <w:color w:val="047857"/>
                <w:sz w:val="20"/>
                <w:szCs w:val="20"/>
              </w:rPr>
              <w:t xml:space="preserve">KPI Row</w:t>
            </w:r>
          </w:p>
        </w:tc>
        <w:tc>
          <w:tcPr>
            <w:tcW w:type="dxa" w:w="7560"/>
            <w:tcBorders>
              <w:top w:val="single" w:color="C5D9EA" w:sz="1"/>
              <w:left w:val="single" w:color="C5D9EA" w:sz="1"/>
              <w:bottom w:val="single" w:color="C5D9EA" w:sz="1"/>
              <w:right w:val="single" w:color="C5D9EA" w:sz="1"/>
            </w:tcBorders>
            <w:shd w:fill="EBF9F4" w:val="clear"/>
            <w:tcMar>
              <w:top w:type="dxa" w:w="80"/>
              <w:left w:type="dxa" w:w="120"/>
              <w:bottom w:type="dxa" w:w="80"/>
              <w:right w:type="dxa" w:w="120"/>
            </w:tcMar>
          </w:tcPr>
          <w:p>
            <w:r>
              <w:rPr>
                <w:rFonts w:ascii="Arial" w:cs="Arial" w:eastAsia="Arial" w:hAnsi="Arial"/>
                <w:sz w:val="20"/>
                <w:szCs w:val="20"/>
              </w:rPr>
              <w:t xml:space="preserve">Cost Per Visit (repeated — primary metric), Gross Visits, Visits/1000, then the three bucket counts: Zero Prev Visits, 1-3 Prev Visits, 4+ Prev Visits.</w:t>
            </w:r>
          </w:p>
        </w:tc>
      </w:tr>
      <w:tr>
        <w:tc>
          <w:tcPr>
            <w:tcW w:type="dxa" w:w="1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47857"/>
                <w:sz w:val="20"/>
                <w:szCs w:val="20"/>
              </w:rPr>
              <w:t xml:space="preserve">Frequency Trend Chart</w:t>
            </w:r>
          </w:p>
        </w:tc>
        <w:tc>
          <w:tcPr>
            <w:tcW w:type="dxa" w:w="75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100% stacked bar chart by week showing zero/1-3/4+ visit buckets as proportions. Colors: blue (zero), orange (1-3), green (4+). Matches Pulse report visual.</w:t>
            </w:r>
          </w:p>
        </w:tc>
      </w:tr>
      <w:tr>
        <w:tc>
          <w:tcPr>
            <w:tcW w:type="dxa" w:w="1800"/>
            <w:tcBorders>
              <w:top w:val="single" w:color="C5D9EA" w:sz="1"/>
              <w:left w:val="single" w:color="C5D9EA" w:sz="1"/>
              <w:bottom w:val="single" w:color="C5D9EA" w:sz="1"/>
              <w:right w:val="single" w:color="C5D9EA" w:sz="1"/>
            </w:tcBorders>
            <w:shd w:fill="EBF9F4" w:val="clear"/>
            <w:tcMar>
              <w:top w:type="dxa" w:w="80"/>
              <w:left w:type="dxa" w:w="120"/>
              <w:bottom w:type="dxa" w:w="80"/>
              <w:right w:type="dxa" w:w="120"/>
            </w:tcMar>
          </w:tcPr>
          <w:p>
            <w:r>
              <w:rPr>
                <w:rFonts w:ascii="Arial" w:cs="Arial" w:eastAsia="Arial" w:hAnsi="Arial"/>
                <w:b/>
                <w:bCs/>
                <w:color w:val="047857"/>
                <w:sz w:val="20"/>
                <w:szCs w:val="20"/>
              </w:rPr>
              <w:t xml:space="preserve">Crossover Panel</w:t>
            </w:r>
          </w:p>
        </w:tc>
        <w:tc>
          <w:tcPr>
            <w:tcW w:type="dxa" w:w="7560"/>
            <w:tcBorders>
              <w:top w:val="single" w:color="C5D9EA" w:sz="1"/>
              <w:left w:val="single" w:color="C5D9EA" w:sz="1"/>
              <w:bottom w:val="single" w:color="C5D9EA" w:sz="1"/>
              <w:right w:val="single" w:color="C5D9EA" w:sz="1"/>
            </w:tcBorders>
            <w:shd w:fill="EBF9F4" w:val="clear"/>
            <w:tcMar>
              <w:top w:type="dxa" w:w="80"/>
              <w:left w:type="dxa" w:w="120"/>
              <w:bottom w:type="dxa" w:w="80"/>
              <w:right w:type="dxa" w:w="120"/>
            </w:tcMar>
          </w:tcPr>
          <w:p>
            <w:r>
              <w:rPr>
                <w:rFonts w:ascii="Arial" w:cs="Arial" w:eastAsia="Arial" w:hAnsi="Arial"/>
                <w:sz w:val="20"/>
                <w:szCs w:val="20"/>
              </w:rPr>
              <w:t xml:space="preserve">Bar chart showing % of media-driven visitors who also shop each competitor. Clicking a competitor row expands to show the three visit-frequency buckets for that competitor's crossover traffic.</w:t>
            </w:r>
          </w:p>
        </w:tc>
      </w:tr>
      <w:tr>
        <w:tc>
          <w:tcPr>
            <w:tcW w:type="dxa" w:w="1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47857"/>
                <w:sz w:val="20"/>
                <w:szCs w:val="20"/>
              </w:rPr>
              <w:t xml:space="preserve">Crossover Trend</w:t>
            </w:r>
          </w:p>
        </w:tc>
        <w:tc>
          <w:tcPr>
            <w:tcW w:type="dxa" w:w="75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Line chart showing crossover % per competitor over time (flight weeks on X axis). Toggle competitors on/off via legend.</w:t>
            </w:r>
          </w:p>
        </w:tc>
      </w:tr>
      <w:tr>
        <w:tc>
          <w:tcPr>
            <w:tcW w:type="dxa" w:w="1800"/>
            <w:tcBorders>
              <w:top w:val="single" w:color="C5D9EA" w:sz="1"/>
              <w:left w:val="single" w:color="C5D9EA" w:sz="1"/>
              <w:bottom w:val="single" w:color="C5D9EA" w:sz="1"/>
              <w:right w:val="single" w:color="C5D9EA" w:sz="1"/>
            </w:tcBorders>
            <w:shd w:fill="EBF9F4" w:val="clear"/>
            <w:tcMar>
              <w:top w:type="dxa" w:w="80"/>
              <w:left w:type="dxa" w:w="120"/>
              <w:bottom w:type="dxa" w:w="80"/>
              <w:right w:type="dxa" w:w="120"/>
            </w:tcMar>
          </w:tcPr>
          <w:p>
            <w:r>
              <w:rPr>
                <w:rFonts w:ascii="Arial" w:cs="Arial" w:eastAsia="Arial" w:hAnsi="Arial"/>
                <w:b/>
                <w:bCs/>
                <w:color w:val="047857"/>
                <w:sz w:val="20"/>
                <w:szCs w:val="20"/>
              </w:rPr>
              <w:t xml:space="preserve">Store Spotlight Cards</w:t>
            </w:r>
          </w:p>
        </w:tc>
        <w:tc>
          <w:tcPr>
            <w:tcW w:type="dxa" w:w="7560"/>
            <w:tcBorders>
              <w:top w:val="single" w:color="C5D9EA" w:sz="1"/>
              <w:left w:val="single" w:color="C5D9EA" w:sz="1"/>
              <w:bottom w:val="single" w:color="C5D9EA" w:sz="1"/>
              <w:right w:val="single" w:color="C5D9EA" w:sz="1"/>
            </w:tcBorders>
            <w:shd w:fill="EBF9F4" w:val="clear"/>
            <w:tcMar>
              <w:top w:type="dxa" w:w="80"/>
              <w:left w:type="dxa" w:w="120"/>
              <w:bottom w:type="dxa" w:w="80"/>
              <w:right w:type="dxa" w:w="120"/>
            </w:tcMar>
          </w:tcPr>
          <w:p>
            <w:r>
              <w:rPr>
                <w:rFonts w:ascii="Arial" w:cs="Arial" w:eastAsia="Arial" w:hAnsi="Arial"/>
                <w:sz w:val="20"/>
                <w:szCs w:val="20"/>
              </w:rPr>
              <w:t xml:space="preserve">For stores with significant movement (opportunity / warning / critical alerts), display summary card: store number, city, share change, alert badge, primary threat competitor.</w:t>
            </w:r>
          </w:p>
        </w:tc>
      </w:tr>
    </w:tbl>
    <w:p>
      <w:pPr>
        <w:spacing w:before="120" w:after="0"/>
      </w:pPr>
      <w:r>
        <w:t xml:space="preserve"/>
      </w:r>
    </w:p>
    <w:p>
      <w:pPr>
        <w:pStyle w:val="Heading2"/>
        <w:spacing w:before="260" w:after="120"/>
      </w:pPr>
      <w:r>
        <w:rPr>
          <w:rFonts w:ascii="Arial" w:cs="Arial" w:eastAsia="Arial" w:hAnsi="Arial"/>
          <w:b/>
          <w:bCs/>
          <w:color w:val="1A5C96"/>
          <w:sz w:val="28"/>
          <w:szCs w:val="28"/>
        </w:rPr>
        <w:t xml:space="preserve">5.5 Section 3 — Traffic Share Shift Screen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9EA" w:sz="1"/>
              <w:left w:val="single" w:color="C5D9EA" w:sz="1"/>
              <w:bottom w:val="single" w:color="C5D9EA" w:sz="1"/>
              <w:right w:val="single" w:color="C5D9EA" w:sz="1"/>
            </w:tcBorders>
            <w:shd w:fill="FEF3E2" w:val="clear"/>
            <w:tcMar>
              <w:top w:type="dxa" w:w="80"/>
              <w:left w:type="dxa" w:w="120"/>
              <w:bottom w:type="dxa" w:w="80"/>
              <w:right w:type="dxa" w:w="120"/>
            </w:tcMar>
          </w:tcPr>
          <w:p>
            <w:r>
              <w:rPr>
                <w:rFonts w:ascii="Arial" w:cs="Arial" w:eastAsia="Arial" w:hAnsi="Arial"/>
                <w:b/>
                <w:bCs/>
                <w:color w:val="92400E"/>
                <w:sz w:val="20"/>
                <w:szCs w:val="20"/>
              </w:rPr>
              <w:t xml:space="preserve">KPI Row</w:t>
            </w:r>
          </w:p>
        </w:tc>
        <w:tc>
          <w:tcPr>
            <w:tcW w:type="dxa" w:w="7560"/>
            <w:tcBorders>
              <w:top w:val="single" w:color="C5D9EA" w:sz="1"/>
              <w:left w:val="single" w:color="C5D9EA" w:sz="1"/>
              <w:bottom w:val="single" w:color="C5D9EA" w:sz="1"/>
              <w:right w:val="single" w:color="C5D9EA" w:sz="1"/>
            </w:tcBorders>
            <w:shd w:fill="FEF3E2" w:val="clear"/>
            <w:tcMar>
              <w:top w:type="dxa" w:w="80"/>
              <w:left w:type="dxa" w:w="120"/>
              <w:bottom w:type="dxa" w:w="80"/>
              <w:right w:type="dxa" w:w="120"/>
            </w:tcMar>
          </w:tcPr>
          <w:p>
            <w:r>
              <w:rPr>
                <w:rFonts w:ascii="Arial" w:cs="Arial" w:eastAsia="Arial" w:hAnsi="Arial"/>
                <w:sz w:val="20"/>
                <w:szCs w:val="20"/>
              </w:rPr>
              <w:t xml:space="preserve">Retailer Traffic Share (current period %), Share Change (pp from campaign start), Stores Outperforming (X of Y), Growth Advantage (WD growth % vs competitor growth %).</w:t>
            </w:r>
          </w:p>
        </w:tc>
      </w:tr>
      <w:tr>
        <w:tc>
          <w:tcPr>
            <w:tcW w:type="dxa" w:w="2520"/>
            <w:tcBorders>
              <w:top w:val="single" w:color="E5E7EB" w:sz="4"/>
              <w:left w:val="none"/>
              <w:bottom w:val="single" w:color="E5E7EB" w:sz="4"/>
              <w:right w:val="none"/>
            </w:tcBorders>
            <w:tcMar>
              <w:top w:type="dxa" w:w="80"/>
              <w:left w:type="dxa" w:w="120"/>
              <w:bottom w:type="dxa" w:w="80"/>
              <w:right w:type="dxa" w:w="80"/>
            </w:tcMar>
          </w:tcPr>
          <w:p>
            <w:r>
              <w:rPr>
                <w:rFonts w:ascii="Arial" w:cs="Arial" w:eastAsia="Arial" w:hAnsi="Arial"/>
                <w:b/>
                <w:bCs/>
                <w:sz w:val="20"/>
                <w:szCs w:val="20"/>
              </w:rPr>
              <w:t xml:space="preserve">Store Location Map</w:t>
            </w:r>
          </w:p>
        </w:tc>
        <w:tc>
          <w:tcPr>
            <w:tcW w:type="dxa" w:w="7560"/>
            <w:tcBorders>
              <w:top w:val="single" w:color="E5E7EB" w:sz="4"/>
              <w:left w:val="none"/>
              <w:bottom w:val="single" w:color="E5E7EB" w:sz="4"/>
              <w:right w:val="none"/>
            </w:tcBorders>
            <w:tcMar>
              <w:top w:type="dxa" w:w="80"/>
              <w:left w:type="dxa" w:w="120"/>
              <w:bottom w:type="dxa" w:w="80"/>
              <w:right w:type="dxa" w:w="80"/>
            </w:tcMar>
          </w:tcPr>
          <w:p>
            <w:r>
              <w:rPr>
                <w:rFonts w:ascii="Arial" w:cs="Arial" w:eastAsia="Arial" w:hAnsi="Arial"/>
                <w:sz w:val="20"/>
                <w:szCs w:val="20"/>
              </w:rPr>
              <w:t xml:space="preserve">Interactive Leaflet/OpenStreetMap showing all stores as color-coded circle markers (green=strong, amber=watch, red=critical). Popups show store name, share %, change, and primary threat. Auto-fits to current entity selection. Placed between KPI row and Share Trend chart.</w:t>
            </w:r>
          </w:p>
        </w:tc>
      </w:tr>
      <w:tr>
        <w:tc>
          <w:tcPr>
            <w:tcW w:type="dxa" w:w="1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92400E"/>
                <w:sz w:val="20"/>
                <w:szCs w:val="20"/>
              </w:rPr>
              <w:t xml:space="preserve">Share Trend Chart</w:t>
            </w:r>
          </w:p>
        </w:tc>
        <w:tc>
          <w:tcPr>
            <w:tcW w:type="dxa" w:w="75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Dual-line chart: Retailer traffic share (green) vs. Competitor combined share (gray) over time. Critical visual: if the gap between lines widens, the retailer is gaining market share. Matches Adam's screen share in the meeting.</w:t>
            </w:r>
          </w:p>
        </w:tc>
      </w:tr>
      <w:tr>
        <w:tc>
          <w:tcPr>
            <w:tcW w:type="dxa" w:w="1800"/>
            <w:tcBorders>
              <w:top w:val="single" w:color="C5D9EA" w:sz="1"/>
              <w:left w:val="single" w:color="C5D9EA" w:sz="1"/>
              <w:bottom w:val="single" w:color="C5D9EA" w:sz="1"/>
              <w:right w:val="single" w:color="C5D9EA" w:sz="1"/>
            </w:tcBorders>
            <w:shd w:fill="FEF3E2" w:val="clear"/>
            <w:tcMar>
              <w:top w:type="dxa" w:w="80"/>
              <w:left w:type="dxa" w:w="120"/>
              <w:bottom w:type="dxa" w:w="80"/>
              <w:right w:type="dxa" w:w="120"/>
            </w:tcMar>
          </w:tcPr>
          <w:p>
            <w:r>
              <w:rPr>
                <w:rFonts w:ascii="Arial" w:cs="Arial" w:eastAsia="Arial" w:hAnsi="Arial"/>
                <w:b/>
                <w:bCs/>
                <w:color w:val="92400E"/>
                <w:sz w:val="20"/>
                <w:szCs w:val="20"/>
              </w:rPr>
              <w:t xml:space="preserve">Volume Bar Chart</w:t>
            </w:r>
          </w:p>
        </w:tc>
        <w:tc>
          <w:tcPr>
            <w:tcW w:type="dxa" w:w="7560"/>
            <w:tcBorders>
              <w:top w:val="single" w:color="C5D9EA" w:sz="1"/>
              <w:left w:val="single" w:color="C5D9EA" w:sz="1"/>
              <w:bottom w:val="single" w:color="C5D9EA" w:sz="1"/>
              <w:right w:val="single" w:color="C5D9EA" w:sz="1"/>
            </w:tcBorders>
            <w:shd w:fill="FEF3E2" w:val="clear"/>
            <w:tcMar>
              <w:top w:type="dxa" w:w="80"/>
              <w:left w:type="dxa" w:w="120"/>
              <w:bottom w:type="dxa" w:w="80"/>
              <w:right w:type="dxa" w:w="120"/>
            </w:tcMar>
          </w:tcPr>
          <w:p>
            <w:r>
              <w:rPr>
                <w:rFonts w:ascii="Arial" w:cs="Arial" w:eastAsia="Arial" w:hAnsi="Arial"/>
                <w:sz w:val="20"/>
                <w:szCs w:val="20"/>
              </w:rPr>
              <w:t xml:space="preserve">Grouped bar chart: Retailer visits (green) vs. competitor visits (gray) by week. Note: week-to-week volume is affected by seasonality — frequency mix chart is more reliable for loyalty story.</w:t>
            </w:r>
          </w:p>
        </w:tc>
      </w:tr>
      <w:tr>
        <w:tc>
          <w:tcPr>
            <w:tcW w:type="dxa" w:w="1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92400E"/>
                <w:sz w:val="20"/>
                <w:szCs w:val="20"/>
              </w:rPr>
              <w:t xml:space="preserve">Store Leaderboard</w:t>
            </w:r>
          </w:p>
        </w:tc>
        <w:tc>
          <w:tcPr>
            <w:tcW w:type="dxa" w:w="75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Ranked table of all stores by: (a) highest traffic share in current period and (b) biggest share improvement from campaign start. Shows alert badges (opportunity/warning/critical).</w:t>
            </w:r>
          </w:p>
        </w:tc>
      </w:tr>
      <w:tr>
        <w:tc>
          <w:tcPr>
            <w:tcW w:type="dxa" w:w="1800"/>
            <w:tcBorders>
              <w:top w:val="single" w:color="C5D9EA" w:sz="1"/>
              <w:left w:val="single" w:color="C5D9EA" w:sz="1"/>
              <w:bottom w:val="single" w:color="C5D9EA" w:sz="1"/>
              <w:right w:val="single" w:color="C5D9EA" w:sz="1"/>
            </w:tcBorders>
            <w:shd w:fill="FEF3E2" w:val="clear"/>
            <w:tcMar>
              <w:top w:type="dxa" w:w="80"/>
              <w:left w:type="dxa" w:w="120"/>
              <w:bottom w:type="dxa" w:w="80"/>
              <w:right w:type="dxa" w:w="120"/>
            </w:tcMar>
          </w:tcPr>
          <w:p>
            <w:r>
              <w:rPr>
                <w:rFonts w:ascii="Arial" w:cs="Arial" w:eastAsia="Arial" w:hAnsi="Arial"/>
                <w:b/>
                <w:bCs/>
                <w:color w:val="92400E"/>
                <w:sz w:val="20"/>
                <w:szCs w:val="20"/>
              </w:rPr>
              <w:t xml:space="preserve">Market Concentration</w:t>
            </w:r>
          </w:p>
        </w:tc>
        <w:tc>
          <w:tcPr>
            <w:tcW w:type="dxa" w:w="7560"/>
            <w:tcBorders>
              <w:top w:val="single" w:color="C5D9EA" w:sz="1"/>
              <w:left w:val="single" w:color="C5D9EA" w:sz="1"/>
              <w:bottom w:val="single" w:color="C5D9EA" w:sz="1"/>
              <w:right w:val="single" w:color="C5D9EA" w:sz="1"/>
            </w:tcBorders>
            <w:shd w:fill="FEF3E2" w:val="clear"/>
            <w:tcMar>
              <w:top w:type="dxa" w:w="80"/>
              <w:left w:type="dxa" w:w="120"/>
              <w:bottom w:type="dxa" w:w="80"/>
              <w:right w:type="dxa" w:w="120"/>
            </w:tcMar>
          </w:tcPr>
          <w:p>
            <w:r>
              <w:rPr>
                <w:rFonts w:ascii="Arial" w:cs="Arial" w:eastAsia="Arial" w:hAnsi="Arial"/>
                <w:sz w:val="20"/>
                <w:szCs w:val="20"/>
              </w:rPr>
              <w:t xml:space="preserve">Sidebar panel: HHI status per store (Highly / Moderately Concentrated), primary threat brand, threat store address.</w:t>
            </w:r>
          </w:p>
        </w:tc>
      </w:tr>
      <w:tr>
        <w:tc>
          <w:tcPr>
            <w:tcW w:type="dxa" w:w="1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92400E"/>
                <w:sz w:val="20"/>
                <w:szCs w:val="20"/>
              </w:rPr>
              <w:t xml:space="preserve">Store Group Chart</w:t>
            </w:r>
          </w:p>
        </w:tc>
        <w:tc>
          <w:tcPr>
            <w:tcW w:type="dxa" w:w="75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Toggle: view data by individual store lines OR by predefined store groups (Red/Amber/Green or custom). For large chains, groups prevent chart overload.</w:t>
            </w:r>
          </w:p>
        </w:tc>
      </w:tr>
    </w:tbl>
    <w:p>
      <w:r>
        <w:br w:type="page"/>
      </w:r>
    </w:p>
    <w:p>
      <w:pPr>
        <w:pStyle w:val="Heading1"/>
        <w:spacing w:before="320" w:after="160"/>
      </w:pPr>
      <w:r>
        <w:rPr>
          <w:rFonts w:ascii="Arial" w:cs="Arial" w:eastAsia="Arial" w:hAnsi="Arial"/>
          <w:b/>
          <w:bCs/>
          <w:color w:val="0F3D6E"/>
          <w:sz w:val="36"/>
          <w:szCs w:val="36"/>
        </w:rPr>
        <w:t xml:space="preserve">6. Phased Implementation Plan</w:t>
      </w:r>
    </w:p>
    <w:p>
      <w:pPr>
        <w:pBdr>
          <w:bottom w:val="single" w:color="1A5C96" w:sz="6" w:space="1"/>
        </w:pBdr>
        <w:spacing w:before="120" w:after="120"/>
      </w:pPr>
      <w:r>
        <w:t xml:space="preserve"/>
      </w:r>
    </w:p>
    <w:p>
      <w:pPr>
        <w:spacing w:before="60" w:after="100"/>
      </w:pPr>
      <w:r>
        <w:rPr>
          <w:rFonts w:ascii="Arial" w:cs="Arial" w:eastAsia="Arial" w:hAnsi="Arial"/>
          <w:sz w:val="22"/>
          <w:szCs w:val="22"/>
        </w:rPr>
        <w:t xml:space="preserve">Following the same brownfield integration approach used for the Engagement Tab. Each phase produces working, testable code before the next phase begins. Prompts are scoped to avoid context timeout.</w:t>
      </w:r>
    </w:p>
    <w:p>
      <w:pPr>
        <w:spacing w:before="80" w:after="0"/>
      </w:pPr>
      <w:r>
        <w:t xml:space="preserve"/>
      </w:r>
    </w:p>
    <w:p>
      <w:pPr>
        <w:pStyle w:val="Heading2"/>
        <w:spacing w:before="260" w:after="120"/>
      </w:pPr>
      <w:r>
        <w:rPr>
          <w:rFonts w:ascii="Arial" w:cs="Arial" w:eastAsia="Arial" w:hAnsi="Arial"/>
          <w:b/>
          <w:bCs/>
          <w:color w:val="1A5C96"/>
          <w:sz w:val="28"/>
          <w:szCs w:val="28"/>
        </w:rPr>
        <w:t xml:space="preserve">Phase 1 — Foundation &amp; Routing (Prompts 1-3)</w:t>
      </w:r>
    </w:p>
    <w:p>
      <w:pPr>
        <w:spacing w:before="40" w:after="0"/>
      </w:pPr>
      <w:r>
        <w:t xml:space="preserve"/>
      </w:r>
    </w:p>
    <w:p>
      <w:pPr>
        <w:pStyle w:val="ListParagraph"/>
        <w:numPr>
          <w:ilvl w:val="0"/>
          <w:numId w:val="3"/>
        </w:numPr>
        <w:spacing w:before="60" w:after="40"/>
      </w:pPr>
      <w:r>
        <w:rPr>
          <w:rFonts w:ascii="Arial" w:cs="Arial" w:eastAsia="Arial" w:hAnsi="Arial"/>
          <w:b/>
          <w:bCs/>
          <w:sz w:val="22"/>
          <w:szCs w:val="22"/>
        </w:rPr>
        <w:t xml:space="preserve">Prompt 1 — Distribution Tab Shell</w:t>
      </w:r>
    </w:p>
    <w:p>
      <w:pPr>
        <w:pStyle w:val="ListParagraph"/>
        <w:numPr>
          <w:ilvl w:val="0"/>
          <w:numId w:val="2"/>
        </w:numPr>
        <w:spacing w:before="40" w:after="40"/>
      </w:pPr>
      <w:r>
        <w:rPr>
          <w:rFonts w:ascii="Arial" w:cs="Arial" w:eastAsia="Arial" w:hAnsi="Arial"/>
          <w:b w:val="false"/>
          <w:bCs w:val="false"/>
          <w:sz w:val="22"/>
          <w:szCs w:val="22"/>
        </w:rPr>
        <w:t xml:space="preserve">Add 'Distribution' tab to dashboard header, adjacent to Engagement tab</w:t>
      </w:r>
    </w:p>
    <w:p>
      <w:pPr>
        <w:pStyle w:val="ListParagraph"/>
        <w:numPr>
          <w:ilvl w:val="0"/>
          <w:numId w:val="2"/>
        </w:numPr>
        <w:spacing w:before="40" w:after="40"/>
      </w:pPr>
      <w:r>
        <w:rPr>
          <w:rFonts w:ascii="Arial" w:cs="Arial" w:eastAsia="Arial" w:hAnsi="Arial"/>
          <w:b w:val="false"/>
          <w:bCs w:val="false"/>
          <w:sz w:val="22"/>
          <w:szCs w:val="22"/>
        </w:rPr>
        <w:t xml:space="preserve">Tab visibility gated by hasActivePaidMedia flag on account/user object</w:t>
      </w:r>
    </w:p>
    <w:p>
      <w:pPr>
        <w:pStyle w:val="ListParagraph"/>
        <w:numPr>
          <w:ilvl w:val="0"/>
          <w:numId w:val="2"/>
        </w:numPr>
        <w:spacing w:before="40" w:after="40"/>
      </w:pPr>
      <w:r>
        <w:rPr>
          <w:rFonts w:ascii="Arial" w:cs="Arial" w:eastAsia="Arial" w:hAnsi="Arial"/>
          <w:b w:val="false"/>
          <w:bCs w:val="false"/>
          <w:sz w:val="22"/>
          <w:szCs w:val="22"/>
        </w:rPr>
        <w:t xml:space="preserve">Route: /dashboard/distribution (lazy-loaded Angular module)</w:t>
      </w:r>
    </w:p>
    <w:p>
      <w:pPr>
        <w:pStyle w:val="ListParagraph"/>
        <w:numPr>
          <w:ilvl w:val="0"/>
          <w:numId w:val="2"/>
        </w:numPr>
        <w:spacing w:before="40" w:after="40"/>
      </w:pPr>
      <w:r>
        <w:rPr>
          <w:rFonts w:ascii="Arial" w:cs="Arial" w:eastAsia="Arial" w:hAnsi="Arial"/>
          <w:b w:val="false"/>
          <w:bCs w:val="false"/>
          <w:sz w:val="22"/>
          <w:szCs w:val="22"/>
        </w:rPr>
        <w:t xml:space="preserve">Empty shell with three section placeholders labeled Section 1, 2, 3</w:t>
      </w:r>
    </w:p>
    <w:p>
      <w:pPr>
        <w:pStyle w:val="ListParagraph"/>
        <w:numPr>
          <w:ilvl w:val="0"/>
          <w:numId w:val="2"/>
        </w:numPr>
        <w:spacing w:before="40" w:after="40"/>
      </w:pPr>
      <w:r>
        <w:rPr>
          <w:rFonts w:ascii="Arial" w:cs="Arial" w:eastAsia="Arial" w:hAnsi="Arial"/>
          <w:b w:val="false"/>
          <w:bCs w:val="false"/>
          <w:sz w:val="22"/>
          <w:szCs w:val="22"/>
        </w:rPr>
        <w:t xml:space="preserve">Validation: Tab renders, route works, Engagement tab unaffected</w:t>
      </w:r>
    </w:p>
    <w:p>
      <w:pPr>
        <w:spacing w:before="40" w:after="0"/>
      </w:pPr>
      <w:r>
        <w:t xml:space="preserve"/>
      </w:r>
    </w:p>
    <w:p>
      <w:pPr>
        <w:pStyle w:val="ListParagraph"/>
        <w:numPr>
          <w:ilvl w:val="0"/>
          <w:numId w:val="4"/>
        </w:numPr>
        <w:spacing w:before="60" w:after="40"/>
      </w:pPr>
      <w:r>
        <w:rPr>
          <w:rFonts w:ascii="Arial" w:cs="Arial" w:eastAsia="Arial" w:hAnsi="Arial"/>
          <w:b/>
          <w:bCs/>
          <w:sz w:val="22"/>
          <w:szCs w:val="22"/>
        </w:rPr>
        <w:t xml:space="preserve">Prompt 2 — Distribution Data Models &amp; Services</w:t>
      </w:r>
    </w:p>
    <w:p>
      <w:pPr>
        <w:pStyle w:val="ListParagraph"/>
        <w:numPr>
          <w:ilvl w:val="0"/>
          <w:numId w:val="2"/>
        </w:numPr>
        <w:spacing w:before="40" w:after="40"/>
      </w:pPr>
      <w:r>
        <w:rPr>
          <w:rFonts w:ascii="Arial" w:cs="Arial" w:eastAsia="Arial" w:hAnsi="Arial"/>
          <w:b w:val="false"/>
          <w:bCs w:val="false"/>
          <w:sz w:val="22"/>
          <w:szCs w:val="22"/>
        </w:rPr>
        <w:t xml:space="preserve">TypeScript interfaces: MediaBuyMetrics, CreativeRecord, VisitationRecord, CrossoverRecord, TrafficShareRecord</w:t>
      </w:r>
    </w:p>
    <w:p>
      <w:pPr>
        <w:pStyle w:val="ListParagraph"/>
        <w:numPr>
          <w:ilvl w:val="0"/>
          <w:numId w:val="2"/>
        </w:numPr>
        <w:spacing w:before="40" w:after="40"/>
      </w:pPr>
      <w:r>
        <w:rPr>
          <w:rFonts w:ascii="Arial" w:cs="Arial" w:eastAsia="Arial" w:hAnsi="Arial"/>
          <w:b w:val="false"/>
          <w:bCs w:val="false"/>
          <w:sz w:val="22"/>
          <w:szCs w:val="22"/>
        </w:rPr>
        <w:t xml:space="preserve">DistributionService with methods: getMediaBuyMetrics(), getVisitationData(), getTrafficShareData()</w:t>
      </w:r>
    </w:p>
    <w:p>
      <w:pPr>
        <w:pStyle w:val="ListParagraph"/>
        <w:numPr>
          <w:ilvl w:val="0"/>
          <w:numId w:val="2"/>
        </w:numPr>
        <w:spacing w:before="40" w:after="40"/>
      </w:pPr>
      <w:r>
        <w:rPr>
          <w:rFonts w:ascii="Arial" w:cs="Arial" w:eastAsia="Arial" w:hAnsi="Arial"/>
          <w:b w:val="false"/>
          <w:bCs w:val="false"/>
          <w:sz w:val="22"/>
          <w:szCs w:val="22"/>
        </w:rPr>
        <w:t xml:space="preserve">Mock data service returning realistic values from the Winn-Dixie pilot dataset</w:t>
      </w:r>
    </w:p>
    <w:p>
      <w:pPr>
        <w:pStyle w:val="ListParagraph"/>
        <w:numPr>
          <w:ilvl w:val="0"/>
          <w:numId w:val="2"/>
        </w:numPr>
        <w:spacing w:before="40" w:after="40"/>
      </w:pPr>
      <w:r>
        <w:rPr>
          <w:rFonts w:ascii="Arial" w:cs="Arial" w:eastAsia="Arial" w:hAnsi="Arial"/>
          <w:b w:val="false"/>
          <w:bCs w:val="false"/>
          <w:sz w:val="22"/>
          <w:szCs w:val="22"/>
        </w:rPr>
        <w:t xml:space="preserve">Integrate with existing LocalStorageService for filter state persistence</w:t>
      </w:r>
    </w:p>
    <w:p>
      <w:pPr>
        <w:pStyle w:val="ListParagraph"/>
        <w:numPr>
          <w:ilvl w:val="0"/>
          <w:numId w:val="2"/>
        </w:numPr>
        <w:spacing w:before="40" w:after="40"/>
      </w:pPr>
      <w:r>
        <w:rPr>
          <w:rFonts w:ascii="Arial" w:cs="Arial" w:eastAsia="Arial" w:hAnsi="Arial"/>
          <w:b w:val="false"/>
          <w:bCs w:val="false"/>
          <w:sz w:val="22"/>
          <w:szCs w:val="22"/>
        </w:rPr>
        <w:t xml:space="preserve">Validation: Service injectable, mock data returns typed responses</w:t>
      </w:r>
    </w:p>
    <w:p>
      <w:pPr>
        <w:spacing w:before="40" w:after="0"/>
      </w:pPr>
      <w:r>
        <w:t xml:space="preserve"/>
      </w:r>
    </w:p>
    <w:p>
      <w:pPr>
        <w:pStyle w:val="ListParagraph"/>
        <w:numPr>
          <w:ilvl w:val="0"/>
          <w:numId w:val="5"/>
        </w:numPr>
        <w:spacing w:before="60" w:after="40"/>
      </w:pPr>
      <w:r>
        <w:rPr>
          <w:rFonts w:ascii="Arial" w:cs="Arial" w:eastAsia="Arial" w:hAnsi="Arial"/>
          <w:b/>
          <w:bCs/>
          <w:sz w:val="22"/>
          <w:szCs w:val="22"/>
        </w:rPr>
        <w:t xml:space="preserve">Prompt 3 — Global Filter Controls</w:t>
      </w:r>
    </w:p>
    <w:p>
      <w:pPr>
        <w:pStyle w:val="ListParagraph"/>
        <w:numPr>
          <w:ilvl w:val="0"/>
          <w:numId w:val="2"/>
        </w:numPr>
        <w:spacing w:before="40" w:after="40"/>
      </w:pPr>
      <w:r>
        <w:rPr>
          <w:rFonts w:ascii="Arial" w:cs="Arial" w:eastAsia="Arial" w:hAnsi="Arial"/>
          <w:b w:val="false"/>
          <w:bCs w:val="false"/>
          <w:sz w:val="22"/>
          <w:szCs w:val="22"/>
        </w:rPr>
        <w:t xml:space="preserve">Date range selector component (flight weeks + calendar mode)</w:t>
      </w:r>
    </w:p>
    <w:p>
      <w:pPr>
        <w:pStyle w:val="ListParagraph"/>
        <w:numPr>
          <w:ilvl w:val="0"/>
          <w:numId w:val="2"/>
        </w:numPr>
        <w:spacing w:before="40" w:after="40"/>
      </w:pPr>
      <w:r>
        <w:rPr>
          <w:rFonts w:ascii="Arial" w:cs="Arial" w:eastAsia="Arial" w:hAnsi="Arial"/>
          <w:b w:val="false"/>
          <w:bCs w:val="false"/>
          <w:sz w:val="22"/>
          <w:szCs w:val="22"/>
        </w:rPr>
        <w:t xml:space="preserve">Store selector component (all / individual / group)</w:t>
      </w:r>
    </w:p>
    <w:p>
      <w:pPr>
        <w:pStyle w:val="ListParagraph"/>
        <w:numPr>
          <w:ilvl w:val="0"/>
          <w:numId w:val="2"/>
        </w:numPr>
        <w:spacing w:before="40" w:after="40"/>
      </w:pPr>
      <w:r>
        <w:rPr>
          <w:rFonts w:ascii="Arial" w:cs="Arial" w:eastAsia="Arial" w:hAnsi="Arial"/>
          <w:b w:val="false"/>
          <w:bCs w:val="false"/>
          <w:sz w:val="22"/>
          <w:szCs w:val="22"/>
        </w:rPr>
        <w:t xml:space="preserve">Filter chips display (matches Engagement Tab pattern)</w:t>
      </w:r>
    </w:p>
    <w:p>
      <w:pPr>
        <w:pStyle w:val="ListParagraph"/>
        <w:numPr>
          <w:ilvl w:val="0"/>
          <w:numId w:val="2"/>
        </w:numPr>
        <w:spacing w:before="40" w:after="40"/>
      </w:pPr>
      <w:r>
        <w:rPr>
          <w:rFonts w:ascii="Arial" w:cs="Arial" w:eastAsia="Arial" w:hAnsi="Arial"/>
          <w:b w:val="false"/>
          <w:bCs w:val="false"/>
          <w:sz w:val="22"/>
          <w:szCs w:val="22"/>
        </w:rPr>
        <w:t xml:space="preserve">FilterStateService broadcasts filter changes to all three sections</w:t>
      </w:r>
    </w:p>
    <w:p>
      <w:pPr>
        <w:pStyle w:val="ListParagraph"/>
        <w:numPr>
          <w:ilvl w:val="0"/>
          <w:numId w:val="2"/>
        </w:numPr>
        <w:spacing w:before="40" w:after="40"/>
      </w:pPr>
      <w:r>
        <w:rPr>
          <w:rFonts w:ascii="Arial" w:cs="Arial" w:eastAsia="Arial" w:hAnsi="Arial"/>
          <w:b w:val="false"/>
          <w:bCs w:val="false"/>
          <w:sz w:val="22"/>
          <w:szCs w:val="22"/>
        </w:rPr>
        <w:t xml:space="preserve">Validation: Filter changes update all sections, state persists on tab switch</w:t>
      </w:r>
    </w:p>
    <w:p>
      <w:pPr>
        <w:spacing w:before="100" w:after="0"/>
      </w:pPr>
      <w:r>
        <w:t xml:space="preserve"/>
      </w:r>
    </w:p>
    <w:p>
      <w:pPr>
        <w:pStyle w:val="Heading2"/>
        <w:spacing w:before="260" w:after="120"/>
      </w:pPr>
      <w:r>
        <w:rPr>
          <w:rFonts w:ascii="Arial" w:cs="Arial" w:eastAsia="Arial" w:hAnsi="Arial"/>
          <w:b/>
          <w:bCs/>
          <w:color w:val="1A5C96"/>
          <w:sz w:val="28"/>
          <w:szCs w:val="28"/>
        </w:rPr>
        <w:t xml:space="preserve">Phase 2 — Section 1: Media Buy Metrics (Prompts 4-6)</w:t>
      </w:r>
    </w:p>
    <w:p>
      <w:pPr>
        <w:spacing w:before="40" w:after="0"/>
      </w:pPr>
      <w:r>
        <w:t xml:space="preserve"/>
      </w:r>
    </w:p>
    <w:p>
      <w:pPr>
        <w:pStyle w:val="ListParagraph"/>
        <w:numPr>
          <w:ilvl w:val="0"/>
          <w:numId w:val="6"/>
        </w:numPr>
        <w:spacing w:before="60" w:after="40"/>
      </w:pPr>
      <w:r>
        <w:rPr>
          <w:rFonts w:ascii="Arial" w:cs="Arial" w:eastAsia="Arial" w:hAnsi="Arial"/>
          <w:b/>
          <w:bCs/>
          <w:sz w:val="22"/>
          <w:szCs w:val="22"/>
        </w:rPr>
        <w:t xml:space="preserve">Prompt 4 — Media Buy KPI Tiles</w:t>
      </w:r>
    </w:p>
    <w:p>
      <w:pPr>
        <w:pStyle w:val="ListParagraph"/>
        <w:numPr>
          <w:ilvl w:val="0"/>
          <w:numId w:val="2"/>
        </w:numPr>
        <w:spacing w:before="40" w:after="40"/>
      </w:pPr>
      <w:r>
        <w:rPr>
          <w:rFonts w:ascii="Arial" w:cs="Arial" w:eastAsia="Arial" w:hAnsi="Arial"/>
          <w:b w:val="false"/>
          <w:bCs w:val="false"/>
          <w:sz w:val="22"/>
          <w:szCs w:val="22"/>
        </w:rPr>
        <w:t xml:space="preserve">KPI tile row: Cost Per Visit (primary), Impressions, Clicks, CTR, Visits/1000, Budget</w:t>
      </w:r>
    </w:p>
    <w:p>
      <w:pPr>
        <w:pStyle w:val="ListParagraph"/>
        <w:numPr>
          <w:ilvl w:val="0"/>
          <w:numId w:val="2"/>
        </w:numPr>
        <w:spacing w:before="40" w:after="40"/>
      </w:pPr>
      <w:r>
        <w:rPr>
          <w:rFonts w:ascii="Arial" w:cs="Arial" w:eastAsia="Arial" w:hAnsi="Arial"/>
          <w:b w:val="false"/>
          <w:bCs w:val="false"/>
          <w:sz w:val="22"/>
          <w:szCs w:val="22"/>
        </w:rPr>
        <w:t xml:space="preserve">Cost Per Visit tile: larger, accent color border-top, prominent placement</w:t>
      </w:r>
    </w:p>
    <w:p>
      <w:pPr>
        <w:pStyle w:val="ListParagraph"/>
        <w:numPr>
          <w:ilvl w:val="0"/>
          <w:numId w:val="2"/>
        </w:numPr>
        <w:spacing w:before="40" w:after="40"/>
      </w:pPr>
      <w:r>
        <w:rPr>
          <w:rFonts w:ascii="Arial" w:cs="Arial" w:eastAsia="Arial" w:hAnsi="Arial"/>
          <w:b w:val="false"/>
          <w:bCs w:val="false"/>
          <w:sz w:val="22"/>
          <w:szCs w:val="22"/>
        </w:rPr>
        <w:t xml:space="preserve">All tiles reactive to filter state</w:t>
      </w:r>
    </w:p>
    <w:p>
      <w:pPr>
        <w:pStyle w:val="ListParagraph"/>
        <w:numPr>
          <w:ilvl w:val="0"/>
          <w:numId w:val="2"/>
        </w:numPr>
        <w:spacing w:before="40" w:after="40"/>
      </w:pPr>
      <w:r>
        <w:rPr>
          <w:rFonts w:ascii="Arial" w:cs="Arial" w:eastAsia="Arial" w:hAnsi="Arial"/>
          <w:b w:val="false"/>
          <w:bCs w:val="false"/>
          <w:sz w:val="22"/>
          <w:szCs w:val="22"/>
        </w:rPr>
        <w:t xml:space="preserve">Validation: Tiles display correct mock values, Cost Per Visit most prominent</w:t>
      </w:r>
    </w:p>
    <w:p>
      <w:pPr>
        <w:spacing w:before="40" w:after="0"/>
      </w:pPr>
      <w:r>
        <w:t xml:space="preserve"/>
      </w:r>
    </w:p>
    <w:p>
      <w:pPr>
        <w:pStyle w:val="ListParagraph"/>
        <w:numPr>
          <w:ilvl w:val="0"/>
          <w:numId w:val="7"/>
        </w:numPr>
        <w:spacing w:before="60" w:after="40"/>
      </w:pPr>
      <w:r>
        <w:rPr>
          <w:rFonts w:ascii="Arial" w:cs="Arial" w:eastAsia="Arial" w:hAnsi="Arial"/>
          <w:b/>
          <w:bCs/>
          <w:sz w:val="22"/>
          <w:szCs w:val="22"/>
        </w:rPr>
        <w:t xml:space="preserve">Prompt 5 — Media Creative Panel &amp; Upload</w:t>
      </w:r>
    </w:p>
    <w:p>
      <w:pPr>
        <w:pStyle w:val="ListParagraph"/>
        <w:numPr>
          <w:ilvl w:val="0"/>
          <w:numId w:val="2"/>
        </w:numPr>
        <w:spacing w:before="40" w:after="40"/>
      </w:pPr>
      <w:r>
        <w:rPr>
          <w:rFonts w:ascii="Arial" w:cs="Arial" w:eastAsia="Arial" w:hAnsi="Arial"/>
          <w:b w:val="false"/>
          <w:bCs w:val="false"/>
          <w:sz w:val="22"/>
          <w:szCs w:val="22"/>
        </w:rPr>
        <w:t xml:space="preserve">Creative display panel: thumbnail preview (GIF/image/video poster), date range badge, store group label</w:t>
      </w:r>
    </w:p>
    <w:p>
      <w:pPr>
        <w:pStyle w:val="ListParagraph"/>
        <w:numPr>
          <w:ilvl w:val="0"/>
          <w:numId w:val="2"/>
        </w:numPr>
        <w:spacing w:before="40" w:after="40"/>
      </w:pPr>
      <w:r>
        <w:rPr>
          <w:rFonts w:ascii="Arial" w:cs="Arial" w:eastAsia="Arial" w:hAnsi="Arial"/>
          <w:b w:val="false"/>
          <w:bCs w:val="false"/>
          <w:sz w:val="22"/>
          <w:szCs w:val="22"/>
        </w:rPr>
        <w:t xml:space="preserve">A/B variant display: side-by-side when two creatives overlap</w:t>
      </w:r>
    </w:p>
    <w:p>
      <w:pPr>
        <w:pStyle w:val="ListParagraph"/>
        <w:numPr>
          <w:ilvl w:val="0"/>
          <w:numId w:val="2"/>
        </w:numPr>
        <w:spacing w:before="40" w:after="40"/>
      </w:pPr>
      <w:r>
        <w:rPr>
          <w:rFonts w:ascii="Arial" w:cs="Arial" w:eastAsia="Arial" w:hAnsi="Arial"/>
          <w:b w:val="false"/>
          <w:bCs w:val="false"/>
          <w:sz w:val="22"/>
          <w:szCs w:val="22"/>
        </w:rPr>
        <w:t xml:space="preserve">Upload modal: retailer, date range, store group multi-select, file input (GIF/JPEG/PNG/MP4), notes field</w:t>
      </w:r>
    </w:p>
    <w:p>
      <w:pPr>
        <w:pStyle w:val="ListParagraph"/>
        <w:numPr>
          <w:ilvl w:val="0"/>
          <w:numId w:val="2"/>
        </w:numPr>
        <w:spacing w:before="40" w:after="40"/>
      </w:pPr>
      <w:r>
        <w:rPr>
          <w:rFonts w:ascii="Arial" w:cs="Arial" w:eastAsia="Arial" w:hAnsi="Arial"/>
          <w:b w:val="false"/>
          <w:bCs w:val="false"/>
          <w:sz w:val="22"/>
          <w:szCs w:val="22"/>
        </w:rPr>
        <w:t xml:space="preserve">Admin-only upload CTA (role-based visibility)</w:t>
      </w:r>
    </w:p>
    <w:p>
      <w:pPr>
        <w:pStyle w:val="ListParagraph"/>
        <w:numPr>
          <w:ilvl w:val="0"/>
          <w:numId w:val="2"/>
        </w:numPr>
        <w:spacing w:before="40" w:after="40"/>
      </w:pPr>
      <w:r>
        <w:rPr>
          <w:rFonts w:ascii="Arial" w:cs="Arial" w:eastAsia="Arial" w:hAnsi="Arial"/>
          <w:b w:val="false"/>
          <w:bCs w:val="false"/>
          <w:sz w:val="22"/>
          <w:szCs w:val="22"/>
        </w:rPr>
        <w:t xml:space="preserve">Validation: Creative displays correctly for each media type, upload modal opens and validates</w:t>
      </w:r>
    </w:p>
    <w:p>
      <w:pPr>
        <w:spacing w:before="40" w:after="0"/>
      </w:pPr>
      <w:r>
        <w:t xml:space="preserve"/>
      </w:r>
    </w:p>
    <w:p>
      <w:pPr>
        <w:pStyle w:val="ListParagraph"/>
        <w:numPr>
          <w:ilvl w:val="0"/>
          <w:numId w:val="8"/>
        </w:numPr>
        <w:spacing w:before="60" w:after="40"/>
      </w:pPr>
      <w:r>
        <w:rPr>
          <w:rFonts w:ascii="Arial" w:cs="Arial" w:eastAsia="Arial" w:hAnsi="Arial"/>
          <w:b/>
          <w:bCs/>
          <w:sz w:val="22"/>
          <w:szCs w:val="22"/>
        </w:rPr>
        <w:t xml:space="preserve">Prompt 6 — Video Engagement &amp; Demographics</w:t>
      </w:r>
    </w:p>
    <w:p>
      <w:pPr>
        <w:pStyle w:val="ListParagraph"/>
        <w:numPr>
          <w:ilvl w:val="0"/>
          <w:numId w:val="2"/>
        </w:numPr>
        <w:spacing w:before="40" w:after="40"/>
      </w:pPr>
      <w:r>
        <w:rPr>
          <w:rFonts w:ascii="Arial" w:cs="Arial" w:eastAsia="Arial" w:hAnsi="Arial"/>
          <w:b w:val="false"/>
          <w:bCs w:val="false"/>
          <w:sz w:val="22"/>
          <w:szCs w:val="22"/>
        </w:rPr>
        <w:t xml:space="preserve">Video section (conditional on creative_type=video): Complete Views, Completion Rate, quartile funnel chart</w:t>
      </w:r>
    </w:p>
    <w:p>
      <w:pPr>
        <w:pStyle w:val="ListParagraph"/>
        <w:numPr>
          <w:ilvl w:val="0"/>
          <w:numId w:val="2"/>
        </w:numPr>
        <w:spacing w:before="40" w:after="40"/>
      </w:pPr>
      <w:r>
        <w:rPr>
          <w:rFonts w:ascii="Arial" w:cs="Arial" w:eastAsia="Arial" w:hAnsi="Arial"/>
          <w:b w:val="false"/>
          <w:bCs w:val="false"/>
          <w:sz w:val="22"/>
          <w:szCs w:val="22"/>
        </w:rPr>
        <w:t xml:space="preserve">Quartile funnel: donut or bar showing 1st/mid/3rd quartile view counts with time labels</w:t>
      </w:r>
    </w:p>
    <w:p>
      <w:pPr>
        <w:pStyle w:val="ListParagraph"/>
        <w:numPr>
          <w:ilvl w:val="0"/>
          <w:numId w:val="2"/>
        </w:numPr>
        <w:spacing w:before="40" w:after="40"/>
      </w:pPr>
      <w:r>
        <w:rPr>
          <w:rFonts w:ascii="Arial" w:cs="Arial" w:eastAsia="Arial" w:hAnsi="Arial"/>
          <w:b w:val="false"/>
          <w:bCs w:val="false"/>
          <w:sz w:val="22"/>
          <w:szCs w:val="22"/>
        </w:rPr>
        <w:t xml:space="preserve">Demographics collapsible panel: age bar chart, gender pie, income bar, net worth bar, household metrics</w:t>
      </w:r>
    </w:p>
    <w:p>
      <w:pPr>
        <w:pStyle w:val="ListParagraph"/>
        <w:numPr>
          <w:ilvl w:val="0"/>
          <w:numId w:val="2"/>
        </w:numPr>
        <w:spacing w:before="40" w:after="40"/>
      </w:pPr>
      <w:r>
        <w:rPr>
          <w:rFonts w:ascii="Arial" w:cs="Arial" w:eastAsia="Arial" w:hAnsi="Arial"/>
          <w:b w:val="false"/>
          <w:bCs w:val="false"/>
          <w:sz w:val="22"/>
          <w:szCs w:val="22"/>
        </w:rPr>
        <w:t xml:space="preserve">Validation: Video section hidden for non-video creatives, demographics expand/collapse correctly</w:t>
      </w:r>
    </w:p>
    <w:p>
      <w:pPr>
        <w:spacing w:before="100" w:after="0"/>
      </w:pPr>
      <w:r>
        <w:t xml:space="preserve"/>
      </w:r>
    </w:p>
    <w:p>
      <w:pPr>
        <w:pStyle w:val="Heading2"/>
        <w:spacing w:before="260" w:after="120"/>
      </w:pPr>
      <w:r>
        <w:rPr>
          <w:rFonts w:ascii="Arial" w:cs="Arial" w:eastAsia="Arial" w:hAnsi="Arial"/>
          <w:b/>
          <w:bCs/>
          <w:color w:val="1A5C96"/>
          <w:sz w:val="28"/>
          <w:szCs w:val="28"/>
        </w:rPr>
        <w:t xml:space="preserve">Phase 3 — Section 2: Store Visitation (Prompts 7-9)</w:t>
      </w:r>
    </w:p>
    <w:p>
      <w:pPr>
        <w:spacing w:before="40" w:after="0"/>
      </w:pPr>
      <w:r>
        <w:t xml:space="preserve"/>
      </w:r>
    </w:p>
    <w:p>
      <w:pPr>
        <w:pStyle w:val="ListParagraph"/>
        <w:numPr>
          <w:ilvl w:val="0"/>
          <w:numId w:val="9"/>
        </w:numPr>
        <w:spacing w:before="60" w:after="40"/>
      </w:pPr>
      <w:r>
        <w:rPr>
          <w:rFonts w:ascii="Arial" w:cs="Arial" w:eastAsia="Arial" w:hAnsi="Arial"/>
          <w:b/>
          <w:bCs/>
          <w:sz w:val="22"/>
          <w:szCs w:val="22"/>
        </w:rPr>
        <w:t xml:space="preserve">Prompt 7 — Visit Frequency KPIs &amp; Stacked Bar Chart</w:t>
      </w:r>
    </w:p>
    <w:p>
      <w:pPr>
        <w:pStyle w:val="ListParagraph"/>
        <w:numPr>
          <w:ilvl w:val="0"/>
          <w:numId w:val="2"/>
        </w:numPr>
        <w:spacing w:before="40" w:after="40"/>
      </w:pPr>
      <w:r>
        <w:rPr>
          <w:rFonts w:ascii="Arial" w:cs="Arial" w:eastAsia="Arial" w:hAnsi="Arial"/>
          <w:b w:val="false"/>
          <w:bCs w:val="false"/>
          <w:sz w:val="22"/>
          <w:szCs w:val="22"/>
        </w:rPr>
        <w:t xml:space="preserve">KPI row: Cost Per Visit, Gross Visits, Visits/1000, Zero Prev Visits, 1-3 Prev Visits, 4+ Prev Visits</w:t>
      </w:r>
    </w:p>
    <w:p>
      <w:pPr>
        <w:pStyle w:val="ListParagraph"/>
        <w:numPr>
          <w:ilvl w:val="0"/>
          <w:numId w:val="2"/>
        </w:numPr>
        <w:spacing w:before="40" w:after="40"/>
      </w:pPr>
      <w:r>
        <w:rPr>
          <w:rFonts w:ascii="Arial" w:cs="Arial" w:eastAsia="Arial" w:hAnsi="Arial"/>
          <w:b w:val="false"/>
          <w:bCs w:val="false"/>
          <w:sz w:val="22"/>
          <w:szCs w:val="22"/>
        </w:rPr>
        <w:t xml:space="preserve">100% stacked bar chart by week (eCharts): blue=zero, orange=1-3, green=4+</w:t>
      </w:r>
    </w:p>
    <w:p>
      <w:pPr>
        <w:pStyle w:val="ListParagraph"/>
        <w:numPr>
          <w:ilvl w:val="0"/>
          <w:numId w:val="2"/>
        </w:numPr>
        <w:spacing w:before="40" w:after="40"/>
      </w:pPr>
      <w:r>
        <w:rPr>
          <w:rFonts w:ascii="Arial" w:cs="Arial" w:eastAsia="Arial" w:hAnsi="Arial"/>
          <w:b w:val="false"/>
          <w:bCs w:val="false"/>
          <w:sz w:val="22"/>
          <w:szCs w:val="22"/>
        </w:rPr>
        <w:t xml:space="preserve">Tooltip: hover shows actual counts + percentages for each bucket</w:t>
      </w:r>
    </w:p>
    <w:p>
      <w:pPr>
        <w:pStyle w:val="ListParagraph"/>
        <w:numPr>
          <w:ilvl w:val="0"/>
          <w:numId w:val="2"/>
        </w:numPr>
        <w:spacing w:before="40" w:after="40"/>
      </w:pPr>
      <w:r>
        <w:rPr>
          <w:rFonts w:ascii="Arial" w:cs="Arial" w:eastAsia="Arial" w:hAnsi="Arial"/>
          <w:b w:val="false"/>
          <w:bCs w:val="false"/>
          <w:sz w:val="22"/>
          <w:szCs w:val="22"/>
        </w:rPr>
        <w:t xml:space="preserve">Validation: Chart renders correctly with mock data, buckets sum to 100% each week</w:t>
      </w:r>
    </w:p>
    <w:p>
      <w:pPr>
        <w:spacing w:before="40" w:after="0"/>
      </w:pPr>
      <w:r>
        <w:t xml:space="preserve"/>
      </w:r>
    </w:p>
    <w:p>
      <w:pPr>
        <w:pStyle w:val="ListParagraph"/>
        <w:numPr>
          <w:ilvl w:val="0"/>
          <w:numId w:val="3"/>
        </w:numPr>
        <w:spacing w:before="60" w:after="40"/>
      </w:pPr>
      <w:r>
        <w:rPr>
          <w:rFonts w:ascii="Arial" w:cs="Arial" w:eastAsia="Arial" w:hAnsi="Arial"/>
          <w:b/>
          <w:bCs/>
          <w:sz w:val="22"/>
          <w:szCs w:val="22"/>
        </w:rPr>
        <w:t xml:space="preserve">Prompt 8 — Competitive Crossover Panel</w:t>
      </w:r>
    </w:p>
    <w:p>
      <w:pPr>
        <w:pStyle w:val="ListParagraph"/>
        <w:numPr>
          <w:ilvl w:val="0"/>
          <w:numId w:val="2"/>
        </w:numPr>
        <w:spacing w:before="40" w:after="40"/>
      </w:pPr>
      <w:r>
        <w:rPr>
          <w:rFonts w:ascii="Arial" w:cs="Arial" w:eastAsia="Arial" w:hAnsi="Arial"/>
          <w:b w:val="false"/>
          <w:bCs w:val="false"/>
          <w:sz w:val="22"/>
          <w:szCs w:val="22"/>
        </w:rPr>
        <w:t xml:space="preserve">Horizontal bar chart: competitor on Y axis, crossover % on X axis</w:t>
      </w:r>
    </w:p>
    <w:p>
      <w:pPr>
        <w:pStyle w:val="ListParagraph"/>
        <w:numPr>
          <w:ilvl w:val="0"/>
          <w:numId w:val="2"/>
        </w:numPr>
        <w:spacing w:before="40" w:after="40"/>
      </w:pPr>
      <w:r>
        <w:rPr>
          <w:rFonts w:ascii="Arial" w:cs="Arial" w:eastAsia="Arial" w:hAnsi="Arial"/>
          <w:b w:val="false"/>
          <w:bCs w:val="false"/>
          <w:sz w:val="22"/>
          <w:szCs w:val="22"/>
        </w:rPr>
        <w:t xml:space="preserve">Expand row: click competitor to see zero/1-3/4+ frequency breakdown for crossover traffic from that competitor</w:t>
      </w:r>
    </w:p>
    <w:p>
      <w:pPr>
        <w:pStyle w:val="ListParagraph"/>
        <w:numPr>
          <w:ilvl w:val="0"/>
          <w:numId w:val="2"/>
        </w:numPr>
        <w:spacing w:before="40" w:after="40"/>
      </w:pPr>
      <w:r>
        <w:rPr>
          <w:rFonts w:ascii="Arial" w:cs="Arial" w:eastAsia="Arial" w:hAnsi="Arial"/>
          <w:b w:val="false"/>
          <w:bCs w:val="false"/>
          <w:sz w:val="22"/>
          <w:szCs w:val="22"/>
        </w:rPr>
        <w:t xml:space="preserve">Competitor store address shown (not just brand name)</w:t>
      </w:r>
    </w:p>
    <w:p>
      <w:pPr>
        <w:pStyle w:val="ListParagraph"/>
        <w:numPr>
          <w:ilvl w:val="0"/>
          <w:numId w:val="2"/>
        </w:numPr>
        <w:spacing w:before="40" w:after="40"/>
      </w:pPr>
      <w:r>
        <w:rPr>
          <w:rFonts w:ascii="Arial" w:cs="Arial" w:eastAsia="Arial" w:hAnsi="Arial"/>
          <w:b w:val="false"/>
          <w:bCs w:val="false"/>
          <w:sz w:val="22"/>
          <w:szCs w:val="22"/>
        </w:rPr>
        <w:t xml:space="preserve">Validation: Expand/collapse works, address-level data displayed</w:t>
      </w:r>
    </w:p>
    <w:p>
      <w:pPr>
        <w:spacing w:before="40" w:after="0"/>
      </w:pPr>
      <w:r>
        <w:t xml:space="preserve"/>
      </w:r>
    </w:p>
    <w:p>
      <w:pPr>
        <w:pStyle w:val="ListParagraph"/>
        <w:numPr>
          <w:ilvl w:val="0"/>
          <w:numId w:val="3"/>
        </w:numPr>
        <w:spacing w:before="60" w:after="40"/>
      </w:pPr>
      <w:r>
        <w:rPr>
          <w:rFonts w:ascii="Arial" w:cs="Arial" w:eastAsia="Arial" w:hAnsi="Arial"/>
          <w:b/>
          <w:bCs/>
          <w:sz w:val="22"/>
          <w:szCs w:val="22"/>
        </w:rPr>
        <w:t xml:space="preserve">Prompt 9 — Crossover Trend &amp; Store Spotlight Cards</w:t>
      </w:r>
    </w:p>
    <w:p>
      <w:pPr>
        <w:pStyle w:val="ListParagraph"/>
        <w:numPr>
          <w:ilvl w:val="0"/>
          <w:numId w:val="2"/>
        </w:numPr>
        <w:spacing w:before="40" w:after="40"/>
      </w:pPr>
      <w:r>
        <w:rPr>
          <w:rFonts w:ascii="Arial" w:cs="Arial" w:eastAsia="Arial" w:hAnsi="Arial"/>
          <w:b w:val="false"/>
          <w:bCs w:val="false"/>
          <w:sz w:val="22"/>
          <w:szCs w:val="22"/>
        </w:rPr>
        <w:t xml:space="preserve">Crossover trend line chart: X=flight weeks, Y=crossover %, one line per competitor, toggleable legend</w:t>
      </w:r>
    </w:p>
    <w:p>
      <w:pPr>
        <w:pStyle w:val="ListParagraph"/>
        <w:numPr>
          <w:ilvl w:val="0"/>
          <w:numId w:val="2"/>
        </w:numPr>
        <w:spacing w:before="40" w:after="40"/>
      </w:pPr>
      <w:r>
        <w:rPr>
          <w:rFonts w:ascii="Arial" w:cs="Arial" w:eastAsia="Arial" w:hAnsi="Arial"/>
          <w:b w:val="false"/>
          <w:bCs w:val="false"/>
          <w:sz w:val="22"/>
          <w:szCs w:val="22"/>
        </w:rPr>
        <w:t xml:space="preserve">Store spotlight cards: surfaces stores with opportunity/warning/critical alert status</w:t>
      </w:r>
    </w:p>
    <w:p>
      <w:pPr>
        <w:pStyle w:val="ListParagraph"/>
        <w:numPr>
          <w:ilvl w:val="0"/>
          <w:numId w:val="2"/>
        </w:numPr>
        <w:spacing w:before="40" w:after="40"/>
      </w:pPr>
      <w:r>
        <w:rPr>
          <w:rFonts w:ascii="Arial" w:cs="Arial" w:eastAsia="Arial" w:hAnsi="Arial"/>
          <w:b w:val="false"/>
          <w:bCs w:val="false"/>
          <w:sz w:val="22"/>
          <w:szCs w:val="22"/>
        </w:rPr>
        <w:t xml:space="preserve">Alert badge component: green (opportunity), amber (warning), red (critical), gray (normal)</w:t>
      </w:r>
    </w:p>
    <w:p>
      <w:pPr>
        <w:pStyle w:val="ListParagraph"/>
        <w:numPr>
          <w:ilvl w:val="0"/>
          <w:numId w:val="2"/>
        </w:numPr>
        <w:spacing w:before="40" w:after="40"/>
      </w:pPr>
      <w:r>
        <w:rPr>
          <w:rFonts w:ascii="Arial" w:cs="Arial" w:eastAsia="Arial" w:hAnsi="Arial"/>
          <w:b w:val="false"/>
          <w:bCs w:val="false"/>
          <w:sz w:val="22"/>
          <w:szCs w:val="22"/>
        </w:rPr>
        <w:t xml:space="preserve">Validation: Cards display correct alert types, trend chart updates with filter changes</w:t>
      </w:r>
    </w:p>
    <w:p>
      <w:pPr>
        <w:spacing w:before="100" w:after="0"/>
      </w:pPr>
      <w:r>
        <w:t xml:space="preserve"/>
      </w:r>
    </w:p>
    <w:p>
      <w:pPr>
        <w:pStyle w:val="Heading2"/>
        <w:spacing w:before="260" w:after="120"/>
      </w:pPr>
      <w:r>
        <w:rPr>
          <w:rFonts w:ascii="Arial" w:cs="Arial" w:eastAsia="Arial" w:hAnsi="Arial"/>
          <w:b/>
          <w:bCs/>
          <w:color w:val="1A5C96"/>
          <w:sz w:val="28"/>
          <w:szCs w:val="28"/>
        </w:rPr>
        <w:t xml:space="preserve">Phase 4 — Section 3: Traffic Share Shift (Prompts 10-12)</w:t>
      </w:r>
    </w:p>
    <w:p>
      <w:pPr>
        <w:pStyle w:val="ListParagraph"/>
        <w:numPr>
          <w:ilvl w:val="0"/>
          <w:numId w:val="2"/>
        </w:numPr>
        <w:spacing w:before="40" w:after="40"/>
      </w:pPr>
      <w:r>
        <w:rPr>
          <w:rFonts w:ascii="Arial" w:cs="Arial" w:eastAsia="Arial" w:hAnsi="Arial"/>
          <w:b w:val="false"/>
          <w:bCs w:val="false"/>
          <w:sz w:val="22"/>
          <w:szCs w:val="22"/>
        </w:rPr>
        <w:t xml:space="preserve">Prompt 10 — Traffic Share KPIs &amp; Dual-Line Trend Chart</w:t>
      </w:r>
    </w:p>
    <w:p>
      <w:pPr>
        <w:pStyle w:val="ListParagraph"/>
        <w:numPr>
          <w:ilvl w:val="0"/>
          <w:numId w:val="10"/>
        </w:numPr>
        <w:spacing w:before="20" w:after="20"/>
      </w:pPr>
      <w:r>
        <w:rPr>
          <w:rFonts w:ascii="Arial" w:cs="Arial" w:eastAsia="Arial" w:hAnsi="Arial"/>
          <w:color w:val="6B7280"/>
          <w:sz w:val="20"/>
          <w:szCs w:val="20"/>
        </w:rPr>
        <w:t xml:space="preserve">WD share %, share change pp, stores outperforming count, growth advantage</w:t>
      </w:r>
    </w:p>
    <w:p>
      <w:pPr>
        <w:pStyle w:val="ListParagraph"/>
        <w:numPr>
          <w:ilvl w:val="0"/>
          <w:numId w:val="10"/>
        </w:numPr>
        <w:spacing w:before="20" w:after="20"/>
      </w:pPr>
      <w:r>
        <w:rPr>
          <w:rFonts w:ascii="Arial" w:cs="Arial" w:eastAsia="Arial" w:hAnsi="Arial"/>
          <w:color w:val="6B7280"/>
          <w:sz w:val="20"/>
          <w:szCs w:val="20"/>
        </w:rPr>
        <w:t xml:space="preserve">Dual-line chart: WD (green) vs. competitors (gray), gap annotation</w:t>
      </w:r>
    </w:p>
    <w:p>
      <w:pPr>
        <w:pStyle w:val="ListParagraph"/>
        <w:numPr>
          <w:ilvl w:val="0"/>
          <w:numId w:val="2"/>
        </w:numPr>
        <w:spacing w:before="40" w:after="40"/>
      </w:pPr>
      <w:r>
        <w:rPr>
          <w:rFonts w:ascii="Arial" w:cs="Arial" w:eastAsia="Arial" w:hAnsi="Arial"/>
          <w:b w:val="false"/>
          <w:bCs w:val="false"/>
          <w:sz w:val="22"/>
          <w:szCs w:val="22"/>
        </w:rPr>
        <w:t xml:space="preserve">Prompt 11 — Store Leaderboard Table</w:t>
      </w:r>
    </w:p>
    <w:p>
      <w:pPr>
        <w:pStyle w:val="ListParagraph"/>
        <w:numPr>
          <w:ilvl w:val="0"/>
          <w:numId w:val="10"/>
        </w:numPr>
        <w:spacing w:before="20" w:after="20"/>
      </w:pPr>
      <w:r>
        <w:rPr>
          <w:rFonts w:ascii="Arial" w:cs="Arial" w:eastAsia="Arial" w:hAnsi="Arial"/>
          <w:color w:val="6B7280"/>
          <w:sz w:val="20"/>
          <w:szCs w:val="20"/>
        </w:rPr>
        <w:t xml:space="preserve">Ranked by share and by improvement, alert badges, drill-down to store detail</w:t>
      </w:r>
    </w:p>
    <w:p>
      <w:pPr>
        <w:pStyle w:val="ListParagraph"/>
        <w:numPr>
          <w:ilvl w:val="0"/>
          <w:numId w:val="10"/>
        </w:numPr>
        <w:spacing w:before="20" w:after="20"/>
      </w:pPr>
      <w:r>
        <w:rPr>
          <w:rFonts w:ascii="Arial" w:cs="Arial" w:eastAsia="Arial" w:hAnsi="Arial"/>
          <w:color w:val="6B7280"/>
          <w:sz w:val="20"/>
          <w:szCs w:val="20"/>
        </w:rPr>
        <w:t xml:space="preserve">Market concentration sidebar: HHI status, primary threat with address</w:t>
      </w:r>
    </w:p>
    <w:p>
      <w:pPr>
        <w:pStyle w:val="ListParagraph"/>
        <w:numPr>
          <w:ilvl w:val="0"/>
          <w:numId w:val="2"/>
        </w:numPr>
        <w:spacing w:before="40" w:after="40"/>
      </w:pPr>
      <w:r>
        <w:rPr>
          <w:rFonts w:ascii="Arial" w:cs="Arial" w:eastAsia="Arial" w:hAnsi="Arial"/>
          <w:b w:val="false"/>
          <w:bCs w:val="false"/>
          <w:sz w:val="22"/>
          <w:szCs w:val="22"/>
        </w:rPr>
        <w:t xml:space="preserve">Prompt 12 — Store Group Aggregation</w:t>
      </w:r>
    </w:p>
    <w:p>
      <w:pPr>
        <w:pStyle w:val="ListParagraph"/>
        <w:numPr>
          <w:ilvl w:val="0"/>
          <w:numId w:val="10"/>
        </w:numPr>
        <w:spacing w:before="20" w:after="20"/>
      </w:pPr>
      <w:r>
        <w:rPr>
          <w:rFonts w:ascii="Arial" w:cs="Arial" w:eastAsia="Arial" w:hAnsi="Arial"/>
          <w:color w:val="6B7280"/>
          <w:sz w:val="20"/>
          <w:szCs w:val="20"/>
        </w:rPr>
        <w:t xml:space="preserve">Store group toggle: individual vs. group view mode</w:t>
      </w:r>
    </w:p>
    <w:p>
      <w:pPr>
        <w:pStyle w:val="ListParagraph"/>
        <w:numPr>
          <w:ilvl w:val="0"/>
          <w:numId w:val="10"/>
        </w:numPr>
        <w:spacing w:before="20" w:after="20"/>
      </w:pPr>
      <w:r>
        <w:rPr>
          <w:rFonts w:ascii="Arial" w:cs="Arial" w:eastAsia="Arial" w:hAnsi="Arial"/>
          <w:color w:val="6B7280"/>
          <w:sz w:val="20"/>
          <w:szCs w:val="20"/>
        </w:rPr>
        <w:t xml:space="preserve">Group trend chart: one line per group (Red/Amber/Green or custom)</w:t>
      </w:r>
    </w:p>
    <w:p>
      <w:pPr>
        <w:spacing w:before="100" w:after="0"/>
      </w:pPr>
      <w:r>
        <w:t xml:space="preserve"/>
      </w:r>
    </w:p>
    <w:p>
      <w:pPr>
        <w:pStyle w:val="Heading2"/>
        <w:spacing w:before="260" w:after="120"/>
      </w:pPr>
      <w:r>
        <w:rPr>
          <w:rFonts w:ascii="Arial" w:cs="Arial" w:eastAsia="Arial" w:hAnsi="Arial"/>
          <w:b/>
          <w:bCs/>
          <w:color w:val="1A5C96"/>
          <w:sz w:val="28"/>
          <w:szCs w:val="28"/>
        </w:rPr>
        <w:t xml:space="preserve">Phase 5 — Polish &amp; Integration (Prompts 13-15)</w:t>
      </w:r>
    </w:p>
    <w:p>
      <w:pPr>
        <w:pStyle w:val="ListParagraph"/>
        <w:numPr>
          <w:ilvl w:val="0"/>
          <w:numId w:val="2"/>
        </w:numPr>
        <w:spacing w:before="40" w:after="40"/>
      </w:pPr>
      <w:r>
        <w:rPr>
          <w:rFonts w:ascii="Arial" w:cs="Arial" w:eastAsia="Arial" w:hAnsi="Arial"/>
          <w:b w:val="false"/>
          <w:bCs w:val="false"/>
          <w:sz w:val="22"/>
          <w:szCs w:val="22"/>
        </w:rPr>
        <w:t xml:space="preserve">Prompt 13 — Real API Integration (replace mocks)</w:t>
      </w:r>
    </w:p>
    <w:p>
      <w:pPr>
        <w:pStyle w:val="ListParagraph"/>
        <w:numPr>
          <w:ilvl w:val="0"/>
          <w:numId w:val="10"/>
        </w:numPr>
        <w:spacing w:before="20" w:after="20"/>
      </w:pPr>
      <w:r>
        <w:rPr>
          <w:rFonts w:ascii="Arial" w:cs="Arial" w:eastAsia="Arial" w:hAnsi="Arial"/>
          <w:color w:val="6B7280"/>
          <w:sz w:val="20"/>
          <w:szCs w:val="20"/>
        </w:rPr>
        <w:t xml:space="preserve">Connect to Pulse data feed API — confirm structure with Adam/media partner meeting</w:t>
      </w:r>
    </w:p>
    <w:p>
      <w:pPr>
        <w:pStyle w:val="ListParagraph"/>
        <w:numPr>
          <w:ilvl w:val="0"/>
          <w:numId w:val="10"/>
        </w:numPr>
        <w:spacing w:before="20" w:after="20"/>
      </w:pPr>
      <w:r>
        <w:rPr>
          <w:rFonts w:ascii="Arial" w:cs="Arial" w:eastAsia="Arial" w:hAnsi="Arial"/>
          <w:color w:val="6B7280"/>
          <w:sz w:val="20"/>
          <w:szCs w:val="20"/>
        </w:rPr>
        <w:t xml:space="preserve">Error states, loading skeletons, empty states (no paid media for this period)</w:t>
      </w:r>
    </w:p>
    <w:p>
      <w:pPr>
        <w:pStyle w:val="ListParagraph"/>
        <w:numPr>
          <w:ilvl w:val="0"/>
          <w:numId w:val="2"/>
        </w:numPr>
        <w:spacing w:before="40" w:after="40"/>
      </w:pPr>
      <w:r>
        <w:rPr>
          <w:rFonts w:ascii="Arial" w:cs="Arial" w:eastAsia="Arial" w:hAnsi="Arial"/>
          <w:b w:val="false"/>
          <w:bCs w:val="false"/>
          <w:sz w:val="22"/>
          <w:szCs w:val="22"/>
        </w:rPr>
        <w:t xml:space="preserve">Prompt 14 — Performance &amp; SSR Safety</w:t>
      </w:r>
    </w:p>
    <w:p>
      <w:pPr>
        <w:pStyle w:val="ListParagraph"/>
        <w:numPr>
          <w:ilvl w:val="0"/>
          <w:numId w:val="10"/>
        </w:numPr>
        <w:spacing w:before="20" w:after="20"/>
      </w:pPr>
      <w:r>
        <w:rPr>
          <w:rFonts w:ascii="Arial" w:cs="Arial" w:eastAsia="Arial" w:hAnsi="Arial"/>
          <w:color w:val="6B7280"/>
          <w:sz w:val="20"/>
          <w:szCs w:val="20"/>
        </w:rPr>
        <w:t xml:space="preserve">Lazy-load all eCharts instances, add isPlatformBrowser guards</w:t>
      </w:r>
    </w:p>
    <w:p>
      <w:pPr>
        <w:pStyle w:val="ListParagraph"/>
        <w:numPr>
          <w:ilvl w:val="0"/>
          <w:numId w:val="10"/>
        </w:numPr>
        <w:spacing w:before="20" w:after="20"/>
      </w:pPr>
      <w:r>
        <w:rPr>
          <w:rFonts w:ascii="Arial" w:cs="Arial" w:eastAsia="Arial" w:hAnsi="Arial"/>
          <w:color w:val="6B7280"/>
          <w:sz w:val="20"/>
          <w:szCs w:val="20"/>
        </w:rPr>
        <w:t xml:space="preserve">Pagination for large store lists</w:t>
      </w:r>
    </w:p>
    <w:p>
      <w:pPr>
        <w:pStyle w:val="ListParagraph"/>
        <w:numPr>
          <w:ilvl w:val="0"/>
          <w:numId w:val="2"/>
        </w:numPr>
        <w:spacing w:before="40" w:after="40"/>
      </w:pPr>
      <w:r>
        <w:rPr>
          <w:rFonts w:ascii="Arial" w:cs="Arial" w:eastAsia="Arial" w:hAnsi="Arial"/>
          <w:b w:val="false"/>
          <w:bCs w:val="false"/>
          <w:sz w:val="22"/>
          <w:szCs w:val="22"/>
        </w:rPr>
        <w:t xml:space="preserve">Prompt 15 — Accessibility &amp; QA</w:t>
      </w:r>
    </w:p>
    <w:p>
      <w:pPr>
        <w:pStyle w:val="ListParagraph"/>
        <w:numPr>
          <w:ilvl w:val="0"/>
          <w:numId w:val="10"/>
        </w:numPr>
        <w:spacing w:before="20" w:after="20"/>
      </w:pPr>
      <w:r>
        <w:rPr>
          <w:rFonts w:ascii="Arial" w:cs="Arial" w:eastAsia="Arial" w:hAnsi="Arial"/>
          <w:color w:val="6B7280"/>
          <w:sz w:val="20"/>
          <w:szCs w:val="20"/>
        </w:rPr>
        <w:t xml:space="preserve">ARIA labels on all charts, keyboard navigation, color contrast validation</w:t>
      </w:r>
    </w:p>
    <w:p>
      <w:pPr>
        <w:pStyle w:val="ListParagraph"/>
        <w:numPr>
          <w:ilvl w:val="0"/>
          <w:numId w:val="10"/>
        </w:numPr>
        <w:spacing w:before="20" w:after="20"/>
      </w:pPr>
      <w:r>
        <w:rPr>
          <w:rFonts w:ascii="Arial" w:cs="Arial" w:eastAsia="Arial" w:hAnsi="Arial"/>
          <w:color w:val="6B7280"/>
          <w:sz w:val="20"/>
          <w:szCs w:val="20"/>
        </w:rPr>
        <w:t xml:space="preserve">Cross-browser testing, mobile responsiveness review</w:t>
      </w:r>
    </w:p>
    <w:p>
      <w:r>
        <w:br w:type="page"/>
      </w:r>
    </w:p>
    <w:p>
      <w:pPr>
        <w:pStyle w:val="Heading1"/>
        <w:spacing w:before="320" w:after="160"/>
      </w:pPr>
      <w:r>
        <w:rPr>
          <w:rFonts w:ascii="Arial" w:cs="Arial" w:eastAsia="Arial" w:hAnsi="Arial"/>
          <w:b/>
          <w:bCs/>
          <w:color w:val="0F3D6E"/>
          <w:sz w:val="36"/>
          <w:szCs w:val="36"/>
        </w:rPr>
        <w:t xml:space="preserve">7. Open Questions &amp; Dependencies</w:t>
      </w:r>
    </w:p>
    <w:p>
      <w:pPr>
        <w:pBdr>
          <w:bottom w:val="single" w:color="1A5C96" w:sz="6" w:space="1"/>
        </w:pBdr>
        <w:spacing w:before="120" w:after="120"/>
      </w:pPr>
      <w:r>
        <w:t xml:space="preserve"/>
      </w:r>
    </w:p>
    <w:p>
      <w:pPr>
        <w:pStyle w:val="Heading2"/>
        <w:spacing w:before="260" w:after="120"/>
      </w:pPr>
      <w:r>
        <w:rPr>
          <w:rFonts w:ascii="Arial" w:cs="Arial" w:eastAsia="Arial" w:hAnsi="Arial"/>
          <w:b/>
          <w:bCs/>
          <w:color w:val="1A5C96"/>
          <w:sz w:val="28"/>
          <w:szCs w:val="28"/>
        </w:rPr>
        <w:t xml:space="preserve">7.1 Blocking — Must Resolve Before Development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shd w:fill="EF444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200"/>
            <w:shd w:fill="EF444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360"/>
            <w:shd w:fill="EF444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What is the exact API contract from the media partner? Field names, endpoints, auth, cadence.</w:t>
            </w:r>
          </w:p>
        </w:tc>
        <w:tc>
          <w:tcPr>
            <w:tcW w:type="dxa" w:w="2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F3D6E"/>
                <w:sz w:val="20"/>
                <w:szCs w:val="20"/>
              </w:rPr>
              <w:t xml:space="preserve">Adam Z</w:t>
            </w:r>
          </w:p>
        </w:tc>
        <w:tc>
          <w:tcPr>
            <w:tcW w:type="dxa" w:w="33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color w:val="991B1B"/>
                <w:sz w:val="20"/>
                <w:szCs w:val="20"/>
              </w:rPr>
              <w:t xml:space="preserve">Blocked — Adam to set up media partner meeting before month end</w:t>
            </w:r>
          </w:p>
        </w:tc>
      </w:tr>
      <w:tr>
        <w:tc>
          <w:tcPr>
            <w:tcW w:type="dxa" w:w="3800"/>
            <w:tcBorders>
              <w:top w:val="single" w:color="C5D9EA" w:sz="1"/>
              <w:left w:val="single" w:color="C5D9EA" w:sz="1"/>
              <w:bottom w:val="single" w:color="C5D9EA" w:sz="1"/>
              <w:right w:val="single" w:color="C5D9EA" w:sz="1"/>
            </w:tcBorders>
            <w:shd w:fill="FEF2F2" w:val="clear"/>
            <w:tcMar>
              <w:top w:type="dxa" w:w="80"/>
              <w:left w:type="dxa" w:w="120"/>
              <w:bottom w:type="dxa" w:w="80"/>
              <w:right w:type="dxa" w:w="120"/>
            </w:tcMar>
          </w:tcPr>
          <w:p>
            <w:r>
              <w:rPr>
                <w:rFonts w:ascii="Arial" w:cs="Arial" w:eastAsia="Arial" w:hAnsi="Arial"/>
                <w:sz w:val="20"/>
                <w:szCs w:val="20"/>
              </w:rPr>
              <w:t xml:space="preserve">Will the Pulse / Greenberg data feed be available via API or will it continue to be file-based (CSV/Excel)?</w:t>
            </w:r>
          </w:p>
        </w:tc>
        <w:tc>
          <w:tcPr>
            <w:tcW w:type="dxa" w:w="2200"/>
            <w:tcBorders>
              <w:top w:val="single" w:color="C5D9EA" w:sz="1"/>
              <w:left w:val="single" w:color="C5D9EA" w:sz="1"/>
              <w:bottom w:val="single" w:color="C5D9EA" w:sz="1"/>
              <w:right w:val="single" w:color="C5D9EA" w:sz="1"/>
            </w:tcBorders>
            <w:shd w:fill="FEF2F2" w:val="clear"/>
            <w:tcMar>
              <w:top w:type="dxa" w:w="80"/>
              <w:left w:type="dxa" w:w="120"/>
              <w:bottom w:type="dxa" w:w="80"/>
              <w:right w:type="dxa" w:w="120"/>
            </w:tcMar>
          </w:tcPr>
          <w:p>
            <w:r>
              <w:rPr>
                <w:rFonts w:ascii="Arial" w:cs="Arial" w:eastAsia="Arial" w:hAnsi="Arial"/>
                <w:b/>
                <w:bCs/>
                <w:color w:val="0F3D6E"/>
                <w:sz w:val="20"/>
                <w:szCs w:val="20"/>
              </w:rPr>
              <w:t xml:space="preserve">Amelia G + Adam Z</w:t>
            </w:r>
          </w:p>
        </w:tc>
        <w:tc>
          <w:tcPr>
            <w:tcW w:type="dxa" w:w="3360"/>
            <w:tcBorders>
              <w:top w:val="single" w:color="C5D9EA" w:sz="1"/>
              <w:left w:val="single" w:color="C5D9EA" w:sz="1"/>
              <w:bottom w:val="single" w:color="C5D9EA" w:sz="1"/>
              <w:right w:val="single" w:color="C5D9EA"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Unknown — Bill flagged the email-file handoff process as a major pain point</w:t>
            </w:r>
          </w:p>
        </w:tc>
      </w:tr>
      <w:tr>
        <w:tc>
          <w:tcPr>
            <w:tcW w:type="dxa" w:w="3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What is the data provider name for demographic foot traffic? Is it the same provider as Pulse?</w:t>
            </w:r>
          </w:p>
        </w:tc>
        <w:tc>
          <w:tcPr>
            <w:tcW w:type="dxa" w:w="2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F3D6E"/>
                <w:sz w:val="20"/>
                <w:szCs w:val="20"/>
              </w:rPr>
              <w:t xml:space="preserve">Amelia G</w:t>
            </w:r>
          </w:p>
        </w:tc>
        <w:tc>
          <w:tcPr>
            <w:tcW w:type="dxa" w:w="33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color w:val="991B1B"/>
                <w:sz w:val="20"/>
                <w:szCs w:val="20"/>
              </w:rPr>
              <w:t xml:space="preserve">Amelia confirmed single provider — needs to send provider name to Max and Bill</w:t>
            </w:r>
          </w:p>
        </w:tc>
      </w:tr>
      <w:tr>
        <w:tc>
          <w:tcPr>
            <w:tcW w:type="dxa" w:w="3800"/>
            <w:tcBorders>
              <w:top w:val="single" w:color="C5D9EA" w:sz="1"/>
              <w:left w:val="single" w:color="C5D9EA" w:sz="1"/>
              <w:bottom w:val="single" w:color="C5D9EA" w:sz="1"/>
              <w:right w:val="single" w:color="C5D9EA" w:sz="1"/>
            </w:tcBorders>
            <w:shd w:fill="FEF2F2" w:val="clear"/>
            <w:tcMar>
              <w:top w:type="dxa" w:w="80"/>
              <w:left w:type="dxa" w:w="120"/>
              <w:bottom w:type="dxa" w:w="80"/>
              <w:right w:type="dxa" w:w="120"/>
            </w:tcMar>
          </w:tcPr>
          <w:p>
            <w:r>
              <w:rPr>
                <w:rFonts w:ascii="Arial" w:cs="Arial" w:eastAsia="Arial" w:hAnsi="Arial"/>
                <w:sz w:val="20"/>
                <w:szCs w:val="20"/>
              </w:rPr>
              <w:t xml:space="preserve">First Northgate loyalty retention (MAID 10+ visits/quarter) report — when will it be available?</w:t>
            </w:r>
          </w:p>
        </w:tc>
        <w:tc>
          <w:tcPr>
            <w:tcW w:type="dxa" w:w="2200"/>
            <w:tcBorders>
              <w:top w:val="single" w:color="C5D9EA" w:sz="1"/>
              <w:left w:val="single" w:color="C5D9EA" w:sz="1"/>
              <w:bottom w:val="single" w:color="C5D9EA" w:sz="1"/>
              <w:right w:val="single" w:color="C5D9EA" w:sz="1"/>
            </w:tcBorders>
            <w:shd w:fill="FEF2F2" w:val="clear"/>
            <w:tcMar>
              <w:top w:type="dxa" w:w="80"/>
              <w:left w:type="dxa" w:w="120"/>
              <w:bottom w:type="dxa" w:w="80"/>
              <w:right w:type="dxa" w:w="120"/>
            </w:tcMar>
          </w:tcPr>
          <w:p>
            <w:r>
              <w:rPr>
                <w:rFonts w:ascii="Arial" w:cs="Arial" w:eastAsia="Arial" w:hAnsi="Arial"/>
                <w:b/>
                <w:bCs/>
                <w:color w:val="0F3D6E"/>
                <w:sz w:val="20"/>
                <w:szCs w:val="20"/>
              </w:rPr>
              <w:t xml:space="preserve">Amelia G</w:t>
            </w:r>
          </w:p>
        </w:tc>
        <w:tc>
          <w:tcPr>
            <w:tcW w:type="dxa" w:w="3360"/>
            <w:tcBorders>
              <w:top w:val="single" w:color="C5D9EA" w:sz="1"/>
              <w:left w:val="single" w:color="C5D9EA" w:sz="1"/>
              <w:bottom w:val="single" w:color="C5D9EA" w:sz="1"/>
              <w:right w:val="single" w:color="C5D9EA"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Not yet received — schema design can proceed but field will be empty until data arrives</w:t>
            </w:r>
          </w:p>
        </w:tc>
      </w:tr>
      <w:tr>
        <w:tc>
          <w:tcPr>
            <w:tcW w:type="dxa" w:w="3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Will Meta campaigns also have Video Completion Rate? Amelia indicated yes but no reports yet.</w:t>
            </w:r>
          </w:p>
        </w:tc>
        <w:tc>
          <w:tcPr>
            <w:tcW w:type="dxa" w:w="2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F3D6E"/>
                <w:sz w:val="20"/>
                <w:szCs w:val="20"/>
              </w:rPr>
              <w:t xml:space="preserve">Amelia G</w:t>
            </w:r>
          </w:p>
        </w:tc>
        <w:tc>
          <w:tcPr>
            <w:tcW w:type="dxa" w:w="33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color w:val="991B1B"/>
                <w:sz w:val="20"/>
                <w:szCs w:val="20"/>
              </w:rPr>
              <w:t xml:space="preserve">Pending — design VCR as universal video field, not YouTube-specific</w:t>
            </w:r>
          </w:p>
        </w:tc>
      </w:tr>
    </w:tbl>
    <w:p>
      <w:pPr>
        <w:spacing w:before="120" w:after="0"/>
      </w:pPr>
      <w:r>
        <w:t xml:space="preserve"/>
      </w:r>
    </w:p>
    <w:p>
      <w:pPr>
        <w:pStyle w:val="Heading2"/>
        <w:spacing w:before="260" w:after="120"/>
      </w:pPr>
      <w:r>
        <w:rPr>
          <w:rFonts w:ascii="Arial" w:cs="Arial" w:eastAsia="Arial" w:hAnsi="Arial"/>
          <w:b/>
          <w:bCs/>
          <w:color w:val="1A5C96"/>
          <w:sz w:val="28"/>
          <w:szCs w:val="28"/>
        </w:rPr>
        <w:t xml:space="preserve">7.2 Design Decisions — Need Product Alignment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9E0B" w:val="clear"/>
            <w:tcMar>
              <w:top w:type="dxa" w:w="80"/>
              <w:left w:type="dxa" w:w="120"/>
              <w:bottom w:type="dxa" w:w="80"/>
              <w:right w:type="dxa" w:w="120"/>
            </w:tcMar>
          </w:tcPr>
          <w:p>
            <w:r>
              <w:rPr>
                <w:rFonts w:ascii="Arial" w:cs="Arial" w:eastAsia="Arial" w:hAnsi="Arial"/>
                <w:b/>
                <w:bCs/>
                <w:color w:val="FFFFFF"/>
                <w:sz w:val="20"/>
                <w:szCs w:val="20"/>
              </w:rPr>
              <w:t xml:space="preserve">Decision Needed</w:t>
            </w:r>
          </w:p>
        </w:tc>
        <w:tc>
          <w:tcPr>
            <w:tcW w:type="dxa" w:w="5160"/>
            <w:shd w:fill="F59E0B" w:val="clear"/>
            <w:tcMar>
              <w:top w:type="dxa" w:w="80"/>
              <w:left w:type="dxa" w:w="120"/>
              <w:bottom w:type="dxa" w:w="80"/>
              <w:right w:type="dxa" w:w="120"/>
            </w:tcMar>
          </w:tcPr>
          <w:p>
            <w:r>
              <w:rPr>
                <w:rFonts w:ascii="Arial" w:cs="Arial" w:eastAsia="Arial" w:hAnsi="Arial"/>
                <w:b/>
                <w:bCs/>
                <w:color w:val="FFFFFF"/>
                <w:sz w:val="20"/>
                <w:szCs w:val="20"/>
              </w:rPr>
              <w:t xml:space="preserve">Context / Options</w:t>
            </w:r>
          </w:p>
        </w:tc>
      </w:tr>
      <w:tr>
        <w:tc>
          <w:tcPr>
            <w:tcW w:type="dxa" w:w="4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F3D6E"/>
                <w:sz w:val="20"/>
                <w:szCs w:val="20"/>
              </w:rPr>
              <w:t xml:space="preserve">What do we call the 'zero previous visits' bucket in the UI?</w:t>
            </w:r>
          </w:p>
        </w:tc>
        <w:tc>
          <w:tcPr>
            <w:tcW w:type="dxa" w:w="51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Adam explicitly said NOT 'new visits.' Suggested alternatives: 'First Visit (30-day)', 'Net-New Shoppers', 'First-Time Visitors'. Needs alignment before copy is finalized.</w:t>
            </w:r>
          </w:p>
        </w:tc>
      </w:tr>
      <w:tr>
        <w:tc>
          <w:tcPr>
            <w:tcW w:type="dxa" w:w="4200"/>
            <w:tcBorders>
              <w:top w:val="single" w:color="C5D9EA" w:sz="1"/>
              <w:left w:val="single" w:color="C5D9EA" w:sz="1"/>
              <w:bottom w:val="single" w:color="C5D9EA" w:sz="1"/>
              <w:right w:val="single" w:color="C5D9EA" w:sz="1"/>
            </w:tcBorders>
            <w:shd w:fill="FFFBEB" w:val="clear"/>
            <w:tcMar>
              <w:top w:type="dxa" w:w="80"/>
              <w:left w:type="dxa" w:w="120"/>
              <w:bottom w:type="dxa" w:w="80"/>
              <w:right w:type="dxa" w:w="120"/>
            </w:tcMar>
          </w:tcPr>
          <w:p>
            <w:r>
              <w:rPr>
                <w:rFonts w:ascii="Arial" w:cs="Arial" w:eastAsia="Arial" w:hAnsi="Arial"/>
                <w:b/>
                <w:bCs/>
                <w:color w:val="0F3D6E"/>
                <w:sz w:val="20"/>
                <w:szCs w:val="20"/>
              </w:rPr>
              <w:t xml:space="preserve">Should the Distribution Tab be one scrolling page (three sections) or three sub-tabs?</w:t>
            </w:r>
          </w:p>
        </w:tc>
        <w:tc>
          <w:tcPr>
            <w:tcW w:type="dxa" w:w="5160"/>
            <w:tcBorders>
              <w:top w:val="single" w:color="C5D9EA" w:sz="1"/>
              <w:left w:val="single" w:color="C5D9EA" w:sz="1"/>
              <w:bottom w:val="single" w:color="C5D9EA" w:sz="1"/>
              <w:right w:val="single" w:color="C5D9EA" w:sz="1"/>
            </w:tcBorders>
            <w:shd w:fill="FFFBEB" w:val="clear"/>
            <w:tcMar>
              <w:top w:type="dxa" w:w="80"/>
              <w:left w:type="dxa" w:w="120"/>
              <w:bottom w:type="dxa" w:w="80"/>
              <w:right w:type="dxa" w:w="120"/>
            </w:tcMar>
          </w:tcPr>
          <w:p>
            <w:r>
              <w:rPr>
                <w:rFonts w:ascii="Arial" w:cs="Arial" w:eastAsia="Arial" w:hAnsi="Arial"/>
                <w:sz w:val="20"/>
                <w:szCs w:val="20"/>
              </w:rPr>
              <w:t xml:space="preserve">Adam said not necessarily separate tabs — but three sections should be clearly grouped. Recommend: one page with section anchors / jump nav. Confirm with Adam.</w:t>
            </w:r>
          </w:p>
        </w:tc>
      </w:tr>
      <w:tr>
        <w:tc>
          <w:tcPr>
            <w:tcW w:type="dxa" w:w="4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F3D6E"/>
                <w:sz w:val="20"/>
                <w:szCs w:val="20"/>
              </w:rPr>
              <w:t xml:space="preserve">At what level does the creative upload tool live — within the dashboard or in a separate admin tool?</w:t>
            </w:r>
          </w:p>
        </w:tc>
        <w:tc>
          <w:tcPr>
            <w:tcW w:type="dxa" w:w="51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Adam described it as 'a step at the end of the production workflow.' This implies it may belong in the media creative team's workflow tool rather than the retailer-facing dashboard. Needs architectural decision.</w:t>
            </w:r>
          </w:p>
        </w:tc>
      </w:tr>
      <w:tr>
        <w:tc>
          <w:tcPr>
            <w:tcW w:type="dxa" w:w="4200"/>
            <w:tcBorders>
              <w:top w:val="single" w:color="C5D9EA" w:sz="1"/>
              <w:left w:val="single" w:color="C5D9EA" w:sz="1"/>
              <w:bottom w:val="single" w:color="C5D9EA" w:sz="1"/>
              <w:right w:val="single" w:color="C5D9EA" w:sz="1"/>
            </w:tcBorders>
            <w:shd w:fill="FFFBEB" w:val="clear"/>
            <w:tcMar>
              <w:top w:type="dxa" w:w="80"/>
              <w:left w:type="dxa" w:w="120"/>
              <w:bottom w:type="dxa" w:w="80"/>
              <w:right w:type="dxa" w:w="120"/>
            </w:tcMar>
          </w:tcPr>
          <w:p>
            <w:r>
              <w:rPr>
                <w:rFonts w:ascii="Arial" w:cs="Arial" w:eastAsia="Arial" w:hAnsi="Arial"/>
                <w:b/>
                <w:bCs/>
                <w:color w:val="0F3D6E"/>
                <w:sz w:val="20"/>
                <w:szCs w:val="20"/>
              </w:rPr>
              <w:t xml:space="preserve">How are analytics-specific store groups defined and saved vs. circular builder groups?</w:t>
            </w:r>
          </w:p>
        </w:tc>
        <w:tc>
          <w:tcPr>
            <w:tcW w:type="dxa" w:w="5160"/>
            <w:tcBorders>
              <w:top w:val="single" w:color="C5D9EA" w:sz="1"/>
              <w:left w:val="single" w:color="C5D9EA" w:sz="1"/>
              <w:bottom w:val="single" w:color="C5D9EA" w:sz="1"/>
              <w:right w:val="single" w:color="C5D9EA" w:sz="1"/>
            </w:tcBorders>
            <w:shd w:fill="FFFBEB" w:val="clear"/>
            <w:tcMar>
              <w:top w:type="dxa" w:w="80"/>
              <w:left w:type="dxa" w:w="120"/>
              <w:bottom w:type="dxa" w:w="80"/>
              <w:right w:type="dxa" w:w="120"/>
            </w:tcMar>
          </w:tcPr>
          <w:p>
            <w:r>
              <w:rPr>
                <w:rFonts w:ascii="Arial" w:cs="Arial" w:eastAsia="Arial" w:hAnsi="Arial"/>
                <w:sz w:val="20"/>
                <w:szCs w:val="20"/>
              </w:rPr>
              <w:t xml:space="preserve">Adam noted these should be separate from circular builder store groups. Where does the retailer create/manage analytics groups? Within the Distribution Tab or in account settings?</w:t>
            </w:r>
          </w:p>
        </w:tc>
      </w:tr>
      <w:tr>
        <w:tc>
          <w:tcPr>
            <w:tcW w:type="dxa" w:w="42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F3D6E"/>
                <w:sz w:val="20"/>
                <w:szCs w:val="20"/>
              </w:rPr>
              <w:t xml:space="preserve">What is the MVP scope for launch vs. post-launch?</w:t>
            </w:r>
          </w:p>
        </w:tc>
        <w:tc>
          <w:tcPr>
            <w:tcW w:type="dxa" w:w="51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Adam noted media creative upload 'could launch without this and add later.' Need to define MVP vs. V1.1 feature boundary explicitly before development begins.</w:t>
            </w:r>
          </w:p>
        </w:tc>
      </w:tr>
    </w:tbl>
    <w:p>
      <w:pPr>
        <w:spacing w:before="120" w:after="0"/>
      </w:pPr>
      <w:r>
        <w:t xml:space="preserve"/>
      </w:r>
    </w:p>
    <w:p>
      <w:pPr>
        <w:pStyle w:val="Heading2"/>
        <w:spacing w:before="260" w:after="120"/>
      </w:pPr>
      <w:r>
        <w:rPr>
          <w:rFonts w:ascii="Arial" w:cs="Arial" w:eastAsia="Arial" w:hAnsi="Arial"/>
          <w:b/>
          <w:bCs/>
          <w:color w:val="1A5C96"/>
          <w:sz w:val="28"/>
          <w:szCs w:val="28"/>
        </w:rPr>
        <w:t xml:space="preserve">7.3 Next Steps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160"/>
        <w:gridCol w:w="2400"/>
      </w:tblGrid>
      <w:tr>
        <w:tc>
          <w:tcPr>
            <w:tcW w:type="dxa" w:w="4800"/>
            <w:shd w:fill="1A5C9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160"/>
            <w:shd w:fill="1A5C9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400"/>
            <w:shd w:fill="1A5C9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Schedule media partner data meeting (API contract, field definitions, auth)</w:t>
            </w:r>
          </w:p>
        </w:tc>
        <w:tc>
          <w:tcPr>
            <w:tcW w:type="dxa" w:w="21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F3D6E"/>
                <w:sz w:val="20"/>
                <w:szCs w:val="20"/>
              </w:rPr>
              <w:t xml:space="preserve">Adam Z</w:t>
            </w:r>
          </w:p>
        </w:tc>
        <w:tc>
          <w:tcPr>
            <w:tcW w:type="dxa" w:w="24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Before end of March</w:t>
            </w:r>
          </w:p>
        </w:tc>
      </w:tr>
      <w:tr>
        <w:tc>
          <w:tcPr>
            <w:tcW w:type="dxa" w:w="4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sz w:val="20"/>
                <w:szCs w:val="20"/>
              </w:rPr>
              <w:t xml:space="preserve">Send raw Pulse traffic data + provider name to Max and Bill</w:t>
            </w:r>
          </w:p>
        </w:tc>
        <w:tc>
          <w:tcPr>
            <w:tcW w:type="dxa" w:w="21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color w:val="0F3D6E"/>
                <w:sz w:val="20"/>
                <w:szCs w:val="20"/>
              </w:rPr>
              <w:t xml:space="preserve">Amelia G</w:t>
            </w:r>
          </w:p>
        </w:tc>
        <w:tc>
          <w:tcPr>
            <w:tcW w:type="dxa" w:w="24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color w:val="6B7280"/>
                <w:sz w:val="20"/>
                <w:szCs w:val="20"/>
              </w:rPr>
              <w:t xml:space="preserve">ASAP (unblocks mockups)</w:t>
            </w:r>
          </w:p>
        </w:tc>
      </w:tr>
      <w:tr>
        <w:tc>
          <w:tcPr>
            <w:tcW w:type="dxa" w:w="4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Send first Northgate loyalty retention report when received</w:t>
            </w:r>
          </w:p>
        </w:tc>
        <w:tc>
          <w:tcPr>
            <w:tcW w:type="dxa" w:w="21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F3D6E"/>
                <w:sz w:val="20"/>
                <w:szCs w:val="20"/>
              </w:rPr>
              <w:t xml:space="preserve">Amelia G</w:t>
            </w:r>
          </w:p>
        </w:tc>
        <w:tc>
          <w:tcPr>
            <w:tcW w:type="dxa" w:w="24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Q2 2026</w:t>
            </w:r>
          </w:p>
        </w:tc>
      </w:tr>
      <w:tr>
        <w:tc>
          <w:tcPr>
            <w:tcW w:type="dxa" w:w="4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sz w:val="20"/>
                <w:szCs w:val="20"/>
              </w:rPr>
              <w:t xml:space="preserve">Review this PRD and confirm Section scope / MVP boundary</w:t>
            </w:r>
          </w:p>
        </w:tc>
        <w:tc>
          <w:tcPr>
            <w:tcW w:type="dxa" w:w="21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color w:val="0F3D6E"/>
                <w:sz w:val="20"/>
                <w:szCs w:val="20"/>
              </w:rPr>
              <w:t xml:space="preserve">Adam Z + Max W</w:t>
            </w:r>
          </w:p>
        </w:tc>
        <w:tc>
          <w:tcPr>
            <w:tcW w:type="dxa" w:w="24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color w:val="6B7280"/>
                <w:sz w:val="20"/>
                <w:szCs w:val="20"/>
              </w:rPr>
              <w:t xml:space="preserve">Before April sprint planning</w:t>
            </w:r>
          </w:p>
        </w:tc>
      </w:tr>
      <w:tr>
        <w:tc>
          <w:tcPr>
            <w:tcW w:type="dxa" w:w="4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Present mockups to product team and Adam</w:t>
            </w:r>
          </w:p>
        </w:tc>
        <w:tc>
          <w:tcPr>
            <w:tcW w:type="dxa" w:w="21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F3D6E"/>
                <w:sz w:val="20"/>
                <w:szCs w:val="20"/>
              </w:rPr>
              <w:t xml:space="preserve">Max W + Bill K</w:t>
            </w:r>
          </w:p>
        </w:tc>
        <w:tc>
          <w:tcPr>
            <w:tcW w:type="dxa" w:w="24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After raw data received</w:t>
            </w:r>
          </w:p>
        </w:tc>
      </w:tr>
      <w:tr>
        <w:tc>
          <w:tcPr>
            <w:tcW w:type="dxa" w:w="48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sz w:val="20"/>
                <w:szCs w:val="20"/>
              </w:rPr>
              <w:t xml:space="preserve">Align on naming for zero-previous-visits bucket</w:t>
            </w:r>
          </w:p>
        </w:tc>
        <w:tc>
          <w:tcPr>
            <w:tcW w:type="dxa" w:w="216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b/>
                <w:bCs/>
                <w:color w:val="0F3D6E"/>
                <w:sz w:val="20"/>
                <w:szCs w:val="20"/>
              </w:rPr>
              <w:t xml:space="preserve">Max W + Adam Z</w:t>
            </w:r>
          </w:p>
        </w:tc>
        <w:tc>
          <w:tcPr>
            <w:tcW w:type="dxa" w:w="2400"/>
            <w:tcBorders>
              <w:top w:val="single" w:color="C5D9EA" w:sz="1"/>
              <w:left w:val="single" w:color="C5D9EA" w:sz="1"/>
              <w:bottom w:val="single" w:color="C5D9EA" w:sz="1"/>
              <w:right w:val="single" w:color="C5D9EA" w:sz="1"/>
            </w:tcBorders>
            <w:shd w:fill="F4F9FD" w:val="clear"/>
            <w:tcMar>
              <w:top w:type="dxa" w:w="80"/>
              <w:left w:type="dxa" w:w="120"/>
              <w:bottom w:type="dxa" w:w="80"/>
              <w:right w:type="dxa" w:w="120"/>
            </w:tcMar>
          </w:tcPr>
          <w:p>
            <w:r>
              <w:rPr>
                <w:rFonts w:ascii="Arial" w:cs="Arial" w:eastAsia="Arial" w:hAnsi="Arial"/>
                <w:color w:val="6B7280"/>
                <w:sz w:val="20"/>
                <w:szCs w:val="20"/>
              </w:rPr>
              <w:t xml:space="preserve">In next product sync</w:t>
            </w:r>
          </w:p>
        </w:tc>
      </w:tr>
      <w:tr>
        <w:tc>
          <w:tcPr>
            <w:tcW w:type="dxa" w:w="48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sz w:val="20"/>
                <w:szCs w:val="20"/>
              </w:rPr>
              <w:t xml:space="preserve">Confirm creative upload tool location (dashboard vs. workflow tool)</w:t>
            </w:r>
          </w:p>
        </w:tc>
        <w:tc>
          <w:tcPr>
            <w:tcW w:type="dxa" w:w="216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b/>
                <w:bCs/>
                <w:color w:val="0F3D6E"/>
                <w:sz w:val="20"/>
                <w:szCs w:val="20"/>
              </w:rPr>
              <w:t xml:space="preserve">Adam Z + Bill K</w:t>
            </w:r>
          </w:p>
        </w:tc>
        <w:tc>
          <w:tcPr>
            <w:tcW w:type="dxa" w:w="2400"/>
            <w:tcBorders>
              <w:top w:val="single" w:color="C5D9EA" w:sz="1"/>
              <w:left w:val="single" w:color="C5D9EA" w:sz="1"/>
              <w:bottom w:val="single" w:color="C5D9EA" w:sz="1"/>
              <w:right w:val="single" w:color="C5D9EA"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Before Phase 2 dev begins</w:t>
            </w:r>
          </w:p>
        </w:tc>
      </w:tr>
    </w:tbl>
    <w:p>
      <w:pPr>
        <w:spacing w:before="200" w:after="0"/>
      </w:pPr>
      <w:r>
        <w:t xml:space="preserve"/>
      </w:r>
    </w:p>
    <w:p>
      <w:pPr>
        <w:pBdr>
          <w:bottom w:val="single" w:color="10B981" w:sz="6" w:space="1"/>
        </w:pBdr>
        <w:spacing w:before="120" w:after="120"/>
      </w:pPr>
      <w:r>
        <w:t xml:space="preserve"/>
      </w:r>
    </w:p>
    <w:p>
      <w:pPr>
        <w:spacing w:before="80" w:after="0"/>
        <w:jc w:val="center"/>
      </w:pPr>
      <w:r>
        <w:rPr>
          <w:rFonts w:ascii="Arial" w:cs="Arial" w:eastAsia="Arial" w:hAnsi="Arial"/>
          <w:color w:val="6B7280"/>
          <w:sz w:val="18"/>
          <w:szCs w:val="18"/>
        </w:rPr>
        <w:t xml:space="preserve">Analytics Dashboard 2.0 — Distribution Tab PRD  |  Jira: UX-846  |  Ideal Digital Circular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3D6E"/>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1A5C9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3D6E"/>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fontTable" Target="fontTable.xml"/>
</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2026-03-12T15:17:14.618Z</dcterms:created>
  <dcterms:modified xsi:type="dcterms:W3CDTF">2026-03-12T15:17:14.619Z</dcterms:modified>
</cp:coreProperties>
</file>

<file path=docProps/custom.xml><?xml version="1.0" encoding="utf-8"?>
<Properties xmlns="http://schemas.openxmlformats.org/officeDocument/2006/custom-properties" xmlns:vt="http://schemas.openxmlformats.org/officeDocument/2006/docPropsVTypes"/>
</file>