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DAIA_UX_Masterclass_PreCourse_Assessmen_1" w:id="1"/>
      <w:r>
        <w:rPr>
          <w:color w:val="000000"/>
          <w:sz w:val="32"/>
          <w:szCs w:val="32"/>
          <w:rtl w:val="false"/>
        </w:rPr>
        <w:t xml:space="preserve">SDAIA UX Masterclass — Pre-Course Assessment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Programme:</w:t>
      </w:r>
      <w:r>
        <w:rPr>
          <w:color w:val="000000"/>
          <w:sz w:val="24"/>
          <w:szCs w:val="24"/>
          <w:rtl w:val="false"/>
        </w:rPr>
        <w:t xml:space="preserve"> UX Masterclass · Riyadh 2026 Cohort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Facilitator:</w:t>
      </w:r>
      <w:r>
        <w:rPr>
          <w:color w:val="000000"/>
          <w:sz w:val="24"/>
          <w:szCs w:val="24"/>
          <w:rtl w:val="false"/>
        </w:rPr>
        <w:t xml:space="preserve"> Sameer Ul Haque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Format:</w:t>
      </w:r>
      <w:r>
        <w:rPr>
          <w:color w:val="000000"/>
          <w:sz w:val="24"/>
          <w:szCs w:val="24"/>
          <w:rtl w:val="false"/>
        </w:rPr>
        <w:t xml:space="preserve"> 15 multiple-choice questions · approximately 5 minutes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Audience:</w:t>
      </w:r>
      <w:r>
        <w:rPr>
          <w:color w:val="000000"/>
          <w:sz w:val="24"/>
          <w:szCs w:val="24"/>
          <w:rtl w:val="false"/>
        </w:rPr>
        <w:t xml:space="preserve"> Practitioner-level cohort (Figma-fluent) · SDAIA government context</w:t>
      </w:r>
    </w:p>
    <w:p>
      <w:pPr>
        <w:pStyle w:val="2"/>
        <w:pStyle w:val="Heading2"/>
        <w:bidi w:val="false"/>
        <w:spacing w:after="120" w:before="240"/>
      </w:pPr>
      <w:bookmarkStart w:name="_Toc_Instructions_for_Google_Form_Builder_2" w:id="1"/>
      <w:r>
        <w:rPr>
          <w:color w:val="000000"/>
          <w:sz w:val="28"/>
          <w:szCs w:val="28"/>
          <w:rtl w:val="false"/>
        </w:rPr>
        <w:t xml:space="preserve">Instructions for Google Form Builder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a Google Form with all 15 questions below as </w:t>
      </w:r>
      <w:r>
        <w:rPr>
          <w:b/>
          <w:bCs/>
          <w:color w:val="000000"/>
          <w:sz w:val="24"/>
          <w:szCs w:val="24"/>
          <w:rtl w:val="false"/>
        </w:rPr>
        <w:t xml:space="preserve">multiple choice (single answer)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Enable </w:t>
      </w:r>
      <w:r>
        <w:rPr>
          <w:b/>
          <w:bCs/>
          <w:color w:val="000000"/>
          <w:sz w:val="24"/>
          <w:szCs w:val="24"/>
          <w:rtl w:val="false"/>
        </w:rPr>
        <w:t xml:space="preserve">scoring</w:t>
      </w:r>
      <w:r>
        <w:rPr>
          <w:color w:val="000000"/>
          <w:sz w:val="24"/>
          <w:szCs w:val="24"/>
          <w:rtl w:val="false"/>
        </w:rPr>
        <w:t xml:space="preserve"> using the answer key at the end of this document.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Do not</w:t>
      </w:r>
      <w:r>
        <w:rPr>
          <w:color w:val="000000"/>
          <w:sz w:val="24"/>
          <w:szCs w:val="24"/>
          <w:rtl w:val="false"/>
        </w:rPr>
        <w:t xml:space="preserve"> show correct/incorrect feedback to participants — this is a diagnostic calibration tool, not a graded exam.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Collect </w:t>
      </w:r>
      <w:r>
        <w:rPr>
          <w:b/>
          <w:bCs/>
          <w:color w:val="000000"/>
          <w:sz w:val="24"/>
          <w:szCs w:val="24"/>
          <w:rtl w:val="false"/>
        </w:rPr>
        <w:t xml:space="preserve">name and email</w:t>
      </w:r>
      <w:r>
        <w:rPr>
          <w:color w:val="000000"/>
          <w:sz w:val="24"/>
          <w:szCs w:val="24"/>
          <w:rtl w:val="false"/>
        </w:rPr>
        <w:t xml:space="preserve"> (or employee ID) so results can be shared with SDAIA managers and Sameer Ul Haque.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 the form to accept one response per person.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Generate a QR code linking to the form for embedding in Slide 06 of the presentation deck.</w:t>
      </w:r>
    </w:p>
    <w:p>
      <w:pPr>
        <w:pStyle w:val="2"/>
        <w:pStyle w:val="Heading2"/>
        <w:bidi w:val="false"/>
        <w:spacing w:after="120" w:before="240"/>
      </w:pPr>
      <w:bookmarkStart w:name="_Toc_Questions_3" w:id="1"/>
      <w:r>
        <w:rPr>
          <w:color w:val="000000"/>
          <w:sz w:val="28"/>
          <w:szCs w:val="28"/>
          <w:rtl w:val="false"/>
        </w:rPr>
        <w:t xml:space="preserve">Questions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Question_1_UX_Scope_Foundational_4" w:id="1"/>
      <w:r>
        <w:rPr>
          <w:color w:val="000000"/>
          <w:sz w:val="24"/>
          <w:szCs w:val="24"/>
          <w:rtl w:val="false"/>
        </w:rPr>
        <w:t xml:space="preserve">Question 1 — UX Scope (Foundational)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What does UX design primarily concern?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Visual styling, typography, and colour palettes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The complete experience — research, structure, emotion, and outcomes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Writing interface microcopy and error messages only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Frontend code implementation and deployment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B</w:t>
      </w:r>
    </w:p>
    <w:p>
      <w:pPr>
        <w:pStyle w:val="3"/>
        <w:pStyle w:val="Heading3"/>
        <w:bidi w:val="false"/>
        <w:spacing w:after="120" w:before="240"/>
      </w:pPr>
      <w:bookmarkStart w:name="_Toc_Question_2_UserCentered_Design_Foundatio_5" w:id="1"/>
      <w:r>
        <w:rPr>
          <w:color w:val="000000"/>
          <w:sz w:val="24"/>
          <w:szCs w:val="24"/>
          <w:rtl w:val="false"/>
        </w:rPr>
        <w:t xml:space="preserve">Question 2 — User-Centered Design (Foundational)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Which statement best reflects user-centered design?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Stakeholder opinions should drive all design decisions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Designers should trust their own intuition before talking to users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Design decisions should be grounded in evidence from real users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Visual brand consistency matters more than user needs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C</w:t>
      </w:r>
    </w:p>
    <w:p>
      <w:pPr>
        <w:pStyle w:val="3"/>
        <w:pStyle w:val="Heading3"/>
        <w:bidi w:val="false"/>
        <w:spacing w:after="120" w:before="240"/>
      </w:pPr>
      <w:bookmarkStart w:name="_Toc_Question_3_Research_Types_Foundational_6" w:id="1"/>
      <w:r>
        <w:rPr>
          <w:color w:val="000000"/>
          <w:sz w:val="24"/>
          <w:szCs w:val="24"/>
          <w:rtl w:val="false"/>
        </w:rPr>
        <w:t xml:space="preserve">Question 3 — Research Types (Foundational)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Usability testing a clickable prototype to see if users can complete a task is an example of: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Generative research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Evaluative research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Competitive analysis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Heuristic evaluation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B</w:t>
      </w:r>
    </w:p>
    <w:p>
      <w:pPr>
        <w:pStyle w:val="3"/>
        <w:pStyle w:val="Heading3"/>
        <w:bidi w:val="false"/>
        <w:spacing w:after="120" w:before="240"/>
      </w:pPr>
      <w:bookmarkStart w:name="_Toc_Question_4_Observation_vs_Insight_Founda_7" w:id="1"/>
      <w:r>
        <w:rPr>
          <w:color w:val="000000"/>
          <w:sz w:val="24"/>
          <w:szCs w:val="24"/>
          <w:rtl w:val="false"/>
        </w:rPr>
        <w:t xml:space="preserve">Question 4 — Observation vs Insight (Foundational)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Which of the following is an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insight</w:t>
      </w:r>
      <w:r>
        <w:rPr>
          <w:b/>
          <w:bCs/>
          <w:color w:val="000000"/>
          <w:sz w:val="24"/>
          <w:szCs w:val="24"/>
          <w:rtl w:val="false"/>
        </w:rPr>
        <w:t xml:space="preserve">, not just an observation?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"42% of users dropped off at step 3 of the form"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"Users abandon because the shipping cost only appears at the final step"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"We conducted eight user interviews this week"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"The primary action button is positioned below the fold"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B</w:t>
      </w:r>
    </w:p>
    <w:p>
      <w:pPr>
        <w:pStyle w:val="3"/>
        <w:pStyle w:val="Heading3"/>
        <w:bidi w:val="false"/>
        <w:spacing w:after="120" w:before="240"/>
      </w:pPr>
      <w:bookmarkStart w:name="_Toc_Question_5_Nielsen_Heuristics_Foundation_8" w:id="1"/>
      <w:r>
        <w:rPr>
          <w:color w:val="000000"/>
          <w:sz w:val="24"/>
          <w:szCs w:val="24"/>
          <w:rtl w:val="false"/>
        </w:rPr>
        <w:t xml:space="preserve">Question 5 — Nielsen Heuristics (Foundational)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 loading screen with a spinner but no estimated time or progress indicator most directly violates which Nielsen heuristic?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Consistency and standards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Visibility of system status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Aesthetic and minimalist design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Recognition rather than recall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B</w:t>
      </w:r>
    </w:p>
    <w:p>
      <w:pPr>
        <w:pStyle w:val="3"/>
        <w:pStyle w:val="Heading3"/>
        <w:bidi w:val="false"/>
        <w:spacing w:after="120" w:before="240"/>
      </w:pPr>
      <w:bookmarkStart w:name="_Toc_Question_6_Double_Diamond_Foundational_9" w:id="1"/>
      <w:r>
        <w:rPr>
          <w:color w:val="000000"/>
          <w:sz w:val="24"/>
          <w:szCs w:val="24"/>
          <w:rtl w:val="false"/>
        </w:rPr>
        <w:t xml:space="preserve">Question 6 — Double Diamond (Foundational)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In the Double Diamond process, the first diamond (Discover → Define) is primarily about: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Shipping the highest-fidelity prototype as fast as possible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Understanding the problem and framing the right question to solve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Writing production-ready code for developers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Finalising visual design and brand assets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B</w:t>
      </w:r>
    </w:p>
    <w:p>
      <w:pPr>
        <w:pStyle w:val="3"/>
        <w:pStyle w:val="Heading3"/>
        <w:bidi w:val="false"/>
        <w:spacing w:after="120" w:before="240"/>
      </w:pPr>
      <w:bookmarkStart w:name="_Toc_Question_7_Interview_Technique_Foundatio_10" w:id="1"/>
      <w:r>
        <w:rPr>
          <w:color w:val="000000"/>
          <w:sz w:val="24"/>
          <w:szCs w:val="24"/>
          <w:rtl w:val="false"/>
        </w:rPr>
        <w:t xml:space="preserve">Question 7 — Interview Technique (Foundational)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Which is a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leading</w:t>
      </w:r>
      <w:r>
        <w:rPr>
          <w:b/>
          <w:bCs/>
          <w:color w:val="000000"/>
          <w:sz w:val="24"/>
          <w:szCs w:val="24"/>
          <w:rtl w:val="false"/>
        </w:rPr>
        <w:t xml:space="preserve"> interview question?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"Tell me about the last time you tried to complete this task."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"What was the hardest part of that process for you?"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"Was the checkout process confusing for you?"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"What did you do when you got stuck?"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C</w:t>
      </w:r>
    </w:p>
    <w:p>
      <w:pPr>
        <w:pStyle w:val="3"/>
        <w:pStyle w:val="Heading3"/>
        <w:bidi w:val="false"/>
        <w:spacing w:after="120" w:before="240"/>
      </w:pPr>
      <w:bookmarkStart w:name="_Toc_Question_8_Jobs_to_Be_Done_Intermediate_11" w:id="1"/>
      <w:r>
        <w:rPr>
          <w:color w:val="000000"/>
          <w:sz w:val="24"/>
          <w:szCs w:val="24"/>
          <w:rtl w:val="false"/>
        </w:rPr>
        <w:t xml:space="preserve">Question 8 — Jobs to Be Done (Intermediate)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Which is the best-formed JTBD (Jobs to Be Done) statement?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"Users aged 25–40 want a faster mobile application"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"When I need to submit a government permit, I want to know exactly which documents are required, so I can complete it in one visit"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"We should add a progress bar to the multi-step form"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"Citizens prefer using mobile devices over desktop computers"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B</w:t>
      </w:r>
    </w:p>
    <w:p>
      <w:pPr>
        <w:pStyle w:val="3"/>
        <w:pStyle w:val="Heading3"/>
        <w:bidi w:val="false"/>
        <w:spacing w:after="120" w:before="240"/>
      </w:pPr>
      <w:bookmarkStart w:name="_Toc_Question_9_FigJam_vs_Figma_Intermediate_12" w:id="1"/>
      <w:r>
        <w:rPr>
          <w:color w:val="000000"/>
          <w:sz w:val="24"/>
          <w:szCs w:val="24"/>
          <w:rtl w:val="false"/>
        </w:rPr>
        <w:t xml:space="preserve">Question 9 — FigJam vs Figma (Intermediate)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After conducting user interviews, the best tool for affinity-mapping sticky notes into insight clusters is: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Figma — because it supports high-fidelity mockups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FigJam — because it is built for collaborative thinking and synthesis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Claude — because it replaces the need for a whiteboard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Perplexity — because it is designed for wireframing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B</w:t>
      </w:r>
    </w:p>
    <w:p>
      <w:pPr>
        <w:pStyle w:val="3"/>
        <w:pStyle w:val="Heading3"/>
        <w:bidi w:val="false"/>
        <w:spacing w:after="120" w:before="240"/>
      </w:pPr>
      <w:bookmarkStart w:name="_Toc_Question_10_AI_Tool_Roles_Intermediate_13" w:id="1"/>
      <w:r>
        <w:rPr>
          <w:color w:val="000000"/>
          <w:sz w:val="24"/>
          <w:szCs w:val="24"/>
          <w:rtl w:val="false"/>
        </w:rPr>
        <w:t xml:space="preserve">Question 10 — AI Tool Roles (Intermediate)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In UX research, Perplexity is best used for: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Generating final persona quotes without checking sources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Conducting cited competitive scans and trend research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Replacing the need for user interviews entirely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Automatically generating production-ready CSS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B</w:t>
      </w:r>
    </w:p>
    <w:p>
      <w:pPr>
        <w:pStyle w:val="3"/>
        <w:pStyle w:val="Heading3"/>
        <w:bidi w:val="false"/>
        <w:spacing w:after="120" w:before="240"/>
      </w:pPr>
      <w:bookmarkStart w:name="_Toc_Question_11_AI_Synthesis_Intermediate_14" w:id="1"/>
      <w:r>
        <w:rPr>
          <w:color w:val="000000"/>
          <w:sz w:val="24"/>
          <w:szCs w:val="24"/>
          <w:rtl w:val="false"/>
        </w:rPr>
        <w:t xml:space="preserve">Question 11 — AI Synthesis (Intermediate)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Claude is best suited for which research task?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Real-time API integration with government databases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Clustering and synthesising interview notes into themes — with mandatory human review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Automated deployment of designs to production servers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Certifying WCAG legal compliance for a product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B</w:t>
      </w:r>
    </w:p>
    <w:p>
      <w:pPr>
        <w:pStyle w:val="3"/>
        <w:pStyle w:val="Heading3"/>
        <w:bidi w:val="false"/>
        <w:spacing w:after="120" w:before="240"/>
      </w:pPr>
      <w:bookmarkStart w:name="_Toc_Question_12_AI_Reliability_Intermediate_15" w:id="1"/>
      <w:r>
        <w:rPr>
          <w:color w:val="000000"/>
          <w:sz w:val="24"/>
          <w:szCs w:val="24"/>
          <w:rtl w:val="false"/>
        </w:rPr>
        <w:t xml:space="preserve">Question 12 — AI Reliability (Intermediate)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Before adding AI-generated research themes to a stakeholder presentation, you should: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Publish immediately — AI saves time and is generally accurate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Verify each theme against source data and flag anything inferred vs evidenced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Remove participant names but keep quotes even if you cannot trace them to a source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Trust the output because the model was trained on UX best practices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B</w:t>
      </w:r>
    </w:p>
    <w:p>
      <w:pPr>
        <w:pStyle w:val="3"/>
        <w:pStyle w:val="Heading3"/>
        <w:bidi w:val="false"/>
        <w:spacing w:after="120" w:before="240"/>
      </w:pPr>
      <w:bookmarkStart w:name="_Toc_Question_13_Data_Privacy_Intermediate_16" w:id="1"/>
      <w:r>
        <w:rPr>
          <w:color w:val="000000"/>
          <w:sz w:val="24"/>
          <w:szCs w:val="24"/>
          <w:rtl w:val="false"/>
        </w:rPr>
        <w:t xml:space="preserve">Question 13 — Data Privacy (Intermediate)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Which data should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never</w:t>
      </w:r>
      <w:r>
        <w:rPr>
          <w:b/>
          <w:bCs/>
          <w:color w:val="000000"/>
          <w:sz w:val="24"/>
          <w:szCs w:val="24"/>
          <w:rtl w:val="false"/>
        </w:rPr>
        <w:t xml:space="preserve"> be pasted into a third-party AI tool like Claude or ChatGPT?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Public marketing copy from your organisation's website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Anonymised, aggregated task-completion statistics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Raw citizen national ID numbers and full application records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Generic Nielsen heuristic reference material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C</w:t>
      </w:r>
    </w:p>
    <w:p>
      <w:pPr>
        <w:pStyle w:val="3"/>
        <w:pStyle w:val="Heading3"/>
        <w:bidi w:val="false"/>
        <w:spacing w:after="120" w:before="240"/>
      </w:pPr>
      <w:bookmarkStart w:name="_Toc_Question_14_Accessibility_Advanced_17" w:id="1"/>
      <w:r>
        <w:rPr>
          <w:color w:val="000000"/>
          <w:sz w:val="24"/>
          <w:szCs w:val="24"/>
          <w:rtl w:val="false"/>
        </w:rPr>
        <w:t xml:space="preserve">Question 14 — Accessibility (Advanced)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In WCAG, the acronym POUR stands for: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Plan, Organise, Upload, Release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Perceivable, Operable, Understandable, Robust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Privacy, Ownership, Usability, Reliability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Process, Output, User, Research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B</w:t>
      </w:r>
    </w:p>
    <w:p>
      <w:pPr>
        <w:pStyle w:val="3"/>
        <w:pStyle w:val="Heading3"/>
        <w:bidi w:val="false"/>
        <w:spacing w:after="120" w:before="240"/>
      </w:pPr>
      <w:bookmarkStart w:name="_Toc_Question_15_Responsible_AI_in_Government_18" w:id="1"/>
      <w:r>
        <w:rPr>
          <w:color w:val="000000"/>
          <w:sz w:val="24"/>
          <w:szCs w:val="24"/>
          <w:rtl w:val="false"/>
        </w:rPr>
        <w:t xml:space="preserve">Question 15 — Responsible AI in Government (Advanced)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Under the EU AI Act, an AI system that automatically scores citizens for government benefits eligibility is typically classified as: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A) Minimal risk — standard UX process, no extra requirements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B) High risk — requiring human oversight, documentation, and impact assessment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C) Unacceptable risk — banned in all circumstances without exception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D) No risk — UX designers do not need to consider regulatory classification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answer: B</w:t>
      </w:r>
    </w:p>
    <w:p>
      <w:pPr>
        <w:pStyle w:val="2"/>
        <w:pStyle w:val="Heading2"/>
        <w:bidi w:val="false"/>
        <w:spacing w:after="120" w:before="240"/>
      </w:pPr>
      <w:bookmarkStart w:name="_Toc_Answer_Key_Summary_19" w:id="1"/>
      <w:r>
        <w:rPr>
          <w:color w:val="000000"/>
          <w:sz w:val="28"/>
          <w:szCs w:val="28"/>
          <w:rtl w:val="false"/>
        </w:rPr>
        <w:t xml:space="preserve">Answer Key Summary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Answer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scope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Foundational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User-centered design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Foundational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Generative vs evaluative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Foundational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Observation vs insight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Foundational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Nielsen heuristics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Foundational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Double Diamond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Foundational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Interview technique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Foundational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Jobs to Be Done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Intermediate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FigJam vs Figma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Intermediate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Perplexity role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Intermediate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Claude role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Intermediate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reliability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Intermediate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 privacy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Intermediate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WCAG POUR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Advanced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EU AI Act / gov context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Advanced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Calibration_Guide_20" w:id="1"/>
      <w:r>
        <w:rPr>
          <w:color w:val="000000"/>
          <w:sz w:val="28"/>
          <w:szCs w:val="28"/>
          <w:rtl w:val="false"/>
        </w:rPr>
        <w:t xml:space="preserve">Calibration Guide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Use total score to adjust programme pace on Day 1: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Score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Interpretation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Recommended action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0–5 correct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Foundational gaps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Slow Day 1 pace; more framing before heuristics and research methods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6–10 correct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Solid practitioner baseline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 curriculum as planned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11–13 correct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Strong cohort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Compress Day 1–2 theory; allocate more time to workshops and applied work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14–15 correct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Advanced practitioners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Challenge with governance scenarios early; lean into Day 4–5 depth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Document prepared for SDAIA UX Masterclass · Riyadh, July 2026 · Sameer Ul Haque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2026-07-10T04:39:22.528Z</dcterms:created>
  <dcterms:modified xsi:type="dcterms:W3CDTF">2026-07-10T04:39:22.530Z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