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verpass" w:cs="Overpass" w:eastAsia="Overpass" w:hAnsi="Overpass"/>
          <w:b/>
          <w:bCs/>
          <w:color w:val="C96A1C"/>
          <w:spacing w:val="60"/>
          <w:sz w:val="19"/>
          <w:szCs w:val="19"/>
        </w:rPr>
        <w:t xml:space="preserve">DESIGN MODELING ACADEMY</w:t>
      </w:r>
    </w:p>
    <w:p>
      <w:pPr>
        <w:spacing w:after="120"/>
      </w:pPr>
      <w:r>
        <w:rPr>
          <w:rFonts w:ascii="Overpass" w:cs="Overpass" w:eastAsia="Overpass" w:hAnsi="Overpass"/>
          <w:b/>
          <w:bCs/>
          <w:color w:val="0E2438"/>
          <w:sz w:val="44"/>
          <w:szCs w:val="44"/>
        </w:rPr>
        <w:t xml:space="preserve">Montar el Tutor IA en GoHighLevel</w:t>
      </w:r>
    </w:p>
    <w:p>
      <w:pPr>
        <w:spacing w:after="100"/>
        <w:rPr>
          <w:i/>
          <w:iCs/>
          <w:color w:val="5A6B7B"/>
        </w:rPr>
      </w:pPr>
      <w:r>
        <w:rPr>
          <w:rFonts w:ascii="Nunito" w:cs="Nunito" w:eastAsia="Nunito" w:hAnsi="Nunito"/>
          <w:i/>
          <w:iCs/>
          <w:color w:val="5A6B7B"/>
          <w:sz w:val="21"/>
          <w:szCs w:val="21"/>
        </w:rPr>
        <w:t xml:space="preserve">Para Ester y Aylin · Especialización en Acero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Todo lo técnico ya está hecho y probado: el tutor está en línea, responde citando la sesión y el minuto, y las variables del servidor están puestas. Lo que falta es que aparezca dentro de los cursos.</w:t>
      </w:r>
    </w:p>
    <w:p>
      <w:pPr>
        <w:pBdr>
          <w:left w:val="single" w:color="A33B2A" w:sz="20" w:space="10"/>
        </w:pBdr>
        <w:shd w:fill="FBF0DA" w:val="clear"/>
        <w:spacing w:after="140" w:before="140"/>
      </w:pPr>
      <w:r>
        <w:rPr>
          <w:rFonts w:ascii="Nunito" w:cs="Nunito" w:eastAsia="Nunito" w:hAnsi="Nunito"/>
          <w:b/>
          <w:bCs/>
          <w:color w:val="A33B2A"/>
          <w:sz w:val="21"/>
          <w:szCs w:val="21"/>
        </w:rPr>
        <w:t xml:space="preserve">No hay que pegar código. El editor de cursos de GHL no permite insertar HTML en la lección, solo bloques con botón y enlace. Por eso el tutor va como un botón que abre su página, no incrustado dentro de la clase.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Esta es la dirección del tutor, la misma en todos los sitios:</w:t>
      </w:r>
    </w:p>
    <w:p>
      <w:pPr>
        <w:pBdr>
          <w:left w:val="single" w:color="C96A1C" w:sz="14" w:space="8"/>
        </w:pBdr>
        <w:shd w:fill="F2F5F8" w:val="clear"/>
        <w:spacing w:after="140" w:before="100"/>
      </w:pPr>
      <w:r>
        <w:rPr>
          <w:rFonts w:ascii="Consolas" w:cs="Consolas" w:eastAsia="Consolas" w:hAnsi="Consolas"/>
          <w:sz w:val="17"/>
          <w:szCs w:val="17"/>
        </w:rPr>
        <w:t xml:space="preserve">https://designmodelingdg-droid.github.io/meta-ads-dashboard.html/tutor-acero/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Dónde va, y dónde NO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Va solo en los 4 cursos de la Especialización en Acero: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1. </w:t>
      </w:r>
      <w:r>
        <w:rPr>
          <w:rFonts w:ascii="Nunito" w:cs="Nunito" w:eastAsia="Nunito" w:hAnsi="Nunito"/>
          <w:sz w:val="21"/>
          <w:szCs w:val="21"/>
        </w:rPr>
        <w:t xml:space="preserve">Análisis y Diseño Simplificado de Estructuras Complejas de Acero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2. </w:t>
      </w:r>
      <w:r>
        <w:rPr>
          <w:rFonts w:ascii="Nunito" w:cs="Nunito" w:eastAsia="Nunito" w:hAnsi="Nunito"/>
          <w:sz w:val="21"/>
          <w:szCs w:val="21"/>
        </w:rPr>
        <w:t xml:space="preserve">Guía Práctica para el Cálculo Tipo Cerchas en Naves Industriales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3. </w:t>
      </w:r>
      <w:r>
        <w:rPr>
          <w:rFonts w:ascii="Nunito" w:cs="Nunito" w:eastAsia="Nunito" w:hAnsi="Nunito"/>
          <w:sz w:val="21"/>
          <w:szCs w:val="21"/>
        </w:rPr>
        <w:t xml:space="preserve">Modelado BIM en Hormigón Armado y Acero Estructural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4. </w:t>
      </w:r>
      <w:r>
        <w:rPr>
          <w:rFonts w:ascii="Nunito" w:cs="Nunito" w:eastAsia="Nunito" w:hAnsi="Nunito"/>
          <w:sz w:val="21"/>
          <w:szCs w:val="21"/>
        </w:rPr>
        <w:t xml:space="preserve">Teoría y Cálculo de Uniones Metálicas en Edificaciones</w:t>
      </w:r>
    </w:p>
    <w:p>
      <w:pPr>
        <w:pBdr>
          <w:left w:val="single" w:color="A33B2A" w:sz="20" w:space="10"/>
        </w:pBdr>
        <w:shd w:fill="FBF0DA" w:val="clear"/>
        <w:spacing w:after="140" w:before="140"/>
      </w:pPr>
      <w:r>
        <w:rPr>
          <w:rFonts w:ascii="Nunito" w:cs="Nunito" w:eastAsia="Nunito" w:hAnsi="Nunito"/>
          <w:b/>
          <w:bCs/>
          <w:color w:val="A33B2A"/>
          <w:sz w:val="21"/>
          <w:szCs w:val="21"/>
        </w:rPr>
        <w:t xml:space="preserve">No va en la plantilla general ni en ningún curso del Máster. El tutor solo conoce esas cuatro clases: a un alumno del Máster le respondería «eso no está en el material» a todo, y sería peor que no tener botón.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Los pasos, en cada uno de los 4 cursos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1. </w:t>
      </w:r>
      <w:r>
        <w:rPr>
          <w:rFonts w:ascii="Nunito" w:cs="Nunito" w:eastAsia="Nunito" w:hAnsi="Nunito"/>
          <w:sz w:val="21"/>
          <w:szCs w:val="21"/>
        </w:rPr>
        <w:t xml:space="preserve">Abrir el curso → Editar → en el selector Páginas elegir PRODUCTO (la portada del curso, la que ve el alumno al entrar).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2. </w:t>
      </w:r>
      <w:r>
        <w:rPr>
          <w:rFonts w:ascii="Nunito" w:cs="Nunito" w:eastAsia="Nunito" w:hAnsi="Nunito"/>
          <w:sz w:val="21"/>
          <w:szCs w:val="21"/>
        </w:rPr>
        <w:t xml:space="preserve">Añadir un Custom Block en el cuerpo, arriba del todo o justo debajo del video de presentación.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3. </w:t>
      </w:r>
      <w:r>
        <w:rPr>
          <w:rFonts w:ascii="Nunito" w:cs="Nunito" w:eastAsia="Nunito" w:hAnsi="Nunito"/>
          <w:sz w:val="21"/>
          <w:szCs w:val="21"/>
        </w:rPr>
        <w:t xml:space="preserve">Rellenar los campos del bloque exactamente así: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Campo del bloque</w:t>
            </w:r>
          </w:p>
        </w:tc>
        <w:tc>
          <w:tcPr>
            <w:tcW w:type="dxa" w:w="66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Qué poner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Imagen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tarjeta-tutor.png (va adjunta con estas instrucciones)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Heading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Tutor IA · pregúntale a tus clases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Contenido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Resuelve tus dudas con las clases de tus 4 cursos. Te dice en qué sesión y en qué minuto está la respuesta — y si algo no está en el material, te lo dice en vez de inventarlo.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Abrir el Tutor IA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Tipo de botón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Solid Button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Relleno del botón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#0E2438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Borde del botón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#E8A04A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Button Text (color)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Ir a la URL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La dirección de arriba, pegada completa</w:t>
            </w:r>
          </w:p>
        </w:tc>
      </w:tr>
    </w:tbl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4. </w:t>
      </w:r>
      <w:r>
        <w:rPr>
          <w:rFonts w:ascii="Nunito" w:cs="Nunito" w:eastAsia="Nunito" w:hAnsi="Nunito"/>
          <w:sz w:val="21"/>
          <w:szCs w:val="21"/>
        </w:rPr>
        <w:t xml:space="preserve">Guardar cambios.</w:t>
      </w:r>
    </w:p>
    <w:p>
      <w:pPr>
        <w:spacing w:after="80"/>
        <w:ind w:left="280"/>
      </w:pPr>
      <w:r>
        <w:rPr>
          <w:rFonts w:ascii="Nunito" w:cs="Nunito" w:eastAsia="Nunito" w:hAnsi="Nunito"/>
          <w:b/>
          <w:bCs/>
          <w:color w:val="C96A1C"/>
          <w:sz w:val="21"/>
          <w:szCs w:val="21"/>
        </w:rPr>
        <w:t xml:space="preserve">5. </w:t>
      </w:r>
      <w:r>
        <w:rPr>
          <w:rFonts w:ascii="Nunito" w:cs="Nunito" w:eastAsia="Nunito" w:hAnsi="Nunito"/>
          <w:sz w:val="21"/>
          <w:szCs w:val="21"/>
        </w:rPr>
        <w:t xml:space="preserve">Repetir en los otros tres cursos.</w:t>
      </w:r>
    </w:p>
    <w:p>
      <w:pPr>
        <w:spacing w:after="100" w:before="260"/>
      </w:pPr>
      <w:r>
        <w:rPr>
          <w:rFonts w:ascii="Overpass" w:cs="Overpass" w:eastAsia="Overpass" w:hAnsi="Overpass"/>
          <w:b/>
          <w:bCs/>
          <w:color w:val="C96A1C"/>
          <w:sz w:val="26"/>
          <w:szCs w:val="26"/>
        </w:rPr>
        <w:t xml:space="preserve">Si además se quiere dentro de las lecciones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Con el mismo Custom Block, en Páginas → Lección, para que el alumno lo tenga a mano mientras estudia sin volver a la portada. Es opcional: con la portada del curso ya se cumple.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Comprobar antes de darlo por hecho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Abrir el curso COMO ALUMNO, no desde el editor. Pulsar el botón y hacer una pregunta de verdad, por ejemplo: ¿Qué es el pandeo?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Tiene que responder y terminar citando la clase y el minuto, así:</w:t>
      </w:r>
    </w:p>
    <w:p>
      <w:pPr>
        <w:pBdr>
          <w:left w:val="single" w:color="C96A1C" w:sz="14" w:space="8"/>
        </w:pBdr>
        <w:shd w:fill="F2F5F8" w:val="clear"/>
        <w:spacing w:after="0" w:before="100"/>
      </w:pPr>
      <w:r>
        <w:rPr>
          <w:rFonts w:ascii="Consolas" w:cs="Consolas" w:eastAsia="Consolas" w:hAnsi="Consolas"/>
          <w:sz w:val="17"/>
          <w:szCs w:val="17"/>
        </w:rPr>
        <w:t xml:space="preserve">El pandeo es un fenómeno de inestabilidad que ocurre en</w:t>
      </w:r>
    </w:p>
    <w:p>
      <w:pPr>
        <w:pBdr>
          <w:left w:val="single" w:color="C96A1C" w:sz="14" w:space="8"/>
        </w:pBdr>
        <w:shd w:fill="F2F5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elementos estructurales…</w:t>
      </w:r>
    </w:p>
    <w:p>
      <w:pPr>
        <w:pBdr>
          <w:left w:val="single" w:color="C96A1C" w:sz="14" w:space="8"/>
        </w:pBdr>
        <w:shd w:fill="F2F5F8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C96A1C" w:sz="14" w:space="8"/>
        </w:pBdr>
        <w:shd w:fill="F2F5F8" w:val="clear"/>
        <w:spacing w:after="140" w:before="0"/>
      </w:pPr>
      <w:r>
        <w:rPr>
          <w:rFonts w:ascii="Consolas" w:cs="Consolas" w:eastAsia="Consolas" w:hAnsi="Consolas"/>
          <w:sz w:val="17"/>
          <w:szCs w:val="17"/>
        </w:rPr>
        <w:t xml:space="preserve">FUENTES: [221121 Sesión N°1-Acero-DM.mp4 · min 112:09]</w:t>
      </w:r>
    </w:p>
    <w:p>
      <w:pPr>
        <w:pBdr>
          <w:left w:val="single" w:color="A33B2A" w:sz="20" w:space="10"/>
        </w:pBdr>
        <w:shd w:fill="FBF0DA" w:val="clear"/>
        <w:spacing w:after="140" w:before="140"/>
      </w:pPr>
      <w:r>
        <w:rPr>
          <w:rFonts w:ascii="Nunito" w:cs="Nunito" w:eastAsia="Nunito" w:hAnsi="Nunito"/>
          <w:b/>
          <w:bCs/>
          <w:color w:val="A33B2A"/>
          <w:sz w:val="21"/>
          <w:szCs w:val="21"/>
        </w:rPr>
        <w:t xml:space="preserve">Avisar a Dayana cuando los 4 estén hechos: hasta que estén, la campaña de publicidad de ACERO no puede salir.</w:t>
      </w:r>
    </w:p>
    <w:p>
      <w:pPr>
        <w:spacing w:after="100" w:before="260"/>
      </w:pPr>
      <w:r>
        <w:rPr>
          <w:rFonts w:ascii="Overpass" w:cs="Overpass" w:eastAsia="Overpass" w:hAnsi="Overpass"/>
          <w:b/>
          <w:bCs/>
          <w:color w:val="C96A1C"/>
          <w:sz w:val="26"/>
          <w:szCs w:val="26"/>
        </w:rPr>
        <w:t xml:space="preserve">Por qué eso último importa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El precio de la Especialización sube de $200 a $225 justamente porque incluye el tutor. Si la campaña sale antes de que el tutor esté montado, un alumno paga los $225 y no lo encuentra. Por eso el orden es: primero estos 4 cursos, después la publicidad.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Lo que hay que saber cuando pregunten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No hay que activar a nadie.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No se emite ninguna clave por alumno. Quien entra al área de miembros ya está identificado por GoHighLevel, y con eso basta: un alumno que se matricula el martes tiene tutor el martes.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El tutor solo conoce esos 4 cursos.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Si le preguntan por hormigón armado o por BIM 4D, dirá que no está en el material y mandará a la asesoría. Es a propósito.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Nunca da cifras de norma ni precios.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Ante «¿cuántos MPa es la fluencia del A36?» remite a la norma vigente en vez de dictar el número, porque las transcripciones automáticas deforman las cifras. Está probado: 17 casos, con las trampas repetidas 3 veces cada una.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Hay dos topes al día.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20 preguntas por navegador y 600 en todo el servicio. Si un alumno agota las suyas, el mensaje le dice que mañana se reinician y le ofrece la asesoría.</w:t>
      </w:r>
    </w:p>
    <w:p>
      <w:pPr>
        <w:spacing w:after="100"/>
        <w:rPr>
          <w:b/>
          <w:bCs/>
        </w:rPr>
      </w:pPr>
      <w:r>
        <w:rPr>
          <w:rFonts w:ascii="Nunito" w:cs="Nunito" w:eastAsia="Nunito" w:hAnsi="Nunito"/>
          <w:b/>
          <w:bCs/>
          <w:sz w:val="21"/>
          <w:szCs w:val="21"/>
        </w:rPr>
        <w:t xml:space="preserve">El botón abre en otra pestaña.</w:t>
      </w:r>
    </w:p>
    <w:p>
      <w:pPr>
        <w:spacing w:after="100"/>
      </w:pPr>
      <w:r>
        <w:rPr>
          <w:rFonts w:ascii="Nunito" w:cs="Nunito" w:eastAsia="Nunito" w:hAnsi="Nunito"/>
          <w:sz w:val="21"/>
          <w:szCs w:val="21"/>
        </w:rPr>
        <w:t xml:space="preserve">Es a propósito: el alumno consulta y vuelve a su clase sin perder dónde iba.</w:t>
      </w:r>
    </w:p>
    <w:p>
      <w:pPr>
        <w:pStyle w:val="Heading1"/>
        <w:spacing w:after="140" w:before="320"/>
      </w:pPr>
      <w:r>
        <w:rPr>
          <w:rFonts w:ascii="Overpass" w:cs="Overpass" w:eastAsia="Overpass" w:hAnsi="Overpass"/>
          <w:b/>
          <w:bCs/>
          <w:color w:val="0E2438"/>
          <w:sz w:val="32"/>
          <w:szCs w:val="32"/>
        </w:rPr>
        <w:t xml:space="preserve">Si algo falla, en este orden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6600"/>
            <w:shd w:fill="0E24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verpass" w:cs="Overpass" w:eastAsia="Overpass" w:hAnsi="Overpass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La página no carga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Abrir la dirección directamente en el navegador. Si tampoco carga, avisar a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«Token inválido»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Suele ser que el servidor estaba reiniciándose. Esperar dos minutos y recargar con Ctrl+Shift+R. Si sigue, es de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No responde nada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Problema de permisos del dominio. Es de Dayana.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«Alcanzaste tus preguntas de hoy»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No es un fallo: es el tope diario funcionando.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«Eso no está en el material»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sz w:val="19"/>
                <w:szCs w:val="19"/>
              </w:rPr>
              <w:t xml:space="preserve">Tampoco es un fallo. La pregunta es de un tema que el tutor no conoce.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Montar el Tutor IA en GoHighLevel</dc:title>
  <dc:creator>Design Modeling Academy</dc:creator>
  <cp:lastModifiedBy>Un-named</cp:lastModifiedBy>
  <cp:revision>1</cp:revision>
  <dcterms:created xsi:type="dcterms:W3CDTF">2026-09-03T20:43:58.058Z</dcterms:created>
  <dcterms:modified xsi:type="dcterms:W3CDTF">2026-09-03T20:43:58.072Z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