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333333"/>
          <w:highlight w:val="white"/>
          <w:rtl w:val="0"/>
        </w:rPr>
        <w:t xml:space="preserve">1. Korte intro</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De vorige lichting van designosource had al een mooie website neergezet voor Track25. Wij hebben een stukje op deze website verder gebouwd.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333333"/>
          <w:highlight w:val="white"/>
          <w:rtl w:val="0"/>
        </w:rPr>
        <w:t xml:space="preserve">2. Klant voorstellen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Track25 is een platform dat de samenwerking tussen lokale (Mechelen-Vilvoorde) overheden, crossmedia bedrijven, het bedrijfsleven en kennis- en onderwijsinstellingen op de kaart wil zetten als Vlaamse crossmedia regio en de sector versterken.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333333"/>
          <w:highlight w:val="white"/>
          <w:rtl w:val="0"/>
        </w:rPr>
        <w:t xml:space="preserve">3. Probleemstelling</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Track25 wilde evenementen gaan organiseren zoals cafés. Daarvoor wilde ze een extra pagina op de website, waar mensen informatie konden zien over het evenement en waar ze naar een pagina geleid werden waar ze tickets konden bestellen.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333333"/>
          <w:highlight w:val="white"/>
          <w:rtl w:val="0"/>
        </w:rPr>
        <w:t xml:space="preserve">4. Oplossing</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Voor Track25 hebben we een variant op het logo gemaakt voor hun ‘cross media café’. Daarnaast hebben we een extra pagina gemaakt op de website, in het thema van het café. Vanuit hier konden mensen doorklikken naar een speciale Eventbrite pagina, waar ze tickets konden bestellen voor het evenement.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333333"/>
          <w:highlight w:val="white"/>
          <w:rtl w:val="0"/>
        </w:rPr>
        <w:t xml:space="preserve">5. Resultaat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333333"/>
          <w:highlight w:val="white"/>
          <w:rtl w:val="0"/>
        </w:rPr>
        <w:t xml:space="preserve">6. Obstakels die hebben moeten overkomen / Wat hebben we geleerd?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We dachten dat het heel gemakkelijk zou zijn om de nieuwe pagina op te zetten. Uiteindelijk kostte dit toch veel meer tijd dan gepland, ook omdat we niet precies wisten hoe de website in elkaar stak. Daardoor heeft het uiteindelijk meer tijd gekost dan gepland.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333333"/>
          <w:highlight w:val="white"/>
          <w:rtl w:val="0"/>
        </w:rPr>
        <w:t xml:space="preserve">7. Rolverdeling</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Yasmine: Accountmanager/Designer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Dirk: Developer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highlight w:val="white"/>
          <w:rtl w:val="0"/>
        </w:rPr>
        <w:t xml:space="preserve">Stefano: Developer</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