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3D9CEE" w14:textId="77777777" w:rsidR="006E2435" w:rsidRDefault="008C6FCB">
      <w:pPr>
        <w:jc w:val="center"/>
      </w:pPr>
      <w:bookmarkStart w:id="0" w:name="_GoBack"/>
      <w:bookmarkEnd w:id="0"/>
      <w:r>
        <w:rPr>
          <w:b/>
          <w:color w:val="222222"/>
        </w:rPr>
        <w:t>Works Cited</w:t>
      </w:r>
    </w:p>
    <w:p w14:paraId="19BA0957" w14:textId="77777777" w:rsidR="006E2435" w:rsidRDefault="006E2435"/>
    <w:p w14:paraId="11050EE6" w14:textId="77777777" w:rsidR="006E2435" w:rsidRDefault="006E2435"/>
    <w:p w14:paraId="0A193B31" w14:textId="77777777" w:rsidR="006E2435" w:rsidRDefault="008C6FCB">
      <w:r>
        <w:rPr>
          <w:color w:val="222222"/>
        </w:rPr>
        <w:t xml:space="preserve">Arola, Kristin L, Jennifer Sheppard, and Cheryl E. Ball. </w:t>
      </w:r>
      <w:r>
        <w:rPr>
          <w:i/>
          <w:color w:val="222222"/>
        </w:rPr>
        <w:t xml:space="preserve">Writer/Designer: A Guide to Making </w:t>
      </w:r>
    </w:p>
    <w:p w14:paraId="05006BAB" w14:textId="77777777" w:rsidR="006E2435" w:rsidRDefault="008C6FCB">
      <w:pPr>
        <w:ind w:firstLine="720"/>
      </w:pPr>
      <w:r>
        <w:rPr>
          <w:i/>
          <w:color w:val="222222"/>
        </w:rPr>
        <w:t>Multimodal Projects</w:t>
      </w:r>
      <w:r>
        <w:rPr>
          <w:color w:val="222222"/>
        </w:rPr>
        <w:t xml:space="preserve">. Boston: Bedford/St. Martins, 2014. </w:t>
      </w:r>
    </w:p>
    <w:p w14:paraId="7C2F40AE" w14:textId="77777777" w:rsidR="006E2435" w:rsidRDefault="006E2435"/>
    <w:p w14:paraId="3BD150F1" w14:textId="77777777" w:rsidR="006E2435" w:rsidRDefault="008C6FCB">
      <w:r>
        <w:rPr>
          <w:color w:val="222222"/>
        </w:rPr>
        <w:t xml:space="preserve">Bass, Randall. “Disrupting Ourselves: The Problem of Learning in Higher Education.” </w:t>
      </w:r>
      <w:r>
        <w:rPr>
          <w:i/>
          <w:color w:val="222222"/>
        </w:rPr>
        <w:t xml:space="preserve">Educause </w:t>
      </w:r>
    </w:p>
    <w:p w14:paraId="681AFF98" w14:textId="77777777" w:rsidR="006E2435" w:rsidRDefault="008C6FCB">
      <w:pPr>
        <w:ind w:left="720"/>
      </w:pPr>
      <w:r>
        <w:rPr>
          <w:i/>
          <w:color w:val="222222"/>
        </w:rPr>
        <w:t>Review</w:t>
      </w:r>
      <w:r>
        <w:rPr>
          <w:color w:val="222222"/>
        </w:rPr>
        <w:t>. 21 March 2012. Web. 7 Feb. 2014.&lt;</w:t>
      </w:r>
      <w:hyperlink r:id="rId4">
        <w:r>
          <w:rPr>
            <w:color w:val="1155CC"/>
            <w:u w:val="single"/>
          </w:rPr>
          <w:t>http://er.educause.edu/articles /2012/3/ disrupting-ourselves-the-problem-of-learn</w:t>
        </w:r>
        <w:r>
          <w:rPr>
            <w:color w:val="1155CC"/>
            <w:u w:val="single"/>
          </w:rPr>
          <w:t>ing-in-higher-education</w:t>
        </w:r>
      </w:hyperlink>
      <w:r>
        <w:rPr>
          <w:color w:val="222222"/>
        </w:rPr>
        <w:t xml:space="preserve">&gt;. </w:t>
      </w:r>
    </w:p>
    <w:p w14:paraId="6ECC6673" w14:textId="77777777" w:rsidR="006E2435" w:rsidRDefault="006E2435"/>
    <w:p w14:paraId="328329C3" w14:textId="77777777" w:rsidR="006E2435" w:rsidRDefault="008C6FCB">
      <w:r>
        <w:rPr>
          <w:color w:val="222222"/>
        </w:rPr>
        <w:t xml:space="preserve">Boyle, Casey. “The Rhetorical Question Concerning Glitch.” </w:t>
      </w:r>
      <w:r>
        <w:rPr>
          <w:i/>
          <w:color w:val="222222"/>
        </w:rPr>
        <w:t>Computers and Composition</w:t>
      </w:r>
      <w:r>
        <w:rPr>
          <w:color w:val="222222"/>
        </w:rPr>
        <w:t xml:space="preserve"> 35 </w:t>
      </w:r>
    </w:p>
    <w:p w14:paraId="6CE5EB8A" w14:textId="77777777" w:rsidR="006E2435" w:rsidRDefault="008C6FCB">
      <w:pPr>
        <w:ind w:firstLine="720"/>
      </w:pPr>
      <w:r>
        <w:rPr>
          <w:color w:val="222222"/>
        </w:rPr>
        <w:t xml:space="preserve">(March 2015): 12-29. </w:t>
      </w:r>
    </w:p>
    <w:p w14:paraId="4B89F4D5" w14:textId="77777777" w:rsidR="006E2435" w:rsidRDefault="006E2435">
      <w:pPr>
        <w:ind w:firstLine="720"/>
      </w:pPr>
    </w:p>
    <w:p w14:paraId="06827835" w14:textId="77777777" w:rsidR="006E2435" w:rsidRDefault="008C6FCB">
      <w:r>
        <w:rPr>
          <w:color w:val="222222"/>
          <w:highlight w:val="yellow"/>
        </w:rPr>
        <w:t xml:space="preserve">Buchanan, Richard. “Declaration by Design: Rhetoric, Argument, and Demonstration in Design </w:t>
      </w:r>
    </w:p>
    <w:p w14:paraId="564A4126" w14:textId="77777777" w:rsidR="006E2435" w:rsidRDefault="008C6FCB">
      <w:pPr>
        <w:ind w:left="720"/>
      </w:pPr>
      <w:r>
        <w:rPr>
          <w:color w:val="222222"/>
          <w:highlight w:val="yellow"/>
        </w:rPr>
        <w:t xml:space="preserve">Practice.” </w:t>
      </w:r>
      <w:r>
        <w:rPr>
          <w:i/>
          <w:color w:val="222222"/>
          <w:highlight w:val="yellow"/>
        </w:rPr>
        <w:t>Design Issues</w:t>
      </w:r>
      <w:r>
        <w:rPr>
          <w:color w:val="222222"/>
          <w:highlight w:val="yellow"/>
        </w:rPr>
        <w:t xml:space="preserve"> 2.1 (1985): 5-21. [not sure if he counts as a rhetoric scholar per se...should we still include him in the list in the opener?] </w:t>
      </w:r>
    </w:p>
    <w:p w14:paraId="79B23BF9" w14:textId="77777777" w:rsidR="006E2435" w:rsidRDefault="006E2435">
      <w:pPr>
        <w:ind w:firstLine="720"/>
      </w:pPr>
    </w:p>
    <w:p w14:paraId="45B3B23F" w14:textId="77777777" w:rsidR="006E2435" w:rsidRDefault="008C6FCB">
      <w:r>
        <w:t xml:space="preserve">Cooper, Marilyn. “The Ecology of Writing.” </w:t>
      </w:r>
      <w:r>
        <w:rPr>
          <w:i/>
        </w:rPr>
        <w:t xml:space="preserve">College English </w:t>
      </w:r>
      <w:r>
        <w:t>48.4 (1986): 364–75.</w:t>
      </w:r>
      <w:r>
        <w:rPr>
          <w:highlight w:val="yellow"/>
        </w:rPr>
        <w:t xml:space="preserve"> </w:t>
      </w:r>
    </w:p>
    <w:p w14:paraId="19C9FF38" w14:textId="77777777" w:rsidR="006E2435" w:rsidRDefault="006E2435"/>
    <w:p w14:paraId="7550C322" w14:textId="77777777" w:rsidR="006E2435" w:rsidRDefault="008C6FCB">
      <w:r>
        <w:rPr>
          <w:highlight w:val="yellow"/>
        </w:rPr>
        <w:t xml:space="preserve">Dobrin, Sidney I. </w:t>
      </w:r>
      <w:r>
        <w:rPr>
          <w:i/>
          <w:highlight w:val="yellow"/>
        </w:rPr>
        <w:t>Postcomposition</w:t>
      </w:r>
      <w:r>
        <w:rPr>
          <w:highlight w:val="yellow"/>
        </w:rPr>
        <w:t>. Carbonda</w:t>
      </w:r>
      <w:r>
        <w:rPr>
          <w:highlight w:val="yellow"/>
        </w:rPr>
        <w:t>le, IL: Southern Illinois UP, 2011. [not sure if this is the citation you were referring to]</w:t>
      </w:r>
    </w:p>
    <w:p w14:paraId="365AED9B" w14:textId="77777777" w:rsidR="006E2435" w:rsidRDefault="006E2435"/>
    <w:p w14:paraId="595A2FB2" w14:textId="77777777" w:rsidR="006E2435" w:rsidRDefault="008C6FCB">
      <w:r>
        <w:rPr>
          <w:color w:val="222222"/>
          <w:highlight w:val="yellow"/>
        </w:rPr>
        <w:t xml:space="preserve">Farson in APJ? </w:t>
      </w:r>
    </w:p>
    <w:p w14:paraId="73E49814" w14:textId="77777777" w:rsidR="006E2435" w:rsidRDefault="006E2435"/>
    <w:p w14:paraId="23AB1DFF" w14:textId="77777777" w:rsidR="006E2435" w:rsidRDefault="008C6FCB">
      <w:r>
        <w:rPr>
          <w:color w:val="222222"/>
        </w:rPr>
        <w:t xml:space="preserve">Haas, Christina. </w:t>
      </w:r>
      <w:r>
        <w:rPr>
          <w:i/>
          <w:color w:val="222222"/>
        </w:rPr>
        <w:t>Writing Technology: Studies on the Materiality of Literacy</w:t>
      </w:r>
      <w:r>
        <w:rPr>
          <w:color w:val="222222"/>
        </w:rPr>
        <w:t xml:space="preserve">. Mahwah: Lawrence </w:t>
      </w:r>
    </w:p>
    <w:p w14:paraId="76AA744F" w14:textId="77777777" w:rsidR="006E2435" w:rsidRDefault="008C6FCB">
      <w:pPr>
        <w:ind w:firstLine="720"/>
      </w:pPr>
      <w:r>
        <w:rPr>
          <w:color w:val="222222"/>
        </w:rPr>
        <w:t xml:space="preserve">Erlbaum,1996. </w:t>
      </w:r>
    </w:p>
    <w:p w14:paraId="043CEF24" w14:textId="77777777" w:rsidR="006E2435" w:rsidRDefault="006E2435"/>
    <w:p w14:paraId="30AEF60C" w14:textId="77777777" w:rsidR="006E2435" w:rsidRDefault="008C6FCB">
      <w:r>
        <w:rPr>
          <w:color w:val="222222"/>
        </w:rPr>
        <w:t xml:space="preserve">Hawk, Byron. </w:t>
      </w:r>
      <w:r>
        <w:rPr>
          <w:i/>
          <w:color w:val="222222"/>
        </w:rPr>
        <w:t xml:space="preserve">A Counter-History of </w:t>
      </w:r>
      <w:r>
        <w:rPr>
          <w:i/>
          <w:color w:val="222222"/>
        </w:rPr>
        <w:t>Composition: Toward Methodologies of Complexity</w:t>
      </w:r>
      <w:r>
        <w:rPr>
          <w:color w:val="222222"/>
        </w:rPr>
        <w:t xml:space="preserve">. </w:t>
      </w:r>
    </w:p>
    <w:p w14:paraId="4321E627" w14:textId="77777777" w:rsidR="006E2435" w:rsidRDefault="008C6FCB">
      <w:pPr>
        <w:ind w:firstLine="720"/>
      </w:pPr>
      <w:r>
        <w:rPr>
          <w:color w:val="222222"/>
        </w:rPr>
        <w:t xml:space="preserve">Pittsburgh: University of Pittsburgh Press, 2007. </w:t>
      </w:r>
    </w:p>
    <w:p w14:paraId="06873E10" w14:textId="77777777" w:rsidR="006E2435" w:rsidRDefault="006E2435"/>
    <w:p w14:paraId="0D64A1C4" w14:textId="77777777" w:rsidR="006E2435" w:rsidRDefault="008C6FCB">
      <w:r>
        <w:rPr>
          <w:color w:val="222222"/>
          <w:highlight w:val="yellow"/>
        </w:rPr>
        <w:t>Kaufman?</w:t>
      </w:r>
    </w:p>
    <w:p w14:paraId="689E8749" w14:textId="77777777" w:rsidR="006E2435" w:rsidRDefault="006E2435"/>
    <w:p w14:paraId="24B8E65F" w14:textId="77777777" w:rsidR="006E2435" w:rsidRDefault="008C6FCB">
      <w:r>
        <w:rPr>
          <w:color w:val="222222"/>
        </w:rPr>
        <w:t xml:space="preserve">Lange, Alexandra. “The Innovation Campus: Building Better Ideas.” The New York Times. 4 </w:t>
      </w:r>
    </w:p>
    <w:p w14:paraId="646A7EBC" w14:textId="77777777" w:rsidR="006E2435" w:rsidRDefault="008C6FCB">
      <w:pPr>
        <w:ind w:left="720"/>
      </w:pPr>
      <w:r>
        <w:rPr>
          <w:color w:val="222222"/>
        </w:rPr>
        <w:t>Aug. 2016. Web. 2 Sept. 2016. &lt;</w:t>
      </w:r>
      <w:hyperlink r:id="rId5">
        <w:r>
          <w:rPr>
            <w:color w:val="1155CC"/>
            <w:u w:val="single"/>
          </w:rPr>
          <w:t>http://www.nytimes.com/2016/08/07/education/ edlife/innovation-campus-entrepreneurship-engineering-arts.html?_r=0</w:t>
        </w:r>
      </w:hyperlink>
      <w:r>
        <w:t>&gt;.</w:t>
      </w:r>
    </w:p>
    <w:p w14:paraId="648CE349" w14:textId="77777777" w:rsidR="006E2435" w:rsidRDefault="006E2435"/>
    <w:p w14:paraId="0BF8646E" w14:textId="77777777" w:rsidR="006E2435" w:rsidRDefault="008C6FCB">
      <w:r>
        <w:rPr>
          <w:color w:val="222222"/>
        </w:rPr>
        <w:t>Leverenz,</w:t>
      </w:r>
      <w:r>
        <w:rPr>
          <w:color w:val="222222"/>
        </w:rPr>
        <w:t xml:space="preserve"> Carrie S. “Design Thinking and the Wicked Problem of Teaching Writing.” </w:t>
      </w:r>
      <w:r>
        <w:rPr>
          <w:i/>
          <w:color w:val="222222"/>
        </w:rPr>
        <w:t xml:space="preserve">Computers </w:t>
      </w:r>
    </w:p>
    <w:p w14:paraId="53317B92" w14:textId="77777777" w:rsidR="006E2435" w:rsidRDefault="008C6FCB">
      <w:pPr>
        <w:ind w:firstLine="720"/>
      </w:pPr>
      <w:r>
        <w:rPr>
          <w:i/>
          <w:color w:val="222222"/>
        </w:rPr>
        <w:t>and Composition</w:t>
      </w:r>
      <w:r>
        <w:rPr>
          <w:color w:val="222222"/>
        </w:rPr>
        <w:t xml:space="preserve"> 33 (2014): 1-12.</w:t>
      </w:r>
    </w:p>
    <w:p w14:paraId="2C5E5EF1" w14:textId="77777777" w:rsidR="006E2435" w:rsidRDefault="006E2435"/>
    <w:p w14:paraId="3B6D014B" w14:textId="77777777" w:rsidR="006E2435" w:rsidRDefault="008C6FCB">
      <w:r>
        <w:rPr>
          <w:color w:val="222222"/>
        </w:rPr>
        <w:t xml:space="preserve">Lynch, Paul. </w:t>
      </w:r>
      <w:r>
        <w:rPr>
          <w:i/>
          <w:color w:val="222222"/>
        </w:rPr>
        <w:t>After Pedagogy: The Experience of Teaching</w:t>
      </w:r>
      <w:r>
        <w:rPr>
          <w:color w:val="222222"/>
        </w:rPr>
        <w:t xml:space="preserve">. NCTE, 2013. </w:t>
      </w:r>
    </w:p>
    <w:p w14:paraId="5FD7677F" w14:textId="77777777" w:rsidR="006E2435" w:rsidRDefault="006E2435"/>
    <w:p w14:paraId="65AA5764" w14:textId="77777777" w:rsidR="006E2435" w:rsidRDefault="008C6FCB">
      <w:r>
        <w:rPr>
          <w:color w:val="222222"/>
        </w:rPr>
        <w:t xml:space="preserve">Marback, Richard. “Embracing Wicked Problems: The Turn to Design in Composition Studies.” </w:t>
      </w:r>
    </w:p>
    <w:p w14:paraId="52E77284" w14:textId="77777777" w:rsidR="006E2435" w:rsidRDefault="008C6FCB">
      <w:pPr>
        <w:ind w:firstLine="720"/>
      </w:pPr>
      <w:r>
        <w:rPr>
          <w:i/>
          <w:color w:val="222222"/>
        </w:rPr>
        <w:t>CCC</w:t>
      </w:r>
      <w:r>
        <w:rPr>
          <w:color w:val="222222"/>
        </w:rPr>
        <w:t xml:space="preserve"> 61.2 (Dec. 2009): 397-413. </w:t>
      </w:r>
    </w:p>
    <w:p w14:paraId="14210DF8" w14:textId="77777777" w:rsidR="006E2435" w:rsidRDefault="006E2435"/>
    <w:p w14:paraId="532198AB" w14:textId="77777777" w:rsidR="006E2435" w:rsidRDefault="008C6FCB">
      <w:r>
        <w:rPr>
          <w:color w:val="222222"/>
        </w:rPr>
        <w:lastRenderedPageBreak/>
        <w:t xml:space="preserve">Micciche, Laura. “Writing Material.” </w:t>
      </w:r>
      <w:r>
        <w:rPr>
          <w:i/>
          <w:color w:val="222222"/>
        </w:rPr>
        <w:t>College English</w:t>
      </w:r>
      <w:r>
        <w:rPr>
          <w:color w:val="222222"/>
        </w:rPr>
        <w:t xml:space="preserve"> 76.6 (July 2014): 488-505.</w:t>
      </w:r>
    </w:p>
    <w:p w14:paraId="4AEAAD17" w14:textId="77777777" w:rsidR="006E2435" w:rsidRDefault="006E2435"/>
    <w:p w14:paraId="27FF2472" w14:textId="77777777" w:rsidR="006E2435" w:rsidRDefault="008C6FCB">
      <w:r>
        <w:rPr>
          <w:color w:val="222222"/>
        </w:rPr>
        <w:t>Miller, Peter N. “Is ‘Design Thinking’ the New Libe</w:t>
      </w:r>
      <w:r>
        <w:rPr>
          <w:color w:val="222222"/>
        </w:rPr>
        <w:t xml:space="preserve">ral Arts?” </w:t>
      </w:r>
      <w:r>
        <w:rPr>
          <w:i/>
          <w:color w:val="222222"/>
        </w:rPr>
        <w:t>The Chronicle of Higher Education</w:t>
      </w:r>
      <w:r>
        <w:rPr>
          <w:color w:val="222222"/>
        </w:rPr>
        <w:t xml:space="preserve">. </w:t>
      </w:r>
    </w:p>
    <w:p w14:paraId="02260222" w14:textId="77777777" w:rsidR="006E2435" w:rsidRDefault="008C6FCB">
      <w:pPr>
        <w:ind w:left="720"/>
      </w:pPr>
      <w:r>
        <w:rPr>
          <w:color w:val="222222"/>
        </w:rPr>
        <w:t>26 March 2015. Web. 8 Oct. 2016. &lt;</w:t>
      </w:r>
      <w:hyperlink r:id="rId6">
        <w:r>
          <w:rPr>
            <w:color w:val="1155CC"/>
            <w:u w:val="single"/>
          </w:rPr>
          <w:t>http://www.chronicle.com/article/ Is-Design-Thinking-the-New/228779/</w:t>
        </w:r>
      </w:hyperlink>
      <w:r>
        <w:rPr>
          <w:color w:val="222222"/>
        </w:rPr>
        <w:t xml:space="preserve">&gt;. </w:t>
      </w:r>
    </w:p>
    <w:p w14:paraId="072C883B" w14:textId="77777777" w:rsidR="006E2435" w:rsidRDefault="006E2435"/>
    <w:p w14:paraId="5272E38D" w14:textId="77777777" w:rsidR="006E2435" w:rsidRDefault="008C6FCB">
      <w:r>
        <w:rPr>
          <w:color w:val="222222"/>
        </w:rPr>
        <w:t>Purdy, James P.</w:t>
      </w:r>
      <w:r>
        <w:rPr>
          <w:color w:val="222222"/>
        </w:rPr>
        <w:t xml:space="preserve"> “What Can Design Thinking Offer Writing Students?” </w:t>
      </w:r>
      <w:r>
        <w:rPr>
          <w:i/>
          <w:color w:val="222222"/>
        </w:rPr>
        <w:t xml:space="preserve">CCC </w:t>
      </w:r>
      <w:r>
        <w:rPr>
          <w:color w:val="222222"/>
        </w:rPr>
        <w:t xml:space="preserve">65.4 (June 2014): </w:t>
      </w:r>
    </w:p>
    <w:p w14:paraId="1C9077D3" w14:textId="77777777" w:rsidR="006E2435" w:rsidRDefault="008C6FCB">
      <w:pPr>
        <w:ind w:firstLine="720"/>
      </w:pPr>
      <w:r>
        <w:rPr>
          <w:color w:val="222222"/>
        </w:rPr>
        <w:t>612-641.</w:t>
      </w:r>
    </w:p>
    <w:p w14:paraId="6D519B83" w14:textId="77777777" w:rsidR="006E2435" w:rsidRDefault="006E2435"/>
    <w:p w14:paraId="6EC7E3D4" w14:textId="77777777" w:rsidR="006E2435" w:rsidRDefault="008C6FCB">
      <w:r>
        <w:rPr>
          <w:color w:val="222222"/>
          <w:highlight w:val="yellow"/>
        </w:rPr>
        <w:t xml:space="preserve">Prins, Kristin. “Crafting New Approaches to Composition.” </w:t>
      </w:r>
      <w:r>
        <w:rPr>
          <w:i/>
          <w:color w:val="222222"/>
          <w:highlight w:val="yellow"/>
        </w:rPr>
        <w:t xml:space="preserve">Composing (Media) = Composing </w:t>
      </w:r>
    </w:p>
    <w:p w14:paraId="057C23F2" w14:textId="77777777" w:rsidR="006E2435" w:rsidRDefault="008C6FCB">
      <w:pPr>
        <w:ind w:left="720"/>
      </w:pPr>
      <w:r>
        <w:rPr>
          <w:i/>
          <w:color w:val="222222"/>
          <w:highlight w:val="yellow"/>
        </w:rPr>
        <w:t>(Embodiment): Bodies, Technologies, Writing, the Teaching of Writing.</w:t>
      </w:r>
      <w:r>
        <w:rPr>
          <w:color w:val="222222"/>
          <w:highlight w:val="yellow"/>
        </w:rPr>
        <w:t xml:space="preserve"> Eds. Kristin</w:t>
      </w:r>
      <w:r>
        <w:rPr>
          <w:color w:val="222222"/>
          <w:highlight w:val="yellow"/>
        </w:rPr>
        <w:t xml:space="preserve"> L. Arola &amp; Anne Frances Wysocki. Logan, UT: Utah State University Press, 2012. 145–61. [not sure if this is the right citation for her]</w:t>
      </w:r>
    </w:p>
    <w:p w14:paraId="067BABFF" w14:textId="77777777" w:rsidR="006E2435" w:rsidRDefault="006E2435"/>
    <w:p w14:paraId="51820823" w14:textId="77777777" w:rsidR="006E2435" w:rsidRDefault="008C6FCB">
      <w:r>
        <w:rPr>
          <w:color w:val="222222"/>
        </w:rPr>
        <w:t xml:space="preserve">Rice, Jenny. “Para-Expertise, Tacit Knowledge, and Writing Problems.” </w:t>
      </w:r>
      <w:r>
        <w:rPr>
          <w:i/>
          <w:color w:val="222222"/>
        </w:rPr>
        <w:t>College English</w:t>
      </w:r>
      <w:r>
        <w:rPr>
          <w:color w:val="222222"/>
        </w:rPr>
        <w:t xml:space="preserve"> 78.2  </w:t>
      </w:r>
    </w:p>
    <w:p w14:paraId="047F10E4" w14:textId="77777777" w:rsidR="006E2435" w:rsidRDefault="008C6FCB">
      <w:pPr>
        <w:ind w:firstLine="720"/>
      </w:pPr>
      <w:r>
        <w:rPr>
          <w:color w:val="222222"/>
        </w:rPr>
        <w:t xml:space="preserve">(2015): 117-138. </w:t>
      </w:r>
    </w:p>
    <w:p w14:paraId="19B7BD11" w14:textId="77777777" w:rsidR="006E2435" w:rsidRDefault="006E2435"/>
    <w:p w14:paraId="38DCFE88" w14:textId="77777777" w:rsidR="006E2435" w:rsidRDefault="008C6FCB">
      <w:r>
        <w:rPr>
          <w:color w:val="222222"/>
        </w:rPr>
        <w:t>Ricker</w:t>
      </w:r>
      <w:r>
        <w:rPr>
          <w:color w:val="222222"/>
        </w:rPr>
        <w:t xml:space="preserve">t, Thomas. </w:t>
      </w:r>
      <w:r>
        <w:rPr>
          <w:i/>
          <w:color w:val="222222"/>
        </w:rPr>
        <w:t>Ambient Rhetoric: The Attunements of Rhetorical Being</w:t>
      </w:r>
      <w:r>
        <w:rPr>
          <w:color w:val="222222"/>
        </w:rPr>
        <w:t xml:space="preserve">. Pittsburgh: University </w:t>
      </w:r>
    </w:p>
    <w:p w14:paraId="111D7A94" w14:textId="77777777" w:rsidR="006E2435" w:rsidRDefault="008C6FCB">
      <w:pPr>
        <w:ind w:firstLine="720"/>
      </w:pPr>
      <w:r>
        <w:rPr>
          <w:color w:val="222222"/>
        </w:rPr>
        <w:t xml:space="preserve">of Pittsburgh Press, 2013. </w:t>
      </w:r>
    </w:p>
    <w:p w14:paraId="32F44B12" w14:textId="77777777" w:rsidR="006E2435" w:rsidRDefault="006E2435"/>
    <w:p w14:paraId="60F0BA11" w14:textId="77777777" w:rsidR="006E2435" w:rsidRDefault="008C6FCB">
      <w:r>
        <w:rPr>
          <w:color w:val="222222"/>
        </w:rPr>
        <w:t>Rivers, Nathaniel A., and Ryan P. Weber. “Ecological, Pedagogical, Public Rhetoric.”</w:t>
      </w:r>
      <w:r>
        <w:rPr>
          <w:i/>
          <w:color w:val="222222"/>
        </w:rPr>
        <w:t xml:space="preserve"> CCC</w:t>
      </w:r>
      <w:r>
        <w:rPr>
          <w:color w:val="222222"/>
        </w:rPr>
        <w:t xml:space="preserve"> 63.2 </w:t>
      </w:r>
    </w:p>
    <w:p w14:paraId="0E1F17CA" w14:textId="77777777" w:rsidR="006E2435" w:rsidRDefault="008C6FCB">
      <w:pPr>
        <w:ind w:firstLine="720"/>
      </w:pPr>
      <w:r>
        <w:rPr>
          <w:color w:val="222222"/>
        </w:rPr>
        <w:t xml:space="preserve">(2011): 187–218. </w:t>
      </w:r>
    </w:p>
    <w:p w14:paraId="59E04C4A" w14:textId="77777777" w:rsidR="006E2435" w:rsidRDefault="006E2435"/>
    <w:p w14:paraId="0CDB9DA9" w14:textId="77777777" w:rsidR="006E2435" w:rsidRDefault="008C6FCB">
      <w:r>
        <w:rPr>
          <w:color w:val="222222"/>
        </w:rPr>
        <w:t xml:space="preserve">Santos, Marc C., and Megan M. McIntyre. “Toward a Technical Communication Made Whole: </w:t>
      </w:r>
    </w:p>
    <w:p w14:paraId="603C09A6" w14:textId="77777777" w:rsidR="006E2435" w:rsidRDefault="008C6FCB">
      <w:pPr>
        <w:ind w:left="720"/>
      </w:pPr>
      <w:r>
        <w:rPr>
          <w:color w:val="222222"/>
        </w:rPr>
        <w:t xml:space="preserve">Disequalibrium, Creativity, and Postpedagogy.” </w:t>
      </w:r>
      <w:r>
        <w:rPr>
          <w:i/>
          <w:color w:val="222222"/>
        </w:rPr>
        <w:t>Composition Forum</w:t>
      </w:r>
      <w:r>
        <w:rPr>
          <w:color w:val="222222"/>
        </w:rPr>
        <w:t xml:space="preserve"> 33 (Spring 2016) &lt;</w:t>
      </w:r>
      <w:hyperlink r:id="rId7">
        <w:r>
          <w:rPr>
            <w:color w:val="1155CC"/>
            <w:u w:val="single"/>
          </w:rPr>
          <w:t>http://compositio</w:t>
        </w:r>
        <w:r>
          <w:rPr>
            <w:color w:val="1155CC"/>
            <w:u w:val="single"/>
          </w:rPr>
          <w:t>nforum.com/issue/33/techcomm.php</w:t>
        </w:r>
      </w:hyperlink>
      <w:r>
        <w:rPr>
          <w:color w:val="222222"/>
        </w:rPr>
        <w:t xml:space="preserve">&gt;. </w:t>
      </w:r>
    </w:p>
    <w:p w14:paraId="7A4B1A6A" w14:textId="77777777" w:rsidR="006E2435" w:rsidRDefault="006E2435"/>
    <w:p w14:paraId="2E41510A" w14:textId="77777777" w:rsidR="006E2435" w:rsidRDefault="008C6FCB">
      <w:r>
        <w:rPr>
          <w:color w:val="222222"/>
          <w:highlight w:val="yellow"/>
        </w:rPr>
        <w:t>Sheridan, David. “Fabricating Consent: Three-dimensional Objects as Rhetorical Compositions.”</w:t>
      </w:r>
    </w:p>
    <w:p w14:paraId="1ACEC247" w14:textId="77777777" w:rsidR="006E2435" w:rsidRDefault="008C6FCB">
      <w:pPr>
        <w:ind w:firstLine="720"/>
      </w:pPr>
      <w:r>
        <w:rPr>
          <w:i/>
          <w:color w:val="222222"/>
          <w:highlight w:val="yellow"/>
        </w:rPr>
        <w:t>Computers and Composition</w:t>
      </w:r>
      <w:r>
        <w:rPr>
          <w:color w:val="222222"/>
          <w:highlight w:val="yellow"/>
        </w:rPr>
        <w:t xml:space="preserve"> 24.4 (2010): 249-265.</w:t>
      </w:r>
    </w:p>
    <w:p w14:paraId="08FFE8E0" w14:textId="77777777" w:rsidR="006E2435" w:rsidRDefault="006E2435"/>
    <w:p w14:paraId="5C958D00" w14:textId="77777777" w:rsidR="006E2435" w:rsidRDefault="008C6FCB">
      <w:r>
        <w:rPr>
          <w:color w:val="222222"/>
          <w:highlight w:val="yellow"/>
        </w:rPr>
        <w:t xml:space="preserve">---. “A Maker Mentality Toward Writing.” </w:t>
      </w:r>
      <w:r>
        <w:rPr>
          <w:i/>
          <w:color w:val="222222"/>
          <w:highlight w:val="yellow"/>
        </w:rPr>
        <w:t>Digital Rhetoric Collaborative</w:t>
      </w:r>
      <w:r>
        <w:rPr>
          <w:color w:val="222222"/>
          <w:highlight w:val="yellow"/>
        </w:rPr>
        <w:t xml:space="preserve">. 28 </w:t>
      </w:r>
      <w:r>
        <w:rPr>
          <w:color w:val="222222"/>
          <w:highlight w:val="yellow"/>
        </w:rPr>
        <w:t xml:space="preserve">March </w:t>
      </w:r>
    </w:p>
    <w:p w14:paraId="704F189B" w14:textId="77777777" w:rsidR="006E2435" w:rsidRDefault="008C6FCB">
      <w:pPr>
        <w:ind w:left="720"/>
      </w:pPr>
      <w:r>
        <w:rPr>
          <w:color w:val="222222"/>
          <w:highlight w:val="yellow"/>
        </w:rPr>
        <w:t>2016. Web. 7 April 2016. &lt;</w:t>
      </w:r>
      <w:hyperlink r:id="rId8">
        <w:r>
          <w:rPr>
            <w:color w:val="1155CC"/>
            <w:highlight w:val="yellow"/>
            <w:u w:val="single"/>
          </w:rPr>
          <w:t>http://www.digitalrhetoriccollaborative.org/2016/03/28/ a-maker-mentality-toward-writing/</w:t>
        </w:r>
      </w:hyperlink>
      <w:r>
        <w:rPr>
          <w:color w:val="222222"/>
          <w:highlight w:val="yellow"/>
        </w:rPr>
        <w:t>&gt;.</w:t>
      </w:r>
      <w:r>
        <w:rPr>
          <w:color w:val="222222"/>
          <w:highlight w:val="yellow"/>
        </w:rPr>
        <w:t xml:space="preserve"> [did we want both of these citations?]</w:t>
      </w:r>
    </w:p>
    <w:p w14:paraId="256FE9D2" w14:textId="77777777" w:rsidR="006E2435" w:rsidRDefault="006E2435">
      <w:pPr>
        <w:ind w:left="720"/>
      </w:pPr>
    </w:p>
    <w:p w14:paraId="5169EC56" w14:textId="77777777" w:rsidR="006E2435" w:rsidRDefault="008C6FCB">
      <w:r>
        <w:rPr>
          <w:color w:val="222222"/>
        </w:rPr>
        <w:t xml:space="preserve">Syverson, Margaret A. </w:t>
      </w:r>
      <w:r>
        <w:rPr>
          <w:i/>
          <w:color w:val="222222"/>
        </w:rPr>
        <w:t>The Wealth of Reality: An Ecology of Composition</w:t>
      </w:r>
      <w:r>
        <w:rPr>
          <w:color w:val="222222"/>
        </w:rPr>
        <w:t xml:space="preserve">. Carbondale: </w:t>
      </w:r>
    </w:p>
    <w:p w14:paraId="679C9148" w14:textId="77777777" w:rsidR="006E2435" w:rsidRDefault="008C6FCB">
      <w:pPr>
        <w:ind w:firstLine="720"/>
      </w:pPr>
      <w:r>
        <w:rPr>
          <w:color w:val="222222"/>
        </w:rPr>
        <w:t xml:space="preserve">Southern Illinois UP, 1999. </w:t>
      </w:r>
    </w:p>
    <w:p w14:paraId="7C7E6286" w14:textId="77777777" w:rsidR="006E2435" w:rsidRDefault="006E2435"/>
    <w:p w14:paraId="1796BA0D" w14:textId="77777777" w:rsidR="006E2435" w:rsidRDefault="008C6FCB">
      <w:r>
        <w:rPr>
          <w:color w:val="222222"/>
        </w:rPr>
        <w:t xml:space="preserve">The Weeknd. “Losers.” </w:t>
      </w:r>
      <w:r>
        <w:rPr>
          <w:i/>
          <w:color w:val="222222"/>
        </w:rPr>
        <w:t>Beauty Behind the Madness</w:t>
      </w:r>
      <w:r>
        <w:rPr>
          <w:color w:val="222222"/>
        </w:rPr>
        <w:t>. XO and Republic Records. Conway</w:t>
      </w:r>
    </w:p>
    <w:p w14:paraId="0C6C3282" w14:textId="77777777" w:rsidR="006E2435" w:rsidRDefault="008C6FCB">
      <w:pPr>
        <w:ind w:firstLine="720"/>
      </w:pPr>
      <w:r>
        <w:rPr>
          <w:color w:val="222222"/>
        </w:rPr>
        <w:t xml:space="preserve">Recording Studios, </w:t>
      </w:r>
      <w:r>
        <w:rPr>
          <w:color w:val="222222"/>
        </w:rPr>
        <w:t xml:space="preserve">2015. mp3. </w:t>
      </w:r>
    </w:p>
    <w:p w14:paraId="2DDA5808" w14:textId="77777777" w:rsidR="006E2435" w:rsidRDefault="006E2435"/>
    <w:p w14:paraId="2C6FE43A" w14:textId="77777777" w:rsidR="006E2435" w:rsidRDefault="008C6FCB">
      <w:r>
        <w:rPr>
          <w:color w:val="222222"/>
          <w:highlight w:val="yellow"/>
        </w:rPr>
        <w:t xml:space="preserve">Wible, Scott. Should we cite his keynote address? </w:t>
      </w:r>
    </w:p>
    <w:p w14:paraId="5B935D2F" w14:textId="77777777" w:rsidR="006E2435" w:rsidRDefault="006E2435"/>
    <w:p w14:paraId="3F6AC54B" w14:textId="77777777" w:rsidR="006E2435" w:rsidRDefault="006E2435"/>
    <w:p w14:paraId="7E1F9354" w14:textId="77777777" w:rsidR="006E2435" w:rsidRDefault="006E2435"/>
    <w:p w14:paraId="1C63E97D" w14:textId="77777777" w:rsidR="006E2435" w:rsidRDefault="008C6FCB">
      <w:r>
        <w:rPr>
          <w:b/>
          <w:color w:val="222222"/>
          <w:highlight w:val="yellow"/>
        </w:rPr>
        <w:lastRenderedPageBreak/>
        <w:t>Acknowledgements</w:t>
      </w:r>
    </w:p>
    <w:p w14:paraId="40013082" w14:textId="77777777" w:rsidR="006E2435" w:rsidRDefault="006E2435"/>
    <w:p w14:paraId="08AECBBD" w14:textId="77777777" w:rsidR="006E2435" w:rsidRDefault="008C6FCB">
      <w:r>
        <w:rPr>
          <w:color w:val="222222"/>
          <w:highlight w:val="yellow"/>
        </w:rPr>
        <w:t>We would like to thank the Scholars Lab team (mention names) for helping us make this work come to life. Also the teachers and students in the design studio spaces we ente</w:t>
      </w:r>
      <w:r>
        <w:rPr>
          <w:color w:val="222222"/>
          <w:highlight w:val="yellow"/>
        </w:rPr>
        <w:t xml:space="preserve">red for welcoming us into their learning environments...others? </w:t>
      </w:r>
    </w:p>
    <w:sectPr w:rsidR="006E24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6E2435"/>
    <w:rsid w:val="006E2435"/>
    <w:rsid w:val="008C6F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A4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r.educause.edu/articles/2012/3/disrupting-ourselves-the-problem-of-learning-in-higher-education" TargetMode="External"/><Relationship Id="rId5" Type="http://schemas.openxmlformats.org/officeDocument/2006/relationships/hyperlink" Target="http://www.nytimes.com/2016/08/07/education/edlife/innovation-campus-entrepreneurship-engineering-arts.html?_r=0" TargetMode="External"/><Relationship Id="rId6" Type="http://schemas.openxmlformats.org/officeDocument/2006/relationships/hyperlink" Target="http://www.chronicle.com/article/Is-Design-Thinking-the-New/228779/" TargetMode="External"/><Relationship Id="rId7" Type="http://schemas.openxmlformats.org/officeDocument/2006/relationships/hyperlink" Target="http://compositionforum.com/issue/33/techcomm.php" TargetMode="External"/><Relationship Id="rId8" Type="http://schemas.openxmlformats.org/officeDocument/2006/relationships/hyperlink" Target="http://www.digitalrhetoriccollaborative.org/2016/03/28/a-maker-mentality-toward-writ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3854</Characters>
  <Application>Microsoft Macintosh Word</Application>
  <DocSecurity>0</DocSecurity>
  <Lines>32</Lines>
  <Paragraphs>9</Paragraphs>
  <ScaleCrop>false</ScaleCrop>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 Ceraso</cp:lastModifiedBy>
  <cp:revision>2</cp:revision>
  <dcterms:created xsi:type="dcterms:W3CDTF">2016-12-05T22:43:00Z</dcterms:created>
  <dcterms:modified xsi:type="dcterms:W3CDTF">2016-12-05T22:43:00Z</dcterms:modified>
</cp:coreProperties>
</file>