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360"/>
        <w:jc w:val="left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rique-piment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 w:after="200"/>
      </w:pPr>
      <w:r>
        <w:rPr>
          <w:rFonts w:ascii="Raleway" w:hAnsi="Raleway"/>
          <w:b/>
          <w:color w:val="067E86"/>
          <w:sz w:val="22"/>
        </w:rPr>
        <w:t>EMENTA · CURSO PRESENCIAL</w:t>
      </w:r>
    </w:p>
    <w:p>
      <w:pPr>
        <w:spacing w:after="240"/>
        <w:pBdr>
          <w:bottom w:val="single" w:sz="18" w:space="6" w:color="05F2F2"/>
        </w:pBdr>
      </w:pPr>
      <w:r>
        <w:rPr>
          <w:rFonts w:ascii="Jost" w:hAnsi="Jost"/>
          <w:b/>
          <w:color w:val="04122E"/>
          <w:sz w:val="84"/>
        </w:rPr>
        <w:t>IA que</w:t>
        <w:br/>
        <w:t>Destrava</w:t>
      </w:r>
    </w:p>
    <w:p>
      <w:pPr>
        <w:spacing w:before="320" w:after="560"/>
      </w:pPr>
      <w:r>
        <w:rPr>
          <w:rFonts w:ascii="Raleway" w:hAnsi="Raleway"/>
          <w:color w:val="3A4A66"/>
          <w:sz w:val="32"/>
        </w:rPr>
        <w:t>Comunicação, clientes e operação com IA, na prática.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shd w:fill="04122E"/>
            <w:tcBorders>
              <w:top w:val="single" w:sz="8" w:space="0" w:color="04122E"/>
              <w:left w:val="single" w:sz="8" w:space="0" w:color="04122E"/>
              <w:bottom w:val="single" w:sz="8" w:space="0" w:color="04122E"/>
              <w:right w:val="single" w:sz="8" w:space="0" w:color="04122E"/>
              <w:insideH w:val="single" w:sz="8" w:space="0" w:color="04122E"/>
              <w:insideV w:val="single" w:sz="8" w:space="0" w:color="04122E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Raleway" w:hAnsi="Raleway"/>
                <w:b/>
                <w:color w:val="FFFFFF"/>
                <w:sz w:val="24"/>
              </w:rPr>
              <w:t>20 + 21 NOVEMBRO 2026</w:t>
              <w:br/>
              <w:t>Sexta e sábado</w:t>
            </w:r>
          </w:p>
        </w:tc>
        <w:tc>
          <w:tcPr>
            <w:tcW w:type="dxa" w:w="4680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  <w:vAlign w:val="center"/>
          </w:tcPr>
          <w:p>
            <w:pPr>
              <w:spacing w:after="40"/>
            </w:pPr>
            <w:r/>
            <w:r>
              <w:rPr>
                <w:rFonts w:ascii="Raleway" w:hAnsi="Raleway"/>
                <w:b/>
                <w:color w:val="04122E"/>
                <w:sz w:val="22"/>
              </w:rPr>
              <w:t>HENRIQUE PIMENTEL</w:t>
              <w:br/>
              <w:t>Sistemas de IA que entregam resultado mensurável.</w:t>
            </w:r>
          </w:p>
        </w:tc>
      </w:tr>
    </w:tbl>
    <w:p>
      <w:r>
        <w:rPr>
          <w:color w:val="067E86"/>
        </w:rPr>
        <w:t>www.henriquepimentel.com.br</w:t>
      </w:r>
    </w:p>
    <w:p>
      <w:r>
        <w:br w:type="page"/>
      </w:r>
    </w:p>
    <w:p>
      <w:pPr>
        <w:pStyle w:val="Heading1"/>
      </w:pPr>
      <w:r>
        <w:t>1. A proposta</w:t>
      </w:r>
    </w:p>
    <w:p>
      <w:pPr>
        <w:pStyle w:val="BodyText"/>
      </w:pPr>
      <w:r>
        <w:t>A pesquisa identificou uma distância entre conhecer IA e aplicá-la no trabalho. Este curso começa pelas tarefas do público, não pela ferramenta: comunicar, atender, transformar informação em decisão e organizar a operação.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4EFE7"/>
            <w:tcBorders>
              <w:top w:val="single" w:sz="12" w:space="0" w:color="D97757"/>
              <w:left w:val="single" w:sz="12" w:space="0" w:color="D97757"/>
              <w:bottom w:val="single" w:sz="12" w:space="0" w:color="D97757"/>
              <w:right w:val="single" w:sz="12" w:space="0" w:color="D97757"/>
              <w:insideH w:val="single" w:sz="12" w:space="0" w:color="D97757"/>
              <w:insideV w:val="single" w:sz="12" w:space="0" w:color="D97757"/>
            </w:tcBorders>
          </w:tcPr>
          <w:p>
            <w:pPr>
              <w:spacing w:after="80"/>
            </w:pPr>
            <w:r>
              <w:rPr>
                <w:rFonts w:ascii="Raleway" w:hAnsi="Raleway"/>
                <w:b/>
                <w:color w:val="D97757"/>
                <w:sz w:val="16"/>
              </w:rPr>
              <w:t>PÚBLICO PRIORITÁRIO</w:t>
            </w:r>
          </w:p>
          <w:p>
            <w:pPr>
              <w:spacing w:after="0"/>
            </w:pPr>
            <w:r>
              <w:rPr>
                <w:rFonts w:ascii="Raleway" w:hAnsi="Raleway"/>
                <w:color w:val="141413"/>
                <w:sz w:val="21"/>
              </w:rPr>
              <w:t>Profissionais autônomos, MEIs e pequenos negócios de serviços. Os exercícios partem de casos generalistas e cada participante trabalha sobre uma tarefa própria.</w:t>
            </w:r>
          </w:p>
        </w:tc>
      </w:tr>
    </w:tbl>
    <w:p>
      <w:pPr>
        <w:spacing w:after="0"/>
      </w:pPr>
    </w:p>
    <w:p>
      <w:pPr>
        <w:pStyle w:val="Heading2"/>
      </w:pPr>
      <w:r>
        <w:t>Demanda que orienta a ementa</w:t>
      </w:r>
    </w:p>
    <w:p>
      <w:pPr>
        <w:pStyle w:val="ListBullet"/>
        <w:spacing w:after="60"/>
        <w:ind w:left="259"/>
      </w:pPr>
      <w:r>
        <w:t>96% das MPE pesquisadas conhecem IA generativa, mas apenas 15% a usam com frequência.</w:t>
      </w:r>
    </w:p>
    <w:p>
      <w:pPr>
        <w:pStyle w:val="ListBullet"/>
        <w:spacing w:after="60"/>
        <w:ind w:left="259"/>
      </w:pPr>
      <w:r>
        <w:t>23% dos MEIs dizem não saber como aplicar IA no próprio negócio.</w:t>
      </w:r>
    </w:p>
    <w:p>
      <w:pPr>
        <w:pStyle w:val="ListBullet"/>
        <w:spacing w:after="60"/>
        <w:ind w:left="259"/>
      </w:pPr>
      <w:r>
        <w:t>Marketing e divulgação aparecem como aplicações frequentes; atendimento, informação e produtividade são problemas transversais.</w:t>
      </w:r>
    </w:p>
    <w:p>
      <w:pPr>
        <w:pStyle w:val="ListBullet"/>
        <w:spacing w:after="60"/>
        <w:ind w:left="259"/>
      </w:pPr>
      <w:r>
        <w:t>Pesquisas com MPMEs relatam ganhos percebidos de agilidade e produtividade, mas também dificuldade de capacitação.</w:t>
      </w:r>
    </w:p>
    <w:p>
      <w:pPr>
        <w:pStyle w:val="BodyText"/>
      </w:pPr>
      <w:r>
        <w:t>Esses dados indicam lacuna de aplicação e capacitação, não comprovam intenção de compra para esta turma. A proposta deve ser validada com conversas, formulário e pré-inscrição.</w:t>
      </w:r>
    </w:p>
    <w:p>
      <w:pPr>
        <w:pStyle w:val="Heading1"/>
      </w:pPr>
      <w:r>
        <w:t>2. Resultados de aprendizagem</w:t>
      </w:r>
    </w:p>
    <w:p>
      <w:pPr>
        <w:pStyle w:val="ListBullet"/>
        <w:spacing w:after="60"/>
        <w:ind w:left="259"/>
      </w:pPr>
      <w:r>
        <w:t>Priorizar tarefas por frequência, tempo, impacto e risco.</w:t>
      </w:r>
    </w:p>
    <w:p>
      <w:pPr>
        <w:pStyle w:val="ListBullet"/>
        <w:spacing w:after="60"/>
        <w:ind w:left="259"/>
      </w:pPr>
      <w:r>
        <w:t>Criar comunicação contextualizada para uma oferta ou serviço real.</w:t>
      </w:r>
    </w:p>
    <w:p>
      <w:pPr>
        <w:pStyle w:val="ListBullet"/>
        <w:spacing w:after="60"/>
        <w:ind w:left="259"/>
      </w:pPr>
      <w:r>
        <w:t>Estruturar atendimento, qualificação e acompanhamento de clientes.</w:t>
      </w:r>
    </w:p>
    <w:p>
      <w:pPr>
        <w:pStyle w:val="ListBullet"/>
        <w:spacing w:after="60"/>
        <w:ind w:left="259"/>
      </w:pPr>
      <w:r>
        <w:t>Transformar documentos, reuniões e dados em sínteses verificáveis e decisões.</w:t>
      </w:r>
    </w:p>
    <w:p>
      <w:pPr>
        <w:pStyle w:val="ListBullet"/>
        <w:spacing w:after="60"/>
        <w:ind w:left="259"/>
      </w:pPr>
      <w:r>
        <w:t>Documentar uma tarefa recorrente em um fluxo simples com revisão humana.</w:t>
      </w:r>
    </w:p>
    <w:p>
      <w:pPr>
        <w:pStyle w:val="ListBullet"/>
        <w:spacing w:after="60"/>
        <w:ind w:left="259"/>
      </w:pPr>
      <w:r>
        <w:t>Identificar dados que não devem ser compartilhados com ferramentas de IA.</w:t>
      </w:r>
    </w:p>
    <w:p>
      <w:pPr>
        <w:pStyle w:val="ListBullet"/>
        <w:spacing w:after="60"/>
        <w:ind w:left="259"/>
      </w:pPr>
      <w:r>
        <w:t>Definir um teste de 30 dias e uma medida de resultado.</w:t>
      </w:r>
    </w:p>
    <w:p>
      <w:pPr>
        <w:pStyle w:val="Heading1"/>
      </w:pPr>
      <w:r>
        <w:t>3. Programa detalhado</w:t>
      </w:r>
    </w:p>
    <w:p>
      <w:pPr>
        <w:pStyle w:val="Heading2"/>
      </w:pPr>
      <w:r>
        <w:t>Dia 1: comunicar melhor e cuidar da jornada do cliente</w:t>
      </w:r>
    </w:p>
    <w:p>
      <w:pPr>
        <w:spacing w:before="240" w:after="80"/>
      </w:pPr>
      <w:r>
        <w:rPr>
          <w:rFonts w:ascii="Raleway" w:hAnsi="Raleway"/>
          <w:b/>
          <w:color w:val="067E86"/>
          <w:sz w:val="18"/>
        </w:rPr>
        <w:t xml:space="preserve">MÓDULO 01  </w:t>
      </w:r>
      <w:r>
        <w:rPr>
          <w:rFonts w:ascii="Jost" w:hAnsi="Jost"/>
          <w:b/>
          <w:color w:val="04122E"/>
          <w:sz w:val="36"/>
        </w:rPr>
        <w:t>Encontrar o trabalho que vale melhorar</w:t>
      </w:r>
    </w:p>
    <w:p>
      <w:pPr>
        <w:pStyle w:val="BodyText"/>
      </w:pPr>
      <w:r>
        <w:t>Conteúdos</w:t>
      </w:r>
    </w:p>
    <w:p>
      <w:pPr>
        <w:pStyle w:val="ListBullet"/>
        <w:spacing w:after="60"/>
        <w:ind w:left="259"/>
      </w:pPr>
      <w:r>
        <w:t>Mapear tarefas e gargalos reais</w:t>
      </w:r>
    </w:p>
    <w:p>
      <w:pPr>
        <w:pStyle w:val="ListBullet"/>
        <w:spacing w:after="60"/>
        <w:ind w:left="259"/>
      </w:pPr>
      <w:r>
        <w:t>Comparar frequência, tempo, retrabalho, impacto e risco</w:t>
      </w:r>
    </w:p>
    <w:p>
      <w:pPr>
        <w:pStyle w:val="ListBullet"/>
        <w:spacing w:after="60"/>
        <w:ind w:left="259"/>
      </w:pPr>
      <w:r>
        <w:t>Escolher um caso para acompanhar nos exercícios</w:t>
      </w:r>
    </w:p>
    <w:p>
      <w:pPr>
        <w:pStyle w:val="ListBullet"/>
        <w:spacing w:after="60"/>
        <w:ind w:left="259"/>
      </w:pPr>
      <w:r>
        <w:t>Fundamentos de IA e estrutura de instruções somente no nível necessário à tarefa</w:t>
      </w:r>
    </w:p>
    <w:p>
      <w:pPr>
        <w:pStyle w:val="BodyText"/>
      </w:pPr>
      <w:r>
        <w:rPr>
          <w:b/>
        </w:rPr>
        <w:t xml:space="preserve">Prática: </w:t>
      </w:r>
      <w:r>
        <w:t>Priorizar oportunidades e escolher um problema concreto.</w:t>
      </w:r>
    </w:p>
    <w:p>
      <w:pPr>
        <w:pStyle w:val="BodyText"/>
      </w:pPr>
      <w:r>
        <w:rPr>
          <w:b/>
        </w:rPr>
        <w:t xml:space="preserve">Entrega: </w:t>
      </w:r>
      <w:r>
        <w:t>Mapa de oportunidades e caso individual.</w:t>
      </w:r>
    </w:p>
    <w:p>
      <w:pPr>
        <w:spacing w:before="240" w:after="80"/>
      </w:pPr>
      <w:r>
        <w:rPr>
          <w:rFonts w:ascii="Raleway" w:hAnsi="Raleway"/>
          <w:b/>
          <w:color w:val="067E86"/>
          <w:sz w:val="18"/>
        </w:rPr>
        <w:t xml:space="preserve">MÓDULO 02  </w:t>
      </w:r>
      <w:r>
        <w:rPr>
          <w:rFonts w:ascii="Jost" w:hAnsi="Jost"/>
          <w:b/>
          <w:color w:val="04122E"/>
          <w:sz w:val="36"/>
        </w:rPr>
        <w:t>Comunicação e divulgação com contexto</w:t>
      </w:r>
    </w:p>
    <w:p>
      <w:pPr>
        <w:pStyle w:val="BodyText"/>
      </w:pPr>
      <w:r>
        <w:t>Conteúdos</w:t>
      </w:r>
    </w:p>
    <w:p>
      <w:pPr>
        <w:pStyle w:val="ListBullet"/>
        <w:spacing w:after="60"/>
        <w:ind w:left="259"/>
      </w:pPr>
      <w:r>
        <w:t>Reunir informações úteis sobre serviço, oferta e dúvidas dos clientes</w:t>
      </w:r>
    </w:p>
    <w:p>
      <w:pPr>
        <w:pStyle w:val="ListBullet"/>
        <w:spacing w:after="60"/>
        <w:ind w:left="259"/>
      </w:pPr>
      <w:r>
        <w:t>Criar mensagens e materiais de divulgação</w:t>
      </w:r>
    </w:p>
    <w:p>
      <w:pPr>
        <w:pStyle w:val="ListBullet"/>
        <w:spacing w:after="60"/>
        <w:ind w:left="259"/>
      </w:pPr>
      <w:r>
        <w:t>Adaptar conteúdo a canais sem perder consistência</w:t>
      </w:r>
    </w:p>
    <w:p>
      <w:pPr>
        <w:pStyle w:val="ListBullet"/>
        <w:spacing w:after="60"/>
        <w:ind w:left="259"/>
      </w:pPr>
      <w:r>
        <w:t>Revisar tom, promessa e afirmações factuais; evitar conteúdo genérico</w:t>
      </w:r>
    </w:p>
    <w:p>
      <w:pPr>
        <w:pStyle w:val="BodyText"/>
      </w:pPr>
      <w:r>
        <w:rPr>
          <w:b/>
        </w:rPr>
        <w:t xml:space="preserve">Prática: </w:t>
      </w:r>
      <w:r>
        <w:t>Criar materiais a partir de uma oferta real e adaptar para canais escolhidos.</w:t>
      </w:r>
    </w:p>
    <w:p>
      <w:pPr>
        <w:pStyle w:val="BodyText"/>
      </w:pPr>
      <w:r>
        <w:rPr>
          <w:b/>
        </w:rPr>
        <w:t xml:space="preserve">Entrega: </w:t>
      </w:r>
      <w:r>
        <w:t>Pacote de comunicação e checklist de revisão.</w:t>
      </w:r>
    </w:p>
    <w:p>
      <w:pPr>
        <w:spacing w:before="240" w:after="80"/>
      </w:pPr>
      <w:r>
        <w:rPr>
          <w:rFonts w:ascii="Raleway" w:hAnsi="Raleway"/>
          <w:b/>
          <w:color w:val="067E86"/>
          <w:sz w:val="18"/>
        </w:rPr>
        <w:t xml:space="preserve">MÓDULO 03  </w:t>
      </w:r>
      <w:r>
        <w:rPr>
          <w:rFonts w:ascii="Jost" w:hAnsi="Jost"/>
          <w:b/>
          <w:color w:val="04122E"/>
          <w:sz w:val="36"/>
        </w:rPr>
        <w:t>Atendimento e vendas na jornada do cliente</w:t>
      </w:r>
    </w:p>
    <w:p>
      <w:pPr>
        <w:pStyle w:val="BodyText"/>
      </w:pPr>
      <w:r>
        <w:t>Conteúdos</w:t>
      </w:r>
    </w:p>
    <w:p>
      <w:pPr>
        <w:pStyle w:val="ListBullet"/>
        <w:spacing w:after="60"/>
        <w:ind w:left="259"/>
      </w:pPr>
      <w:r>
        <w:t>Mapear etapas entre primeiro contato e próximo passo</w:t>
      </w:r>
    </w:p>
    <w:p>
      <w:pPr>
        <w:pStyle w:val="ListBullet"/>
        <w:spacing w:after="60"/>
        <w:ind w:left="259"/>
      </w:pPr>
      <w:r>
        <w:t>Organizar perguntas frequentes e critérios de qualificação</w:t>
      </w:r>
    </w:p>
    <w:p>
      <w:pPr>
        <w:pStyle w:val="ListBullet"/>
        <w:spacing w:after="60"/>
        <w:ind w:left="259"/>
      </w:pPr>
      <w:r>
        <w:t>Escrever respostas para WhatsApp, e-mail ou redes sociais</w:t>
      </w:r>
    </w:p>
    <w:p>
      <w:pPr>
        <w:pStyle w:val="ListBullet"/>
        <w:spacing w:after="60"/>
        <w:ind w:left="259"/>
      </w:pPr>
      <w:r>
        <w:t>Preparar briefing, proposta e acompanhamento</w:t>
      </w:r>
    </w:p>
    <w:p>
      <w:pPr>
        <w:pStyle w:val="ListBullet"/>
        <w:spacing w:after="60"/>
        <w:ind w:left="259"/>
      </w:pPr>
      <w:r>
        <w:t>Definir quando uma pessoa deve assumir</w:t>
      </w:r>
    </w:p>
    <w:p>
      <w:pPr>
        <w:pStyle w:val="BodyText"/>
      </w:pPr>
      <w:r>
        <w:rPr>
          <w:b/>
        </w:rPr>
        <w:t xml:space="preserve">Prática: </w:t>
      </w:r>
      <w:r>
        <w:t>Simular atendimentos e revisar respostas para diferentes cenários.</w:t>
      </w:r>
    </w:p>
    <w:p>
      <w:pPr>
        <w:pStyle w:val="BodyText"/>
      </w:pPr>
      <w:r>
        <w:rPr>
          <w:b/>
        </w:rPr>
        <w:t xml:space="preserve">Entrega: </w:t>
      </w:r>
      <w:r>
        <w:t>Roteiro de atendimento e acompanhamento com transferência humana.</w:t>
      </w:r>
    </w:p>
    <w:p>
      <w:pPr>
        <w:pStyle w:val="Heading2"/>
      </w:pPr>
      <w:r>
        <w:t>Dia 2: transformar informação em decisão e rotina</w:t>
      </w:r>
    </w:p>
    <w:p>
      <w:pPr>
        <w:spacing w:before="240" w:after="80"/>
      </w:pPr>
      <w:r>
        <w:rPr>
          <w:rFonts w:ascii="Raleway" w:hAnsi="Raleway"/>
          <w:b/>
          <w:color w:val="067E86"/>
          <w:sz w:val="18"/>
        </w:rPr>
        <w:t xml:space="preserve">MÓDULO 04  </w:t>
      </w:r>
      <w:r>
        <w:rPr>
          <w:rFonts w:ascii="Jost" w:hAnsi="Jost"/>
          <w:b/>
          <w:color w:val="04122E"/>
          <w:sz w:val="36"/>
        </w:rPr>
        <w:t>Da informação à decisão</w:t>
      </w:r>
    </w:p>
    <w:p>
      <w:pPr>
        <w:pStyle w:val="BodyText"/>
      </w:pPr>
      <w:r>
        <w:t>Conteúdos</w:t>
      </w:r>
    </w:p>
    <w:p>
      <w:pPr>
        <w:pStyle w:val="ListBullet"/>
        <w:spacing w:after="60"/>
        <w:ind w:left="259"/>
      </w:pPr>
      <w:r>
        <w:t>Resumir documentos, reuniões e anotações sem perder decisões e responsáveis</w:t>
      </w:r>
    </w:p>
    <w:p>
      <w:pPr>
        <w:pStyle w:val="ListBullet"/>
        <w:spacing w:after="60"/>
        <w:ind w:left="259"/>
      </w:pPr>
      <w:r>
        <w:t>Organizar dados antes da análise</w:t>
      </w:r>
    </w:p>
    <w:p>
      <w:pPr>
        <w:pStyle w:val="ListBullet"/>
        <w:spacing w:after="60"/>
        <w:ind w:left="259"/>
      </w:pPr>
      <w:r>
        <w:t>Comparar cenários e explicitar premissas</w:t>
      </w:r>
    </w:p>
    <w:p>
      <w:pPr>
        <w:pStyle w:val="ListBullet"/>
        <w:spacing w:after="60"/>
        <w:ind w:left="259"/>
      </w:pPr>
      <w:r>
        <w:t>Checar fontes e números; separar evidência de hipótese</w:t>
      </w:r>
    </w:p>
    <w:p>
      <w:pPr>
        <w:pStyle w:val="ListBullet"/>
        <w:spacing w:after="60"/>
        <w:ind w:left="259"/>
      </w:pPr>
      <w:r>
        <w:t>Transformar análise em recomendação e próxima ação</w:t>
      </w:r>
    </w:p>
    <w:p>
      <w:pPr>
        <w:pStyle w:val="BodyText"/>
      </w:pPr>
      <w:r>
        <w:rPr>
          <w:b/>
        </w:rPr>
        <w:t xml:space="preserve">Prática: </w:t>
      </w:r>
      <w:r>
        <w:t>Produzir uma síntese a partir de dados não sensíveis.</w:t>
      </w:r>
    </w:p>
    <w:p>
      <w:pPr>
        <w:pStyle w:val="BodyText"/>
      </w:pPr>
      <w:r>
        <w:rPr>
          <w:b/>
        </w:rPr>
        <w:t xml:space="preserve">Entrega: </w:t>
      </w:r>
      <w:r>
        <w:t>Resumo com evidências, dúvidas, decisão e próximos passos.</w:t>
      </w:r>
    </w:p>
    <w:p>
      <w:pPr>
        <w:spacing w:before="240" w:after="80"/>
      </w:pPr>
      <w:r>
        <w:rPr>
          <w:rFonts w:ascii="Raleway" w:hAnsi="Raleway"/>
          <w:b/>
          <w:color w:val="067E86"/>
          <w:sz w:val="18"/>
        </w:rPr>
        <w:t xml:space="preserve">MÓDULO 05  </w:t>
      </w:r>
      <w:r>
        <w:rPr>
          <w:rFonts w:ascii="Jost" w:hAnsi="Jost"/>
          <w:b/>
          <w:color w:val="04122E"/>
          <w:sz w:val="36"/>
        </w:rPr>
        <w:t>Tarefas repetitivas em fluxos simples</w:t>
      </w:r>
    </w:p>
    <w:p>
      <w:pPr>
        <w:pStyle w:val="BodyText"/>
      </w:pPr>
      <w:r>
        <w:t>Conteúdos</w:t>
      </w:r>
    </w:p>
    <w:p>
      <w:pPr>
        <w:pStyle w:val="ListBullet"/>
        <w:spacing w:after="60"/>
        <w:ind w:left="259"/>
      </w:pPr>
      <w:r>
        <w:t>Desenhar entrada, etapas, exceções e resultado esperado</w:t>
      </w:r>
    </w:p>
    <w:p>
      <w:pPr>
        <w:pStyle w:val="ListBullet"/>
        <w:spacing w:after="60"/>
        <w:ind w:left="259"/>
      </w:pPr>
      <w:r>
        <w:t>Localizar retrabalho e transferências manuais</w:t>
      </w:r>
    </w:p>
    <w:p>
      <w:pPr>
        <w:pStyle w:val="ListBullet"/>
        <w:spacing w:after="60"/>
        <w:ind w:left="259"/>
      </w:pPr>
      <w:r>
        <w:t>Usar IA onde ajuda, sem automatizar às cegas</w:t>
      </w:r>
    </w:p>
    <w:p>
      <w:pPr>
        <w:pStyle w:val="ListBullet"/>
        <w:spacing w:after="60"/>
        <w:ind w:left="259"/>
      </w:pPr>
      <w:r>
        <w:t>Escolher entre instrução reutilizável, modelo, checklist ou automação existente</w:t>
      </w:r>
    </w:p>
    <w:p>
      <w:pPr>
        <w:pStyle w:val="ListBullet"/>
        <w:spacing w:after="60"/>
        <w:ind w:left="259"/>
      </w:pPr>
      <w:r>
        <w:t>Definir como medir tempo, qualidade ou retrabalho</w:t>
      </w:r>
    </w:p>
    <w:p>
      <w:pPr>
        <w:pStyle w:val="BodyText"/>
      </w:pPr>
      <w:r>
        <w:rPr>
          <w:b/>
        </w:rPr>
        <w:t xml:space="preserve">Prática: </w:t>
      </w:r>
      <w:r>
        <w:t>Redesenhar e testar uma rotina recorrente da turma.</w:t>
      </w:r>
    </w:p>
    <w:p>
      <w:pPr>
        <w:pStyle w:val="BodyText"/>
      </w:pPr>
      <w:r>
        <w:rPr>
          <w:b/>
        </w:rPr>
        <w:t xml:space="preserve">Entrega: </w:t>
      </w:r>
      <w:r>
        <w:t>Procedimento simples com revisão humana e indicador.</w:t>
      </w:r>
    </w:p>
    <w:p>
      <w:pPr>
        <w:spacing w:before="240" w:after="80"/>
      </w:pPr>
      <w:r>
        <w:rPr>
          <w:rFonts w:ascii="Raleway" w:hAnsi="Raleway"/>
          <w:b/>
          <w:color w:val="067E86"/>
          <w:sz w:val="18"/>
        </w:rPr>
        <w:t xml:space="preserve">MÓDULO 06  </w:t>
      </w:r>
      <w:r>
        <w:rPr>
          <w:rFonts w:ascii="Jost" w:hAnsi="Jost"/>
          <w:b/>
          <w:color w:val="04122E"/>
          <w:sz w:val="36"/>
        </w:rPr>
        <w:t>Aplicação segura e plano de continuidade</w:t>
      </w:r>
    </w:p>
    <w:p>
      <w:pPr>
        <w:pStyle w:val="BodyText"/>
      </w:pPr>
      <w:r>
        <w:t>Conteúdos</w:t>
      </w:r>
    </w:p>
    <w:p>
      <w:pPr>
        <w:pStyle w:val="ListBullet"/>
        <w:spacing w:after="60"/>
        <w:ind w:left="259"/>
      </w:pPr>
      <w:r>
        <w:t>Identificar dados pessoais e confidenciais</w:t>
      </w:r>
    </w:p>
    <w:p>
      <w:pPr>
        <w:pStyle w:val="ListBullet"/>
        <w:spacing w:after="60"/>
        <w:ind w:left="259"/>
      </w:pPr>
      <w:r>
        <w:t>Usar dados fictícios, anonimizados ou estritamente necessários</w:t>
      </w:r>
    </w:p>
    <w:p>
      <w:pPr>
        <w:pStyle w:val="ListBullet"/>
        <w:spacing w:after="60"/>
        <w:ind w:left="259"/>
      </w:pPr>
      <w:r>
        <w:t>Reconhecer erro, viés e resposta sem fonte suficiente</w:t>
      </w:r>
    </w:p>
    <w:p>
      <w:pPr>
        <w:pStyle w:val="ListBullet"/>
        <w:spacing w:after="60"/>
        <w:ind w:left="259"/>
      </w:pPr>
      <w:r>
        <w:t>Definir revisão proporcional ao impacto da tarefa</w:t>
      </w:r>
    </w:p>
    <w:p>
      <w:pPr>
        <w:pStyle w:val="ListBullet"/>
        <w:spacing w:after="60"/>
        <w:ind w:left="259"/>
      </w:pPr>
      <w:r>
        <w:t>Consolidar o caso e planejar teste de 30 dias</w:t>
      </w:r>
    </w:p>
    <w:p>
      <w:pPr>
        <w:pStyle w:val="BodyText"/>
      </w:pPr>
      <w:r>
        <w:rPr>
          <w:b/>
        </w:rPr>
        <w:t xml:space="preserve">Prática: </w:t>
      </w:r>
      <w:r>
        <w:t>Apresentar o fluxo escolhido, seus limites e como será avaliado.</w:t>
      </w:r>
    </w:p>
    <w:p>
      <w:pPr>
        <w:pStyle w:val="BodyText"/>
      </w:pPr>
      <w:r>
        <w:rPr>
          <w:b/>
        </w:rPr>
        <w:t xml:space="preserve">Entrega: </w:t>
      </w:r>
      <w:r>
        <w:t>Checklist pessoal de uso responsável e plano mensurável de 30 dias.</w:t>
      </w:r>
    </w:p>
    <w:p>
      <w:pPr>
        <w:pStyle w:val="Heading1"/>
      </w:pPr>
      <w:r>
        <w:t>4. Organização dos dois 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04122E"/>
            <w:tcBorders>
              <w:top w:val="single" w:sz="8" w:space="0" w:color="04122E"/>
              <w:left w:val="single" w:sz="8" w:space="0" w:color="04122E"/>
              <w:bottom w:val="single" w:sz="8" w:space="0" w:color="04122E"/>
              <w:right w:val="single" w:sz="8" w:space="0" w:color="04122E"/>
              <w:insideH w:val="single" w:sz="8" w:space="0" w:color="04122E"/>
              <w:insideV w:val="single" w:sz="8" w:space="0" w:color="04122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/>
                <w:color w:val="FFFFFF"/>
                <w:sz w:val="19"/>
              </w:rPr>
              <w:t>Dia</w:t>
            </w:r>
          </w:p>
        </w:tc>
        <w:tc>
          <w:tcPr>
            <w:tcW w:type="dxa" w:w="3293"/>
            <w:vAlign w:val="center"/>
            <w:shd w:fill="04122E"/>
            <w:tcBorders>
              <w:top w:val="single" w:sz="8" w:space="0" w:color="04122E"/>
              <w:left w:val="single" w:sz="8" w:space="0" w:color="04122E"/>
              <w:bottom w:val="single" w:sz="8" w:space="0" w:color="04122E"/>
              <w:right w:val="single" w:sz="8" w:space="0" w:color="04122E"/>
              <w:insideH w:val="single" w:sz="8" w:space="0" w:color="04122E"/>
              <w:insideV w:val="single" w:sz="8" w:space="0" w:color="04122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3293"/>
            <w:vAlign w:val="center"/>
            <w:shd w:fill="04122E"/>
            <w:tcBorders>
              <w:top w:val="single" w:sz="8" w:space="0" w:color="04122E"/>
              <w:left w:val="single" w:sz="8" w:space="0" w:color="04122E"/>
              <w:bottom w:val="single" w:sz="8" w:space="0" w:color="04122E"/>
              <w:right w:val="single" w:sz="8" w:space="0" w:color="04122E"/>
              <w:insideH w:val="single" w:sz="8" w:space="0" w:color="04122E"/>
              <w:insideV w:val="single" w:sz="8" w:space="0" w:color="04122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293"/>
            <w:vAlign w:val="center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20/11, sexta</w:t>
            </w:r>
          </w:p>
        </w:tc>
        <w:tc>
          <w:tcPr>
            <w:tcW w:type="dxa" w:w="3293"/>
            <w:vAlign w:val="center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Manhã</w:t>
            </w:r>
          </w:p>
        </w:tc>
        <w:tc>
          <w:tcPr>
            <w:tcW w:type="dxa" w:w="3293"/>
            <w:vAlign w:val="center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Mapa de trabalho, seleção de problema e comunicação/divulgação.</w:t>
            </w:r>
          </w:p>
        </w:tc>
      </w:tr>
      <w:tr>
        <w:tc>
          <w:tcPr>
            <w:tcW w:type="dxa" w:w="3293"/>
            <w:vAlign w:val="center"/>
            <w:shd w:fill="FAF9F5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20/11, sexta</w:t>
            </w:r>
          </w:p>
        </w:tc>
        <w:tc>
          <w:tcPr>
            <w:tcW w:type="dxa" w:w="3293"/>
            <w:vAlign w:val="center"/>
            <w:shd w:fill="FAF9F5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Tarde</w:t>
            </w:r>
          </w:p>
        </w:tc>
        <w:tc>
          <w:tcPr>
            <w:tcW w:type="dxa" w:w="3293"/>
            <w:vAlign w:val="center"/>
            <w:shd w:fill="FAF9F5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Pacote de comunicação, atendimento e jornada do cliente.</w:t>
            </w:r>
          </w:p>
        </w:tc>
      </w:tr>
      <w:tr>
        <w:tc>
          <w:tcPr>
            <w:tcW w:type="dxa" w:w="3293"/>
            <w:vAlign w:val="center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21/11, sábado</w:t>
            </w:r>
          </w:p>
        </w:tc>
        <w:tc>
          <w:tcPr>
            <w:tcW w:type="dxa" w:w="3293"/>
            <w:vAlign w:val="center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Manhã</w:t>
            </w:r>
          </w:p>
        </w:tc>
        <w:tc>
          <w:tcPr>
            <w:tcW w:type="dxa" w:w="3293"/>
            <w:vAlign w:val="center"/>
            <w:shd w:fill="F4EFE7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Documentos, reuniões, dados, análise e decisão verificável.</w:t>
            </w:r>
          </w:p>
        </w:tc>
      </w:tr>
      <w:tr>
        <w:tc>
          <w:tcPr>
            <w:tcW w:type="dxa" w:w="3293"/>
            <w:vAlign w:val="center"/>
            <w:shd w:fill="FAF9F5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21/11, sábado</w:t>
            </w:r>
          </w:p>
        </w:tc>
        <w:tc>
          <w:tcPr>
            <w:tcW w:type="dxa" w:w="3293"/>
            <w:vAlign w:val="center"/>
            <w:shd w:fill="FAF9F5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Tarde</w:t>
            </w:r>
          </w:p>
        </w:tc>
        <w:tc>
          <w:tcPr>
            <w:tcW w:type="dxa" w:w="3293"/>
            <w:vAlign w:val="center"/>
            <w:shd w:fill="FAF9F5"/>
            <w:tcBorders>
              <w:top w:val="single" w:sz="8" w:space="0" w:color="C3CEDE"/>
              <w:left w:val="single" w:sz="8" w:space="0" w:color="C3CEDE"/>
              <w:bottom w:val="single" w:sz="8" w:space="0" w:color="C3CEDE"/>
              <w:right w:val="single" w:sz="8" w:space="0" w:color="C3CEDE"/>
              <w:insideH w:val="single" w:sz="8" w:space="0" w:color="C3CEDE"/>
              <w:insideV w:val="single" w:sz="8" w:space="0" w:color="C3CEDE"/>
            </w:tcBorders>
          </w:tcPr>
          <w:p>
            <w:pPr>
              <w:spacing w:after="40"/>
            </w:pPr>
            <w:r/>
            <w:r>
              <w:rPr>
                <w:rFonts w:ascii="Raleway" w:hAnsi="Raleway"/>
                <w:b w:val="0"/>
                <w:color w:val="141413"/>
                <w:sz w:val="18"/>
              </w:rPr>
              <w:t>Fluxos repetitivos, segurança, apresentação de casos e plano de 30 dias.</w:t>
            </w:r>
          </w:p>
        </w:tc>
      </w:tr>
    </w:tbl>
    <w:p>
      <w:pPr>
        <w:pStyle w:val="Heading1"/>
      </w:pPr>
      <w:r>
        <w:t>5. Metodologia e materiais</w:t>
      </w:r>
    </w:p>
    <w:p>
      <w:pPr>
        <w:pStyle w:val="BodyText"/>
      </w:pPr>
      <w:r>
        <w:t>Aulas curtas, demonstrações e laboratórios. Os exemplos são generalistas; os exercícios são adaptados ao trabalho de cada participante. Fundamentos e instruções aparecem dentro da tarefa em que são úteis, não como blocos teóricos extensos.</w:t>
      </w:r>
    </w:p>
    <w:p>
      <w:pPr>
        <w:pStyle w:val="ListBullet"/>
        <w:spacing w:after="60"/>
        <w:ind w:left="259"/>
      </w:pPr>
      <w:r>
        <w:t>Notebook ou tablet por participante</w:t>
      </w:r>
    </w:p>
    <w:p>
      <w:pPr>
        <w:pStyle w:val="ListBullet"/>
        <w:spacing w:after="60"/>
        <w:ind w:left="259"/>
      </w:pPr>
      <w:r>
        <w:t>Acesso a uma ferramenta de IA generativa</w:t>
      </w:r>
    </w:p>
    <w:p>
      <w:pPr>
        <w:pStyle w:val="ListBullet"/>
        <w:spacing w:after="60"/>
        <w:ind w:left="259"/>
      </w:pPr>
      <w:r>
        <w:t>Exemplo de tarefa real sem dados sensíveis</w:t>
      </w:r>
    </w:p>
    <w:p>
      <w:pPr>
        <w:pStyle w:val="ListBullet"/>
        <w:spacing w:after="60"/>
        <w:ind w:left="259"/>
      </w:pPr>
      <w:r>
        <w:t>Internet estável e projetor para demonstrações</w:t>
      </w:r>
    </w:p>
    <w:p>
      <w:pPr>
        <w:pStyle w:val="Heading1"/>
      </w:pPr>
      <w:r>
        <w:t>6. O que o participante leva</w:t>
      </w:r>
    </w:p>
    <w:p>
      <w:pPr>
        <w:pStyle w:val="ListBullet"/>
        <w:spacing w:after="60"/>
        <w:ind w:left="259"/>
      </w:pPr>
      <w:r>
        <w:t>Mapa priorizado de oportunidades</w:t>
      </w:r>
    </w:p>
    <w:p>
      <w:pPr>
        <w:pStyle w:val="ListBullet"/>
        <w:spacing w:after="60"/>
        <w:ind w:left="259"/>
      </w:pPr>
      <w:r>
        <w:t>Pacote de comunicação para uma oferta ou serviço</w:t>
      </w:r>
    </w:p>
    <w:p>
      <w:pPr>
        <w:pStyle w:val="ListBullet"/>
        <w:spacing w:after="60"/>
        <w:ind w:left="259"/>
      </w:pPr>
      <w:r>
        <w:t>Roteiro de atendimento e acompanhamento</w:t>
      </w:r>
    </w:p>
    <w:p>
      <w:pPr>
        <w:pStyle w:val="ListBullet"/>
        <w:spacing w:after="60"/>
        <w:ind w:left="259"/>
      </w:pPr>
      <w:r>
        <w:t>Síntese de decisão verificável</w:t>
      </w:r>
    </w:p>
    <w:p>
      <w:pPr>
        <w:pStyle w:val="ListBullet"/>
        <w:spacing w:after="60"/>
        <w:ind w:left="259"/>
      </w:pPr>
      <w:r>
        <w:t>Procedimento para uma tarefa recorrente</w:t>
      </w:r>
    </w:p>
    <w:p>
      <w:pPr>
        <w:pStyle w:val="ListBullet"/>
        <w:spacing w:after="60"/>
        <w:ind w:left="259"/>
      </w:pPr>
      <w:r>
        <w:t>Checklist de revisão e uso seguro</w:t>
      </w:r>
    </w:p>
    <w:p>
      <w:pPr>
        <w:pStyle w:val="ListBullet"/>
        <w:spacing w:after="60"/>
        <w:ind w:left="259"/>
      </w:pPr>
      <w:r>
        <w:t>Plano de teste de 30 dias com medida de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4EFE7"/>
            <w:tcBorders>
              <w:top w:val="single" w:sz="12" w:space="0" w:color="D97757"/>
              <w:left w:val="single" w:sz="12" w:space="0" w:color="D97757"/>
              <w:bottom w:val="single" w:sz="12" w:space="0" w:color="D97757"/>
              <w:right w:val="single" w:sz="12" w:space="0" w:color="D97757"/>
              <w:insideH w:val="single" w:sz="12" w:space="0" w:color="D97757"/>
              <w:insideV w:val="single" w:sz="12" w:space="0" w:color="D97757"/>
            </w:tcBorders>
          </w:tcPr>
          <w:p>
            <w:pPr>
              <w:spacing w:after="80"/>
            </w:pPr>
            <w:r>
              <w:rPr>
                <w:rFonts w:ascii="Raleway" w:hAnsi="Raleway"/>
                <w:b/>
                <w:color w:val="D97757"/>
                <w:sz w:val="16"/>
              </w:rPr>
              <w:t>CRITÉRIO DE SUCESSO</w:t>
            </w:r>
          </w:p>
          <w:p>
            <w:pPr>
              <w:spacing w:after="0"/>
            </w:pPr>
            <w:r>
              <w:rPr>
                <w:rFonts w:ascii="Raleway" w:hAnsi="Raleway"/>
                <w:color w:val="141413"/>
                <w:sz w:val="21"/>
              </w:rPr>
              <w:t>O participante consegue repetir no trabalho pelo menos um fluxo testado no curso e avaliar se ele economizou tempo, reduziu retrabalho ou melhorou a qualidade.</w:t>
            </w:r>
          </w:p>
        </w:tc>
      </w:tr>
    </w:tbl>
    <w:p>
      <w:pPr>
        <w:spacing w:after="0"/>
      </w:pPr>
    </w:p>
    <w:p>
      <w:pPr>
        <w:pStyle w:val="Heading1"/>
      </w:pPr>
      <w:r>
        <w:t>7. Fontes e limite da pesquisa</w:t>
      </w:r>
    </w:p>
    <w:p>
      <w:pPr>
        <w:pStyle w:val="BodyText"/>
      </w:pPr>
      <w:r>
        <w:t>A demanda observada é uma lacuna de aplicação e capacitação, não evidência direta de intenção de compra. Validar o interesse com conversas, formulário e pré-inscrição antes de fechar a oferta.</w:t>
      </w:r>
    </w:p>
    <w:p>
      <w:pPr>
        <w:pStyle w:val="ListBullet"/>
        <w:spacing w:after="60"/>
        <w:ind w:left="259"/>
      </w:pPr>
      <w:r>
        <w:t>Sebrae: datasebrae.com.br/transformacao-digital/</w:t>
      </w:r>
    </w:p>
    <w:p>
      <w:pPr>
        <w:pStyle w:val="ListBullet"/>
        <w:spacing w:after="60"/>
        <w:ind w:left="259"/>
      </w:pPr>
      <w:r>
        <w:t>FGV IBRE: blogdoibre.fgv.br/posts/uso-de-ia-nos-negocios-no-brasil-0</w:t>
      </w:r>
    </w:p>
    <w:p>
      <w:pPr>
        <w:pStyle w:val="ListBullet"/>
        <w:spacing w:after="60"/>
        <w:ind w:left="259"/>
      </w:pPr>
      <w:r>
        <w:t>Cetic.br: cetic.br/pt/noticia/uso-de-inteligencia-artificial-por-empresas-brasileiras-avanca-e-atinge-17-aponta-pesquisa-do-cetic-br/</w:t>
      </w:r>
    </w:p>
    <w:p>
      <w:pPr>
        <w:pStyle w:val="ListBullet"/>
        <w:spacing w:after="60"/>
        <w:ind w:left="259"/>
      </w:pPr>
      <w:r>
        <w:t>Microsoft: news.microsoft.com/source/latam/features/noticias-da-microsoft/</w:t>
      </w:r>
    </w:p>
    <w:p>
      <w:pPr>
        <w:pStyle w:val="ListBullet"/>
        <w:spacing w:after="60"/>
        <w:ind w:left="259"/>
      </w:pPr>
      <w:r>
        <w:t>World Economic Forum: weforum.org/press/2025/01/future-of-jobs-report-2025-78-million-new-job-opportunities-by-2030-but-urgent-upskilling-needed-to-prepare-workforces/</w:t>
      </w:r>
    </w:p>
    <w:p>
      <w:pPr>
        <w:spacing w:before="400"/>
        <w:pBdr>
          <w:bottom w:val="single" w:sz="12" w:space="6" w:color="067E86"/>
        </w:pBdr>
      </w:pPr>
    </w:p>
    <w:p>
      <w:pPr>
        <w:jc w:val="right"/>
      </w:pPr>
      <w:r>
        <w:rPr>
          <w:rFonts w:ascii="Raleway" w:hAnsi="Raleway"/>
          <w:color w:val="3A4A66"/>
          <w:sz w:val="18"/>
        </w:rPr>
        <w:t>Henrique Pimentel  ·  Consultor de Tecnologia em IA</w:t>
        <w:br/>
        <w:t>www.henriquepimentel.com.br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aleway" w:hAnsi="Raleway"/>
        <w:color w:val="3A4A66"/>
        <w:sz w:val="16"/>
      </w:rPr>
      <w:t xml:space="preserve">HENRIQUE PIMENTEL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Jost" w:hAnsi="Jost"/>
        <w:b/>
        <w:color w:val="04122E"/>
        <w:sz w:val="16"/>
      </w:rPr>
      <w:t>HENRIQUE PIMENTEL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Raleway" w:hAnsi="Raleway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Jost" w:hAnsi="Jost"/>
      <w:b/>
      <w:bCs/>
      <w:color w:val="0412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Jost" w:hAnsi="Jost"/>
      <w:b/>
      <w:bCs/>
      <w:color w:val="067E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40"/>
      <w:outlineLvl w:val="2"/>
    </w:pPr>
    <w:rPr>
      <w:rFonts w:asciiTheme="majorHAnsi" w:eastAsiaTheme="majorEastAsia" w:hAnsiTheme="majorHAnsi" w:cstheme="majorBidi" w:ascii="Jost" w:hAnsi="Jost"/>
      <w:b/>
      <w:bCs/>
      <w:color w:val="0412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Raleway" w:hAnsi="Raleway"/>
      <w:color w:val="14141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Raleway" w:hAnsi="Raleway"/>
      <w:color w:val="14141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Raleway" w:hAnsi="Raleway"/>
      <w:color w:val="141413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Raleway" w:hAnsi="Raleway"/>
      <w:color w:val="14141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que Destrava</dc:title>
  <dc:subject>Ementa do curso presencial de Henrique Pimentel</dc:subject>
  <dc:creator>Henrique Pimentel</dc:creator>
  <cp:keywords>IA que Destrava, comunicação, atendimento, pequenos negócios, operação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