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AEC6" w14:textId="6AA0464B" w:rsidR="00520BBF" w:rsidRPr="00DA531B" w:rsidRDefault="0012466A" w:rsidP="005715A5">
      <w:pPr>
        <w:pStyle w:val="MyHeading2"/>
        <w:spacing w:before="5020" w:after="0"/>
        <w:ind w:firstLine="4536"/>
        <w:rPr>
          <w:b/>
          <w:bCs/>
        </w:rPr>
      </w:pPr>
      <w:r w:rsidRPr="008254D1">
        <w:rPr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28056964" wp14:editId="0954DAA9">
            <wp:simplePos x="0" y="0"/>
            <wp:positionH relativeFrom="column">
              <wp:posOffset>2882900</wp:posOffset>
            </wp:positionH>
            <wp:positionV relativeFrom="paragraph">
              <wp:posOffset>2450465</wp:posOffset>
            </wp:positionV>
            <wp:extent cx="1739900" cy="558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2B6">
        <w:rPr>
          <w:b/>
          <w:bCs/>
        </w:rPr>
        <w:t>Material, Processes and Drawing</w:t>
      </w:r>
      <w:r w:rsidR="001E3FB4">
        <w:rPr>
          <w:b/>
          <w:bCs/>
        </w:rPr>
        <w:t xml:space="preserve"> </w:t>
      </w:r>
    </w:p>
    <w:p w14:paraId="5474B97E" w14:textId="7E0312D9" w:rsidR="007C2861" w:rsidRDefault="007C2861" w:rsidP="005715A5">
      <w:pPr>
        <w:pStyle w:val="MyHeading2"/>
        <w:spacing w:after="0"/>
        <w:ind w:firstLine="4536"/>
      </w:pPr>
      <w:r>
        <w:t>202</w:t>
      </w:r>
      <w:r w:rsidR="00BB4D05">
        <w:t>1</w:t>
      </w:r>
      <w:r>
        <w:t>–202</w:t>
      </w:r>
      <w:r w:rsidR="00BB4D05">
        <w:t>2</w:t>
      </w:r>
    </w:p>
    <w:p w14:paraId="56FB6045" w14:textId="02348FBE" w:rsidR="007C2861" w:rsidRDefault="00BB4D05" w:rsidP="005715A5">
      <w:pPr>
        <w:pStyle w:val="MyHeading2"/>
        <w:spacing w:after="0"/>
        <w:ind w:firstLine="4536"/>
      </w:pPr>
      <w:r>
        <w:t xml:space="preserve">Programme </w:t>
      </w:r>
      <w:r w:rsidR="003E3B85">
        <w:t>s</w:t>
      </w:r>
      <w:r w:rsidR="00446B39">
        <w:t>pecification</w:t>
      </w:r>
    </w:p>
    <w:p w14:paraId="6AFDDEC1" w14:textId="77777777" w:rsidR="00DA531B" w:rsidRDefault="00DA531B" w:rsidP="005715A5">
      <w:pPr>
        <w:pStyle w:val="MyHeading2"/>
        <w:spacing w:after="0"/>
        <w:ind w:firstLine="4536"/>
      </w:pPr>
    </w:p>
    <w:p w14:paraId="6719AD82" w14:textId="10192422" w:rsidR="007C2861" w:rsidRDefault="004225EB" w:rsidP="00B16BDC">
      <w:pPr>
        <w:pStyle w:val="MyHeading3"/>
        <w:ind w:firstLine="4536"/>
        <w:rPr>
          <w:rFonts w:ascii="IBM Plex Sans" w:hAnsi="IBM Plex Sans"/>
        </w:rPr>
      </w:pPr>
      <w:r>
        <w:rPr>
          <w:rFonts w:ascii="IBM Plex Sans" w:hAnsi="IBM Plex Sans"/>
          <w:noProof/>
        </w:rPr>
        <w:drawing>
          <wp:anchor distT="0" distB="0" distL="114300" distR="114300" simplePos="0" relativeHeight="251659264" behindDoc="0" locked="0" layoutInCell="1" allowOverlap="1" wp14:anchorId="7F912B15" wp14:editId="61B18B0A">
            <wp:simplePos x="0" y="0"/>
            <wp:positionH relativeFrom="column">
              <wp:posOffset>2882265</wp:posOffset>
            </wp:positionH>
            <wp:positionV relativeFrom="paragraph">
              <wp:posOffset>278877</wp:posOffset>
            </wp:positionV>
            <wp:extent cx="1333500" cy="313690"/>
            <wp:effectExtent l="0" t="0" r="0" b="3810"/>
            <wp:wrapNone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426">
        <w:rPr>
          <w:rFonts w:ascii="IBM Plex Sans" w:hAnsi="IBM Plex Sans"/>
        </w:rPr>
        <w:t>Information Office</w:t>
      </w:r>
    </w:p>
    <w:p w14:paraId="44AFB713" w14:textId="1B04540D" w:rsidR="00317F71" w:rsidRPr="00DA531B" w:rsidRDefault="00317F71" w:rsidP="00B16BDC">
      <w:pPr>
        <w:pStyle w:val="MyHeading3"/>
        <w:ind w:firstLine="4536"/>
        <w:rPr>
          <w:rFonts w:ascii="IBM Plex Sans" w:hAnsi="IBM Plex Sans"/>
        </w:rPr>
      </w:pPr>
    </w:p>
    <w:p w14:paraId="52852D83" w14:textId="77777777" w:rsidR="0012466A" w:rsidRDefault="0012466A" w:rsidP="0012466A">
      <w:pPr>
        <w:spacing w:after="0" w:line="240" w:lineRule="auto"/>
        <w:sectPr w:rsidR="0012466A" w:rsidSect="00B40A2E">
          <w:headerReference w:type="default" r:id="rId9"/>
          <w:footerReference w:type="default" r:id="rId10"/>
          <w:pgSz w:w="11900" w:h="16820"/>
          <w:pgMar w:top="2121" w:right="1440" w:bottom="1440" w:left="1440" w:header="709" w:footer="709" w:gutter="0"/>
          <w:cols w:space="708"/>
          <w:docGrid w:linePitch="400"/>
        </w:sectPr>
      </w:pPr>
    </w:p>
    <w:p w14:paraId="0058BCD6" w14:textId="4CD9612D" w:rsidR="00CE5D3E" w:rsidRDefault="00AE4856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General </w:t>
      </w:r>
      <w:r w:rsidR="003E3B85">
        <w:rPr>
          <w:b/>
          <w:bCs/>
          <w:lang w:val="en-US"/>
        </w:rPr>
        <w:t>i</w:t>
      </w:r>
      <w:r>
        <w:rPr>
          <w:b/>
          <w:bCs/>
          <w:lang w:val="en-US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37ED4" w14:paraId="4005440B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2E31B634" w14:textId="60660662" w:rsidR="00837ED4" w:rsidRPr="00623AD4" w:rsidRDefault="00EA0514" w:rsidP="006D37B8">
            <w:pPr>
              <w:pStyle w:val="MyTableHeader"/>
            </w:pPr>
            <w:r w:rsidRPr="00623AD4">
              <w:t xml:space="preserve">Awarding </w:t>
            </w:r>
            <w:r w:rsidR="00C362F0" w:rsidRPr="00623AD4">
              <w:t>i</w:t>
            </w:r>
            <w:r w:rsidRPr="00623AD4">
              <w:t>nsti</w:t>
            </w:r>
            <w:r w:rsidR="00C362F0" w:rsidRPr="00623AD4">
              <w:t>tute</w:t>
            </w:r>
          </w:p>
        </w:tc>
        <w:tc>
          <w:tcPr>
            <w:tcW w:w="4505" w:type="dxa"/>
            <w:vAlign w:val="center"/>
          </w:tcPr>
          <w:p w14:paraId="4427A582" w14:textId="01F43D10" w:rsidR="00837ED4" w:rsidRPr="00623AD4" w:rsidRDefault="002E7D05" w:rsidP="006D37B8">
            <w:pPr>
              <w:pStyle w:val="MyTableHeader"/>
            </w:pPr>
            <w:r>
              <w:t>Licensed under Creative Commons</w:t>
            </w:r>
          </w:p>
        </w:tc>
      </w:tr>
      <w:tr w:rsidR="00837ED4" w14:paraId="67FB6C75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25102F57" w14:textId="533DE403" w:rsidR="00837ED4" w:rsidRPr="00623AD4" w:rsidRDefault="00C362F0" w:rsidP="006D37B8">
            <w:pPr>
              <w:pStyle w:val="MyTableHeader"/>
            </w:pPr>
            <w:r w:rsidRPr="00623AD4">
              <w:t>Program name</w:t>
            </w:r>
          </w:p>
        </w:tc>
        <w:tc>
          <w:tcPr>
            <w:tcW w:w="4505" w:type="dxa"/>
            <w:vAlign w:val="center"/>
          </w:tcPr>
          <w:p w14:paraId="78F4F22C" w14:textId="7BD7202B" w:rsidR="00837ED4" w:rsidRPr="00623AD4" w:rsidRDefault="00B412B6" w:rsidP="006D37B8">
            <w:pPr>
              <w:pStyle w:val="MyTableHeader"/>
            </w:pPr>
            <w:r>
              <w:t>Material Processes and Drawing</w:t>
            </w:r>
          </w:p>
        </w:tc>
      </w:tr>
      <w:tr w:rsidR="00837ED4" w14:paraId="1B2FD5A1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337CA2B1" w14:textId="334BDDAC" w:rsidR="00837ED4" w:rsidRPr="00623AD4" w:rsidRDefault="00A1663E" w:rsidP="006D37B8">
            <w:pPr>
              <w:pStyle w:val="MyTableHeader"/>
            </w:pPr>
            <w:r w:rsidRPr="00623AD4">
              <w:t>Award</w:t>
            </w:r>
          </w:p>
        </w:tc>
        <w:tc>
          <w:tcPr>
            <w:tcW w:w="4505" w:type="dxa"/>
            <w:vAlign w:val="center"/>
          </w:tcPr>
          <w:p w14:paraId="4F7A2024" w14:textId="0B1862BE" w:rsidR="00837ED4" w:rsidRPr="00623AD4" w:rsidRDefault="00A1663E" w:rsidP="006D37B8">
            <w:pPr>
              <w:pStyle w:val="MyTableHeader"/>
            </w:pPr>
            <w:r w:rsidRPr="00623AD4">
              <w:t>Certificate</w:t>
            </w:r>
          </w:p>
        </w:tc>
      </w:tr>
      <w:tr w:rsidR="00837ED4" w14:paraId="6AFE550B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15233F15" w14:textId="142D1A20" w:rsidR="00837ED4" w:rsidRPr="00623AD4" w:rsidRDefault="00A1663E" w:rsidP="006D37B8">
            <w:pPr>
              <w:pStyle w:val="MyTableHeader"/>
            </w:pPr>
            <w:r w:rsidRPr="00623AD4">
              <w:t>Program duration</w:t>
            </w:r>
          </w:p>
        </w:tc>
        <w:tc>
          <w:tcPr>
            <w:tcW w:w="4505" w:type="dxa"/>
            <w:vAlign w:val="center"/>
          </w:tcPr>
          <w:p w14:paraId="0437C7F3" w14:textId="2AE7A4E5" w:rsidR="00837ED4" w:rsidRPr="00623AD4" w:rsidRDefault="0090467A" w:rsidP="006D37B8">
            <w:pPr>
              <w:pStyle w:val="MyTableHeader"/>
            </w:pPr>
            <w:r>
              <w:t>15 hours</w:t>
            </w:r>
          </w:p>
        </w:tc>
      </w:tr>
      <w:tr w:rsidR="00837ED4" w14:paraId="2EAB89EA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3A1187CC" w14:textId="15047BBE" w:rsidR="00837ED4" w:rsidRPr="00623AD4" w:rsidRDefault="00A1663E" w:rsidP="006D37B8">
            <w:pPr>
              <w:pStyle w:val="MyTableHeader"/>
            </w:pPr>
            <w:r w:rsidRPr="00623AD4">
              <w:t>Total UK credits</w:t>
            </w:r>
          </w:p>
        </w:tc>
        <w:tc>
          <w:tcPr>
            <w:tcW w:w="4505" w:type="dxa"/>
            <w:vAlign w:val="center"/>
          </w:tcPr>
          <w:p w14:paraId="4D93803D" w14:textId="29E58C83" w:rsidR="00837ED4" w:rsidRPr="00623AD4" w:rsidRDefault="009B3E35" w:rsidP="006D37B8">
            <w:pPr>
              <w:pStyle w:val="MyTableHeader"/>
            </w:pPr>
            <w:r>
              <w:t>1</w:t>
            </w:r>
            <w:r w:rsidR="00B412B6">
              <w:t>.</w:t>
            </w:r>
            <w:r w:rsidR="00160AC9">
              <w:t>5</w:t>
            </w:r>
          </w:p>
        </w:tc>
      </w:tr>
      <w:tr w:rsidR="00A1663E" w14:paraId="4E9D0AAB" w14:textId="77777777" w:rsidTr="006D37B8">
        <w:trPr>
          <w:cantSplit/>
          <w:trHeight w:hRule="exact" w:val="340"/>
        </w:trPr>
        <w:tc>
          <w:tcPr>
            <w:tcW w:w="4505" w:type="dxa"/>
            <w:vAlign w:val="center"/>
          </w:tcPr>
          <w:p w14:paraId="74E5CAC0" w14:textId="53D5E82B" w:rsidR="00A1663E" w:rsidRPr="00623AD4" w:rsidRDefault="000172B7" w:rsidP="006D37B8">
            <w:pPr>
              <w:pStyle w:val="MyTableHeader"/>
            </w:pPr>
            <w:r w:rsidRPr="00623AD4">
              <w:t>Mode of study</w:t>
            </w:r>
          </w:p>
        </w:tc>
        <w:tc>
          <w:tcPr>
            <w:tcW w:w="4505" w:type="dxa"/>
            <w:vAlign w:val="center"/>
          </w:tcPr>
          <w:p w14:paraId="2EA016F2" w14:textId="2F75B968" w:rsidR="00A1663E" w:rsidRPr="00623AD4" w:rsidRDefault="000172B7" w:rsidP="006D37B8">
            <w:pPr>
              <w:pStyle w:val="MyTableHeader"/>
            </w:pPr>
            <w:r w:rsidRPr="00623AD4">
              <w:t>Part</w:t>
            </w:r>
            <w:r w:rsidR="001B7253">
              <w:t xml:space="preserve"> </w:t>
            </w:r>
            <w:r w:rsidRPr="00623AD4">
              <w:t>time</w:t>
            </w:r>
          </w:p>
        </w:tc>
      </w:tr>
    </w:tbl>
    <w:p w14:paraId="57092A2A" w14:textId="77777777" w:rsidR="00837ED4" w:rsidRPr="00837ED4" w:rsidRDefault="00837ED4" w:rsidP="00837ED4">
      <w:pPr>
        <w:pStyle w:val="MyNormal"/>
      </w:pPr>
    </w:p>
    <w:p w14:paraId="5CACCF0A" w14:textId="0EFAA25C" w:rsidR="00AE4856" w:rsidRDefault="007A1CE7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r w:rsidR="003E3B85">
        <w:rPr>
          <w:b/>
          <w:bCs/>
          <w:lang w:val="en-US"/>
        </w:rPr>
        <w:t>p</w:t>
      </w:r>
      <w:r>
        <w:rPr>
          <w:b/>
          <w:bCs/>
          <w:lang w:val="en-US"/>
        </w:rPr>
        <w:t>hilosophy</w:t>
      </w:r>
    </w:p>
    <w:p w14:paraId="52D31833" w14:textId="4C36D34D" w:rsidR="00D56D59" w:rsidRPr="006A2DE9" w:rsidRDefault="00D56D59" w:rsidP="00AE30E2">
      <w:pPr>
        <w:pStyle w:val="MyNormal"/>
      </w:pPr>
      <w:r w:rsidRPr="00AE30E2">
        <w:t xml:space="preserve">Materials, Processes and Drawing </w:t>
      </w:r>
      <w:r w:rsidRPr="006A2DE9">
        <w:t>aims to introduce students to the practice of being a designer</w:t>
      </w:r>
      <w:r w:rsidR="00F84F6E">
        <w:t xml:space="preserve"> through</w:t>
      </w:r>
      <w:r w:rsidR="006A5145">
        <w:t xml:space="preserve"> guided independent study</w:t>
      </w:r>
      <w:r w:rsidRPr="006A2DE9">
        <w:t>.</w:t>
      </w:r>
      <w:r w:rsidR="00620C18" w:rsidRPr="00AE30E2">
        <w:t xml:space="preserve"> </w:t>
      </w:r>
      <w:r w:rsidR="006A5145">
        <w:t>Using e</w:t>
      </w:r>
      <w:r w:rsidR="00620C18" w:rsidRPr="00AE30E2">
        <w:t>mbedded technical skills rather than specialisation learning</w:t>
      </w:r>
      <w:r w:rsidR="006A5145">
        <w:t xml:space="preserve">, </w:t>
      </w:r>
      <w:r w:rsidR="00A15F29">
        <w:t>t</w:t>
      </w:r>
      <w:r w:rsidR="00817D28">
        <w:t xml:space="preserve">his course </w:t>
      </w:r>
      <w:r w:rsidR="00A15F29">
        <w:t>i</w:t>
      </w:r>
      <w:r w:rsidR="00817D28">
        <w:t>s</w:t>
      </w:r>
      <w:r w:rsidR="00A15F29">
        <w:t xml:space="preserve"> </w:t>
      </w:r>
      <w:r w:rsidR="00817D28">
        <w:rPr>
          <w:lang w:val="en-US"/>
        </w:rPr>
        <w:t>a</w:t>
      </w:r>
      <w:r w:rsidR="00817D28" w:rsidRPr="00817D28">
        <w:rPr>
          <w:lang w:val="en-US"/>
        </w:rPr>
        <w:t xml:space="preserve"> great choice for </w:t>
      </w:r>
      <w:r w:rsidR="00423F52">
        <w:rPr>
          <w:lang w:val="en-US"/>
        </w:rPr>
        <w:t xml:space="preserve">foundation </w:t>
      </w:r>
      <w:r w:rsidR="00817D28" w:rsidRPr="00817D28">
        <w:rPr>
          <w:lang w:val="en-US"/>
        </w:rPr>
        <w:t>students</w:t>
      </w:r>
      <w:r w:rsidR="00BA15AE">
        <w:rPr>
          <w:lang w:val="en-US"/>
        </w:rPr>
        <w:t xml:space="preserve"> or school leavers</w:t>
      </w:r>
      <w:r w:rsidR="00817D28" w:rsidRPr="00817D28">
        <w:rPr>
          <w:lang w:val="en-US"/>
        </w:rPr>
        <w:t xml:space="preserve"> to express themselves </w:t>
      </w:r>
      <w:r w:rsidR="008E76D5" w:rsidRPr="00817D28">
        <w:rPr>
          <w:lang w:val="en-US"/>
        </w:rPr>
        <w:t>creatively and</w:t>
      </w:r>
      <w:r w:rsidR="00817D28" w:rsidRPr="00817D28">
        <w:rPr>
          <w:lang w:val="en-US"/>
        </w:rPr>
        <w:t xml:space="preserve"> produce a piece of work </w:t>
      </w:r>
      <w:r w:rsidR="003368AD">
        <w:rPr>
          <w:lang w:val="en-US"/>
        </w:rPr>
        <w:t>that has purpose</w:t>
      </w:r>
      <w:r w:rsidR="000217D7">
        <w:rPr>
          <w:lang w:val="en-US"/>
        </w:rPr>
        <w:t>–</w:t>
      </w:r>
      <w:r w:rsidR="003368AD">
        <w:rPr>
          <w:lang w:val="en-US"/>
        </w:rPr>
        <w:t>either for themselves or</w:t>
      </w:r>
      <w:r w:rsidR="00817D28" w:rsidRPr="00817D28">
        <w:rPr>
          <w:lang w:val="en-US"/>
        </w:rPr>
        <w:t xml:space="preserve"> someone else.</w:t>
      </w:r>
      <w:r w:rsidR="00620C18" w:rsidRPr="00AE30E2">
        <w:t xml:space="preserve"> </w:t>
      </w:r>
    </w:p>
    <w:p w14:paraId="03C1AD00" w14:textId="6A724510" w:rsidR="004F1464" w:rsidRDefault="007A1CE7" w:rsidP="00A45CEF">
      <w:pPr>
        <w:pStyle w:val="MyNormal"/>
        <w:rPr>
          <w:b/>
          <w:bCs/>
          <w:lang w:val="en-US"/>
        </w:rPr>
      </w:pPr>
      <w:r>
        <w:rPr>
          <w:b/>
          <w:bCs/>
          <w:lang w:val="en-US"/>
        </w:rPr>
        <w:t xml:space="preserve">Educational </w:t>
      </w:r>
      <w:r w:rsidR="003E3B8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ims and </w:t>
      </w:r>
      <w:r w:rsidR="003E3B8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earning </w:t>
      </w:r>
      <w:r w:rsidR="003E3B85">
        <w:rPr>
          <w:b/>
          <w:bCs/>
          <w:lang w:val="en-US"/>
        </w:rPr>
        <w:t>o</w:t>
      </w:r>
      <w:r>
        <w:rPr>
          <w:b/>
          <w:bCs/>
          <w:lang w:val="en-US"/>
        </w:rPr>
        <w:t xml:space="preserve">utcomes of the </w:t>
      </w:r>
      <w:r w:rsidR="003E3B85">
        <w:rPr>
          <w:b/>
          <w:bCs/>
          <w:lang w:val="en-US"/>
        </w:rPr>
        <w:t>p</w:t>
      </w:r>
      <w:r>
        <w:rPr>
          <w:b/>
          <w:bCs/>
          <w:lang w:val="en-US"/>
        </w:rPr>
        <w:t>rogram</w:t>
      </w:r>
    </w:p>
    <w:p w14:paraId="23F34558" w14:textId="77777777" w:rsidR="00904DA6" w:rsidRDefault="00904DA6" w:rsidP="000217D7">
      <w:pPr>
        <w:pStyle w:val="MyNormal"/>
      </w:pPr>
      <w:r>
        <w:t>Your course is free of charge, and will always be, because we want to help you develop a career.</w:t>
      </w:r>
    </w:p>
    <w:p w14:paraId="62C5612C" w14:textId="7A18C966" w:rsidR="000217D7" w:rsidRPr="006A2DE9" w:rsidRDefault="00AC21CB" w:rsidP="000217D7">
      <w:pPr>
        <w:pStyle w:val="MyNormal"/>
      </w:pPr>
      <w:r>
        <w:t xml:space="preserve">This short course is </w:t>
      </w:r>
      <w:r w:rsidR="00BA15AE">
        <w:t>e</w:t>
      </w:r>
      <w:r w:rsidR="00063663">
        <w:t xml:space="preserve">quivalent to one unit of </w:t>
      </w:r>
      <w:r w:rsidR="00290DE0">
        <w:t xml:space="preserve">learning, either on </w:t>
      </w:r>
      <w:r w:rsidR="00063663">
        <w:t>a</w:t>
      </w:r>
      <w:r w:rsidR="00093285">
        <w:t xml:space="preserve"> UK</w:t>
      </w:r>
      <w:r w:rsidR="00063663">
        <w:t xml:space="preserve"> foundation course</w:t>
      </w:r>
      <w:r w:rsidR="00290DE0">
        <w:t>,</w:t>
      </w:r>
      <w:r w:rsidR="00063663">
        <w:t xml:space="preserve"> </w:t>
      </w:r>
      <w:r w:rsidR="00885484">
        <w:t>IB diploma program</w:t>
      </w:r>
      <w:r w:rsidR="00093285">
        <w:t>, or equivalent</w:t>
      </w:r>
      <w:r w:rsidR="00063663">
        <w:t xml:space="preserve">. </w:t>
      </w:r>
      <w:r w:rsidR="00A25E86">
        <w:t>You do not</w:t>
      </w:r>
      <w:r w:rsidR="00C324C0">
        <w:t xml:space="preserve"> necessarily</w:t>
      </w:r>
      <w:r w:rsidR="00A25E86">
        <w:t xml:space="preserve"> need to have any prior </w:t>
      </w:r>
      <w:r w:rsidR="00C324C0">
        <w:t>knowledge</w:t>
      </w:r>
      <w:r w:rsidR="00A25E86">
        <w:t xml:space="preserve"> of what design is, or what design does. </w:t>
      </w:r>
      <w:r w:rsidR="00855698">
        <w:t>The final outcome</w:t>
      </w:r>
      <w:r w:rsidR="00C324C0">
        <w:t xml:space="preserve"> </w:t>
      </w:r>
      <w:r w:rsidR="00A03459">
        <w:t xml:space="preserve">of your work </w:t>
      </w:r>
      <w:r w:rsidR="00D2319C">
        <w:t xml:space="preserve">can be used as an </w:t>
      </w:r>
      <w:r w:rsidR="00A03459">
        <w:t>example</w:t>
      </w:r>
      <w:r w:rsidR="00D2319C">
        <w:t xml:space="preserve"> of portfolio </w:t>
      </w:r>
      <w:r w:rsidR="000217D7" w:rsidRPr="00AE30E2">
        <w:t xml:space="preserve">for </w:t>
      </w:r>
      <w:r w:rsidR="003317A2">
        <w:t>you</w:t>
      </w:r>
      <w:r w:rsidR="000217D7" w:rsidRPr="00AE30E2">
        <w:t xml:space="preserve"> to </w:t>
      </w:r>
      <w:r w:rsidR="00290FEE">
        <w:t xml:space="preserve">start </w:t>
      </w:r>
      <w:r w:rsidR="00AB212A">
        <w:t>your</w:t>
      </w:r>
      <w:r w:rsidR="00290FEE">
        <w:t xml:space="preserve"> journey in design</w:t>
      </w:r>
      <w:r w:rsidR="00A03459">
        <w:t xml:space="preserve"> with the fundamental principles</w:t>
      </w:r>
      <w:r w:rsidR="00D1582B">
        <w:t xml:space="preserve"> of de</w:t>
      </w:r>
      <w:r w:rsidR="00920AFA">
        <w:t>s</w:t>
      </w:r>
      <w:r w:rsidR="00D1582B">
        <w:t>ign skills and methods</w:t>
      </w:r>
      <w:r w:rsidR="00A03459">
        <w:t xml:space="preserve"> in place</w:t>
      </w:r>
      <w:r w:rsidR="000217D7" w:rsidRPr="00AE30E2">
        <w:t>.</w:t>
      </w:r>
      <w:r w:rsidR="00E2518F"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87F0D" w14:paraId="3CA9F6A3" w14:textId="77777777" w:rsidTr="00F87F0D">
        <w:trPr>
          <w:cantSplit/>
          <w:trHeight w:hRule="exact" w:val="340"/>
        </w:trPr>
        <w:tc>
          <w:tcPr>
            <w:tcW w:w="1129" w:type="dxa"/>
            <w:vAlign w:val="center"/>
          </w:tcPr>
          <w:p w14:paraId="0937CE69" w14:textId="06620498" w:rsidR="00F87F0D" w:rsidRPr="007A6266" w:rsidRDefault="00F87F0D" w:rsidP="00C66093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>Ability</w:t>
            </w:r>
          </w:p>
        </w:tc>
        <w:tc>
          <w:tcPr>
            <w:tcW w:w="7938" w:type="dxa"/>
            <w:vAlign w:val="center"/>
          </w:tcPr>
          <w:p w14:paraId="51019D9A" w14:textId="63A0316A" w:rsidR="00F87F0D" w:rsidRPr="007A6266" w:rsidRDefault="00F87F0D" w:rsidP="00A734ED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>Intellectual engagement</w:t>
            </w:r>
          </w:p>
        </w:tc>
      </w:tr>
      <w:tr w:rsidR="00F87F0D" w14:paraId="4A9E0E9A" w14:textId="77777777" w:rsidTr="00446FCF">
        <w:trPr>
          <w:cantSplit/>
          <w:trHeight w:hRule="exact" w:val="625"/>
        </w:trPr>
        <w:tc>
          <w:tcPr>
            <w:tcW w:w="1129" w:type="dxa"/>
            <w:vAlign w:val="center"/>
          </w:tcPr>
          <w:p w14:paraId="5F67A55A" w14:textId="6232A059" w:rsidR="00F87F0D" w:rsidRPr="00623AD4" w:rsidRDefault="002D4762" w:rsidP="00446FCF">
            <w:pPr>
              <w:pStyle w:val="MyTableHeader"/>
            </w:pPr>
            <w:r>
              <w:t>A1</w:t>
            </w:r>
          </w:p>
        </w:tc>
        <w:tc>
          <w:tcPr>
            <w:tcW w:w="7938" w:type="dxa"/>
            <w:vAlign w:val="center"/>
          </w:tcPr>
          <w:p w14:paraId="679C226D" w14:textId="22AD3CEA" w:rsidR="00F87F0D" w:rsidRPr="00623AD4" w:rsidRDefault="008647CE" w:rsidP="00446FCF">
            <w:pPr>
              <w:pStyle w:val="MyTableHeader"/>
            </w:pPr>
            <w:r>
              <w:t xml:space="preserve">Demonstrate </w:t>
            </w:r>
            <w:r w:rsidR="00855698">
              <w:t>design</w:t>
            </w:r>
            <w:r w:rsidR="00F239D1">
              <w:t xml:space="preserve"> discourse</w:t>
            </w:r>
            <w:r>
              <w:t xml:space="preserve"> through</w:t>
            </w:r>
            <w:r w:rsidR="00BE1FA0">
              <w:t xml:space="preserve"> critical engagement and </w:t>
            </w:r>
            <w:r w:rsidR="000E5A2D">
              <w:br/>
              <w:t>self-</w:t>
            </w:r>
            <w:r w:rsidR="00BE1FA0">
              <w:t>reflection.</w:t>
            </w:r>
          </w:p>
        </w:tc>
      </w:tr>
    </w:tbl>
    <w:p w14:paraId="1A9F017E" w14:textId="45FA3C94" w:rsidR="003B3309" w:rsidRPr="00F97B16" w:rsidRDefault="003B3309" w:rsidP="00F97B16">
      <w:pPr>
        <w:spacing w:after="0" w:line="240" w:lineRule="auto"/>
        <w:rPr>
          <w:rFonts w:ascii="IBM Plex Sans" w:eastAsiaTheme="minorHAnsi" w:hAnsi="IBM Plex San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87F0D" w14:paraId="38E4549B" w14:textId="77777777" w:rsidTr="005716F5">
        <w:trPr>
          <w:cantSplit/>
          <w:trHeight w:val="340"/>
        </w:trPr>
        <w:tc>
          <w:tcPr>
            <w:tcW w:w="1129" w:type="dxa"/>
          </w:tcPr>
          <w:p w14:paraId="10DADF78" w14:textId="77777777" w:rsidR="00F87F0D" w:rsidRPr="007A6266" w:rsidRDefault="00F87F0D" w:rsidP="00C66093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>Ability</w:t>
            </w:r>
          </w:p>
        </w:tc>
        <w:tc>
          <w:tcPr>
            <w:tcW w:w="7938" w:type="dxa"/>
          </w:tcPr>
          <w:p w14:paraId="37BBC0E8" w14:textId="31A76FEE" w:rsidR="00F87F0D" w:rsidRPr="007A6266" w:rsidRDefault="00FA14A5" w:rsidP="00A734ED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>Technical skills</w:t>
            </w:r>
          </w:p>
        </w:tc>
      </w:tr>
      <w:tr w:rsidR="00F87F0D" w14:paraId="40DC8074" w14:textId="77777777" w:rsidTr="00004E30">
        <w:trPr>
          <w:cantSplit/>
          <w:trHeight w:val="588"/>
        </w:trPr>
        <w:tc>
          <w:tcPr>
            <w:tcW w:w="1129" w:type="dxa"/>
            <w:vAlign w:val="center"/>
          </w:tcPr>
          <w:p w14:paraId="2A8E8D5C" w14:textId="0748F75D" w:rsidR="00F87F0D" w:rsidRPr="00623AD4" w:rsidRDefault="002D4762" w:rsidP="00004E30">
            <w:pPr>
              <w:pStyle w:val="MyTableHeader"/>
            </w:pPr>
            <w:r>
              <w:t>B1</w:t>
            </w:r>
          </w:p>
        </w:tc>
        <w:tc>
          <w:tcPr>
            <w:tcW w:w="7938" w:type="dxa"/>
            <w:vAlign w:val="center"/>
          </w:tcPr>
          <w:p w14:paraId="39D1CE1A" w14:textId="2FA5150D" w:rsidR="00F87F0D" w:rsidRPr="00623AD4" w:rsidRDefault="00911F72" w:rsidP="00004E30">
            <w:pPr>
              <w:pStyle w:val="MyTableHeader"/>
            </w:pPr>
            <w:r>
              <w:t>Demonstrate a</w:t>
            </w:r>
            <w:r w:rsidR="0050253B">
              <w:t xml:space="preserve"> </w:t>
            </w:r>
            <w:r>
              <w:t xml:space="preserve">competency in </w:t>
            </w:r>
            <w:r w:rsidR="008E1A51">
              <w:t xml:space="preserve">materials, processes, </w:t>
            </w:r>
            <w:r w:rsidR="00374076">
              <w:t>drawing</w:t>
            </w:r>
            <w:r>
              <w:t xml:space="preserve"> and techniques aligned to those in </w:t>
            </w:r>
            <w:r w:rsidR="0050253B">
              <w:t xml:space="preserve">design </w:t>
            </w:r>
            <w:r w:rsidR="00787FD0">
              <w:t xml:space="preserve">higher </w:t>
            </w:r>
            <w:r w:rsidR="00374076">
              <w:t xml:space="preserve">education and </w:t>
            </w:r>
            <w:r>
              <w:t>industry.</w:t>
            </w:r>
          </w:p>
        </w:tc>
      </w:tr>
    </w:tbl>
    <w:p w14:paraId="5CDA487D" w14:textId="0FFFDA4C" w:rsidR="003B3309" w:rsidRDefault="003B3309" w:rsidP="00FE0D35">
      <w:pPr>
        <w:pStyle w:val="MyNormal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A14A5" w14:paraId="03C96064" w14:textId="77777777" w:rsidTr="00A734ED">
        <w:trPr>
          <w:cantSplit/>
          <w:trHeight w:hRule="exact" w:val="340"/>
        </w:trPr>
        <w:tc>
          <w:tcPr>
            <w:tcW w:w="1129" w:type="dxa"/>
            <w:vAlign w:val="center"/>
          </w:tcPr>
          <w:p w14:paraId="231F5F5C" w14:textId="77777777" w:rsidR="00FA14A5" w:rsidRPr="007A6266" w:rsidRDefault="00FA14A5" w:rsidP="00C66093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>Ability</w:t>
            </w:r>
          </w:p>
        </w:tc>
        <w:tc>
          <w:tcPr>
            <w:tcW w:w="7938" w:type="dxa"/>
            <w:vAlign w:val="center"/>
          </w:tcPr>
          <w:p w14:paraId="059A194D" w14:textId="3FF8BE62" w:rsidR="00FA14A5" w:rsidRPr="007A6266" w:rsidRDefault="002B381D" w:rsidP="00A734ED">
            <w:pPr>
              <w:pStyle w:val="MyTableHeader"/>
              <w:rPr>
                <w:rFonts w:ascii="IBM Plex Sans SemiBold" w:hAnsi="IBM Plex Sans SemiBold"/>
                <w:b/>
                <w:bCs/>
              </w:rPr>
            </w:pPr>
            <w:r>
              <w:rPr>
                <w:rFonts w:ascii="IBM Plex Sans SemiBold" w:hAnsi="IBM Plex Sans SemiBold"/>
                <w:b/>
                <w:bCs/>
              </w:rPr>
              <w:t xml:space="preserve">Professional </w:t>
            </w:r>
            <w:r w:rsidR="00932A8F">
              <w:rPr>
                <w:rFonts w:ascii="IBM Plex Sans SemiBold" w:hAnsi="IBM Plex Sans SemiBold"/>
                <w:b/>
                <w:bCs/>
              </w:rPr>
              <w:t>d</w:t>
            </w:r>
            <w:r>
              <w:rPr>
                <w:rFonts w:ascii="IBM Plex Sans SemiBold" w:hAnsi="IBM Plex Sans SemiBold"/>
                <w:b/>
                <w:bCs/>
              </w:rPr>
              <w:t>evelopment</w:t>
            </w:r>
          </w:p>
        </w:tc>
      </w:tr>
      <w:tr w:rsidR="00FA14A5" w14:paraId="6FC0F58F" w14:textId="77777777" w:rsidTr="00374076">
        <w:trPr>
          <w:cantSplit/>
          <w:trHeight w:hRule="exact" w:val="392"/>
        </w:trPr>
        <w:tc>
          <w:tcPr>
            <w:tcW w:w="1129" w:type="dxa"/>
            <w:vAlign w:val="center"/>
          </w:tcPr>
          <w:p w14:paraId="5F837F65" w14:textId="29FC1EB9" w:rsidR="00FA14A5" w:rsidRPr="00623AD4" w:rsidRDefault="002D4762" w:rsidP="00374076">
            <w:pPr>
              <w:pStyle w:val="MyTableHeader"/>
            </w:pPr>
            <w:r>
              <w:t>C1</w:t>
            </w:r>
          </w:p>
        </w:tc>
        <w:tc>
          <w:tcPr>
            <w:tcW w:w="7938" w:type="dxa"/>
            <w:vAlign w:val="center"/>
          </w:tcPr>
          <w:p w14:paraId="52BB1FD4" w14:textId="7258686A" w:rsidR="00FA14A5" w:rsidRPr="00623AD4" w:rsidRDefault="009F439A" w:rsidP="00374076">
            <w:pPr>
              <w:pStyle w:val="MyTableHeader"/>
            </w:pPr>
            <w:r>
              <w:t xml:space="preserve">Demonstrate a commitment to excellence throughout the </w:t>
            </w:r>
            <w:r w:rsidR="00A028B6">
              <w:t>learning experience</w:t>
            </w:r>
            <w:r w:rsidR="004C2C79">
              <w:t>.</w:t>
            </w:r>
          </w:p>
        </w:tc>
      </w:tr>
    </w:tbl>
    <w:p w14:paraId="6BF31506" w14:textId="4828BCAE" w:rsidR="000B7102" w:rsidRDefault="000B7102" w:rsidP="00FE0D35">
      <w:pPr>
        <w:pStyle w:val="MyNormal"/>
      </w:pPr>
    </w:p>
    <w:p w14:paraId="37CFBCE5" w14:textId="0C219D61" w:rsidR="00B54FE2" w:rsidRDefault="00B54FE2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What will I learn?</w:t>
      </w:r>
    </w:p>
    <w:p w14:paraId="009F5C0C" w14:textId="391A073C" w:rsidR="00CC53C2" w:rsidRDefault="00B053BB" w:rsidP="00CC53C2">
      <w:pPr>
        <w:pStyle w:val="MyNormal"/>
      </w:pPr>
      <w:r>
        <w:t xml:space="preserve">You will receive ‘the brief’ in your first learning unit and </w:t>
      </w:r>
      <w:r w:rsidR="004346C0">
        <w:t xml:space="preserve">develop your design skills through making and doing various </w:t>
      </w:r>
      <w:r w:rsidR="00F0035A">
        <w:t>a</w:t>
      </w:r>
      <w:r w:rsidR="00EA39F1">
        <w:t>s</w:t>
      </w:r>
      <w:r w:rsidR="00F0035A">
        <w:t>signments</w:t>
      </w:r>
      <w:r w:rsidR="004346C0">
        <w:t xml:space="preserve"> with materials that are readily </w:t>
      </w:r>
      <w:r w:rsidR="00F0035A">
        <w:t xml:space="preserve">available locally. </w:t>
      </w:r>
      <w:r w:rsidR="00C81091">
        <w:t xml:space="preserve">There are a few </w:t>
      </w:r>
      <w:r w:rsidR="00EA39F1">
        <w:t xml:space="preserve">other basic </w:t>
      </w:r>
      <w:r w:rsidR="00C81091">
        <w:t xml:space="preserve">materials you will </w:t>
      </w:r>
      <w:r w:rsidR="00C73AD4">
        <w:t xml:space="preserve">also </w:t>
      </w:r>
      <w:r w:rsidR="00C81091">
        <w:t xml:space="preserve">need to gather </w:t>
      </w:r>
      <w:r w:rsidR="00C81091">
        <w:lastRenderedPageBreak/>
        <w:t>for this project; a small sketchbook</w:t>
      </w:r>
      <w:r w:rsidR="00EA39F1">
        <w:t xml:space="preserve">, </w:t>
      </w:r>
      <w:r w:rsidR="00603C35">
        <w:t xml:space="preserve">a </w:t>
      </w:r>
      <w:r w:rsidR="004F1D80">
        <w:t>few drawing pens and pencils</w:t>
      </w:r>
      <w:r w:rsidR="00EA39F1">
        <w:t>, some scissors, and glue.</w:t>
      </w:r>
    </w:p>
    <w:p w14:paraId="06DB3E21" w14:textId="5A78F83C" w:rsidR="00EA39F1" w:rsidRDefault="0011293B" w:rsidP="00CC53C2">
      <w:pPr>
        <w:pStyle w:val="MyNormal"/>
      </w:pPr>
      <w:r>
        <w:t xml:space="preserve">Each week you </w:t>
      </w:r>
      <w:r w:rsidR="00266E5A">
        <w:t xml:space="preserve">will </w:t>
      </w:r>
      <w:r>
        <w:t xml:space="preserve">be </w:t>
      </w:r>
      <w:r w:rsidR="00266E5A">
        <w:t xml:space="preserve">asked to reflect on your learning </w:t>
      </w:r>
      <w:r w:rsidR="009E12F6">
        <w:t>in</w:t>
      </w:r>
      <w:r w:rsidR="00266E5A">
        <w:t xml:space="preserve"> your sketchbook</w:t>
      </w:r>
      <w:r>
        <w:t>, either with drawings or writing, or mixed media</w:t>
      </w:r>
      <w:r w:rsidR="00266E5A">
        <w:t xml:space="preserve"> </w:t>
      </w:r>
      <w:r w:rsidR="009E12F6">
        <w:t>journaling</w:t>
      </w:r>
      <w:r w:rsidR="00266E5A">
        <w:t>.</w:t>
      </w:r>
      <w:r w:rsidR="009E12F6">
        <w:t xml:space="preserve"> This </w:t>
      </w:r>
      <w:r w:rsidR="00A54D48">
        <w:t>process of learning</w:t>
      </w:r>
      <w:r w:rsidR="009E12F6">
        <w:t xml:space="preserve"> is </w:t>
      </w:r>
      <w:r w:rsidR="00A54D48">
        <w:t>constructively</w:t>
      </w:r>
      <w:r w:rsidR="009E12F6">
        <w:t xml:space="preserve"> aligned to a </w:t>
      </w:r>
      <w:r w:rsidR="00A54D48">
        <w:t xml:space="preserve">first unit, </w:t>
      </w:r>
      <w:r w:rsidR="009E12F6">
        <w:t xml:space="preserve">first year </w:t>
      </w:r>
      <w:r w:rsidR="005D7465">
        <w:t>higher education</w:t>
      </w:r>
      <w:r w:rsidR="00A54D48">
        <w:t xml:space="preserve"> design </w:t>
      </w:r>
      <w:r w:rsidR="000E5F02">
        <w:t>module</w:t>
      </w:r>
      <w:r w:rsidR="005D7465">
        <w:t>, and the professional practice of design, using ‘the crit’ to discuss work in progress.</w:t>
      </w:r>
      <w:r w:rsidR="00276F9F">
        <w:t xml:space="preserve"> The outcome of this is to prepare you </w:t>
      </w:r>
      <w:r w:rsidR="00F31949">
        <w:t>to apply</w:t>
      </w:r>
      <w:r w:rsidR="00276F9F">
        <w:t xml:space="preserve"> for a </w:t>
      </w:r>
      <w:r w:rsidR="005D7D16">
        <w:t>degree or</w:t>
      </w:r>
      <w:r w:rsidR="00276F9F">
        <w:t xml:space="preserve"> </w:t>
      </w:r>
      <w:r w:rsidR="005A512E">
        <w:t>prepare for employment as a junior designer.</w:t>
      </w:r>
    </w:p>
    <w:p w14:paraId="6DD7F87A" w14:textId="77777777" w:rsidR="00CE6DAC" w:rsidRPr="00CC53C2" w:rsidRDefault="00CE6DAC" w:rsidP="00CC53C2">
      <w:pPr>
        <w:pStyle w:val="MyNormal"/>
      </w:pPr>
    </w:p>
    <w:p w14:paraId="66CC6013" w14:textId="23C4A498" w:rsidR="00CE6DAC" w:rsidRDefault="00CE6DAC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Curriculum Summary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0E5756" w14:paraId="7A2A2D69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47603665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Insight Development</w:t>
            </w:r>
          </w:p>
        </w:tc>
        <w:tc>
          <w:tcPr>
            <w:tcW w:w="5471" w:type="dxa"/>
            <w:vAlign w:val="center"/>
          </w:tcPr>
          <w:p w14:paraId="5113A83E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0E5756" w14:paraId="56F3408A" w14:textId="77777777" w:rsidTr="00B47246">
        <w:trPr>
          <w:trHeight w:val="2393"/>
        </w:trPr>
        <w:tc>
          <w:tcPr>
            <w:tcW w:w="3539" w:type="dxa"/>
            <w:vAlign w:val="center"/>
          </w:tcPr>
          <w:p w14:paraId="3F1CFBA6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Common Basic Framework Tier: 1</w:t>
            </w:r>
          </w:p>
          <w:p w14:paraId="55EED55D" w14:textId="32553AA9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Credits: 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0.3</w:t>
            </w:r>
          </w:p>
          <w:p w14:paraId="467C2441" w14:textId="59C91C12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Study hours: 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3</w:t>
            </w:r>
          </w:p>
          <w:p w14:paraId="2387B8CB" w14:textId="1A785A49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Contact hours: 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0</w:t>
            </w:r>
          </w:p>
          <w:p w14:paraId="28C8FBCB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671A6CF0" w14:textId="77777777" w:rsidR="000E5756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0E5756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Materials, processes and drawing inquiry</w:t>
            </w:r>
            <w:r w:rsidRPr="000E5756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1171F8F6" w14:textId="369E094D" w:rsidR="000E5756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Project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1</w:t>
            </w:r>
          </w:p>
          <w:p w14:paraId="039F57D3" w14:textId="77777777" w:rsidR="000E5756" w:rsidRPr="000E5756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</w:pPr>
            <w:bookmarkStart w:id="0" w:name="_Toc61523952"/>
            <w:r w:rsidRPr="000E5756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Personal development plan (PDP)</w:t>
            </w:r>
            <w:bookmarkEnd w:id="0"/>
          </w:p>
          <w:p w14:paraId="37D164BE" w14:textId="429727A1" w:rsidR="000E5756" w:rsidRPr="00BF5F5D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</w:pPr>
            <w:r w:rsidRPr="00BF5F5D"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>Research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>ing, recording and responding</w:t>
            </w:r>
          </w:p>
          <w:p w14:paraId="7712A210" w14:textId="5C61ED71" w:rsidR="000E5756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>Project 2</w:t>
            </w:r>
          </w:p>
          <w:p w14:paraId="20E0463C" w14:textId="7D863E4E" w:rsidR="000E5756" w:rsidRDefault="000E5756" w:rsidP="000E575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Journaling using a sketchbook</w:t>
            </w:r>
          </w:p>
        </w:tc>
      </w:tr>
    </w:tbl>
    <w:p w14:paraId="32898AA9" w14:textId="3E3DBF7C" w:rsidR="00F74455" w:rsidRDefault="00F74455" w:rsidP="00502A16">
      <w:pPr>
        <w:pStyle w:val="Footer"/>
        <w:rPr>
          <w:lang w:val="en-US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0E5756" w14:paraId="62BACB2B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407A11A1" w14:textId="4D0F8A2A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0E5756">
              <w:rPr>
                <w:rFonts w:ascii="IBM Plex Sans SemiBold" w:eastAsia="IBM Plex Sans SemiBold" w:hAnsi="IBM Plex Sans SemiBold" w:cs="IBM Plex Sans SemiBold"/>
                <w:b/>
                <w:bCs/>
                <w:color w:val="000000"/>
                <w:sz w:val="21"/>
                <w:szCs w:val="21"/>
                <w:lang w:val="en-US"/>
              </w:rPr>
              <w:t>Experience and Imagination</w:t>
            </w:r>
          </w:p>
        </w:tc>
        <w:tc>
          <w:tcPr>
            <w:tcW w:w="5471" w:type="dxa"/>
            <w:vAlign w:val="center"/>
          </w:tcPr>
          <w:p w14:paraId="26032BFA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0E5756" w14:paraId="4A98D5DC" w14:textId="77777777" w:rsidTr="00B47246">
        <w:trPr>
          <w:trHeight w:val="2393"/>
        </w:trPr>
        <w:tc>
          <w:tcPr>
            <w:tcW w:w="3539" w:type="dxa"/>
            <w:vAlign w:val="center"/>
          </w:tcPr>
          <w:p w14:paraId="3311170D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Common Basic Framework Tier: 1</w:t>
            </w:r>
          </w:p>
          <w:p w14:paraId="31AE0CD0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Credits: 0.3</w:t>
            </w:r>
          </w:p>
          <w:p w14:paraId="7D2E5F26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Study hours: 3</w:t>
            </w:r>
          </w:p>
          <w:p w14:paraId="770541F7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Contact hours: 0</w:t>
            </w:r>
          </w:p>
          <w:p w14:paraId="1FC0A907" w14:textId="77777777" w:rsidR="000E5756" w:rsidRDefault="000E5756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5A1C6F58" w14:textId="77777777" w:rsidR="003F7E6B" w:rsidRDefault="003F7E6B" w:rsidP="000E57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3F7E6B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Design principles I: What design can do, what design should do</w:t>
            </w:r>
            <w:r w:rsidRPr="003F7E6B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3DEBE797" w14:textId="0030B8F0" w:rsidR="000E5756" w:rsidRDefault="003F7E6B" w:rsidP="000E57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Final Project</w:t>
            </w:r>
          </w:p>
          <w:p w14:paraId="1E20580F" w14:textId="0BD9B82B" w:rsidR="000E5756" w:rsidRPr="000E5756" w:rsidRDefault="00701F45" w:rsidP="000E57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Using reference material</w:t>
            </w:r>
          </w:p>
          <w:p w14:paraId="7692464D" w14:textId="77777777" w:rsidR="00701F45" w:rsidRPr="00701F45" w:rsidRDefault="00701F45" w:rsidP="000E57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" w:name="_Toc61523964"/>
            <w:r w:rsidRPr="00701F45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Design principles II: Drawing and making techniques</w:t>
            </w:r>
            <w:bookmarkEnd w:id="1"/>
            <w:r w:rsidRPr="00701F45"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 xml:space="preserve"> </w:t>
            </w:r>
          </w:p>
          <w:p w14:paraId="0DB7432D" w14:textId="462D9BB0" w:rsidR="000E5756" w:rsidRDefault="00701F45" w:rsidP="000E57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2" w:name="_Toc61523966"/>
            <w:r w:rsidRPr="00701F45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Art, design and craft</w:t>
            </w:r>
            <w:bookmarkEnd w:id="2"/>
          </w:p>
        </w:tc>
      </w:tr>
    </w:tbl>
    <w:p w14:paraId="34390ACE" w14:textId="720D160C" w:rsidR="00D30316" w:rsidRDefault="00D30316" w:rsidP="00F74455">
      <w:pPr>
        <w:pStyle w:val="MyHeading3"/>
        <w:rPr>
          <w:lang w:val="en-US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B104EF" w14:paraId="7241754F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4C206B03" w14:textId="5EFFB49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B104EF">
              <w:rPr>
                <w:rFonts w:ascii="IBM Plex Sans SemiBold" w:eastAsia="IBM Plex Sans SemiBold" w:hAnsi="IBM Plex Sans SemiBold" w:cs="IBM Plex Sans SemiBold"/>
                <w:b/>
                <w:bCs/>
                <w:color w:val="000000"/>
                <w:sz w:val="21"/>
                <w:szCs w:val="21"/>
                <w:lang w:val="en-US"/>
              </w:rPr>
              <w:t>Prototyping and Modelling</w:t>
            </w:r>
          </w:p>
        </w:tc>
        <w:tc>
          <w:tcPr>
            <w:tcW w:w="5471" w:type="dxa"/>
            <w:vAlign w:val="center"/>
          </w:tcPr>
          <w:p w14:paraId="12B62F4E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B104EF" w14:paraId="607D07DD" w14:textId="77777777" w:rsidTr="00B104EF">
        <w:trPr>
          <w:trHeight w:val="1702"/>
        </w:trPr>
        <w:tc>
          <w:tcPr>
            <w:tcW w:w="3539" w:type="dxa"/>
            <w:vAlign w:val="center"/>
          </w:tcPr>
          <w:p w14:paraId="543E5DD2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Common Basic Framework Tier: 1</w:t>
            </w:r>
          </w:p>
          <w:p w14:paraId="77A22085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Credits: 0.3</w:t>
            </w:r>
          </w:p>
          <w:p w14:paraId="21C6895A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Study hours: 3</w:t>
            </w:r>
          </w:p>
          <w:p w14:paraId="588FFF0F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Contact hours: 0</w:t>
            </w:r>
          </w:p>
          <w:p w14:paraId="2738D996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4B0021FD" w14:textId="6175F3B2" w:rsidR="00B104EF" w:rsidRDefault="00B104EF" w:rsidP="00B104E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3" w:name="_Toc61523968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Modelling and prototyping principles</w:t>
            </w:r>
            <w:bookmarkEnd w:id="3"/>
            <w:r w:rsidRPr="003F7E6B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0D1A90FE" w14:textId="77777777" w:rsidR="00B104EF" w:rsidRPr="00B104EF" w:rsidRDefault="00B104EF" w:rsidP="00B104E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</w:pPr>
            <w:bookmarkStart w:id="4" w:name="_Toc61523970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Iteration processes</w:t>
            </w:r>
            <w:bookmarkEnd w:id="4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5E1E304C" w14:textId="77777777" w:rsidR="00B104EF" w:rsidRDefault="00B104EF" w:rsidP="00B104E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5" w:name="_Toc61523972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Critical engagement and evaluation</w:t>
            </w:r>
            <w:bookmarkEnd w:id="5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2FA4CDEF" w14:textId="64A5029B" w:rsidR="00B104EF" w:rsidRDefault="00B104EF" w:rsidP="00B104E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6" w:name="_Toc61523974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Designing for a non-design audience</w:t>
            </w:r>
            <w:bookmarkEnd w:id="6"/>
          </w:p>
        </w:tc>
      </w:tr>
    </w:tbl>
    <w:p w14:paraId="7B13C504" w14:textId="77777777" w:rsidR="000E5756" w:rsidRDefault="000E5756" w:rsidP="00F74455">
      <w:pPr>
        <w:pStyle w:val="MyHeading3"/>
        <w:rPr>
          <w:lang w:val="en-US"/>
        </w:rPr>
      </w:pPr>
    </w:p>
    <w:p w14:paraId="07B1F0FC" w14:textId="5076A526" w:rsidR="00D30316" w:rsidRPr="00D30316" w:rsidRDefault="00D30316" w:rsidP="00D30316">
      <w:pPr>
        <w:pStyle w:val="MyFooter"/>
      </w:pPr>
    </w:p>
    <w:p w14:paraId="72AA8615" w14:textId="77777777" w:rsidR="00D30316" w:rsidRDefault="00D30316" w:rsidP="00F74455">
      <w:pPr>
        <w:pStyle w:val="MyHeading3"/>
        <w:rPr>
          <w:lang w:val="en-US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B104EF" w14:paraId="6BEFA8C1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6706D70A" w14:textId="584F2894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B104EF">
              <w:rPr>
                <w:rFonts w:ascii="IBM Plex Sans SemiBold" w:eastAsia="IBM Plex Sans SemiBold" w:hAnsi="IBM Plex Sans SemiBold" w:cs="IBM Plex Sans SemiBold"/>
                <w:b/>
                <w:bCs/>
                <w:color w:val="000000"/>
                <w:sz w:val="21"/>
                <w:szCs w:val="21"/>
                <w:lang w:val="en-US"/>
              </w:rPr>
              <w:lastRenderedPageBreak/>
              <w:t>Value Creation</w:t>
            </w:r>
          </w:p>
        </w:tc>
        <w:tc>
          <w:tcPr>
            <w:tcW w:w="5471" w:type="dxa"/>
            <w:vAlign w:val="center"/>
          </w:tcPr>
          <w:p w14:paraId="0C747D18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B104EF" w14:paraId="13575B54" w14:textId="77777777" w:rsidTr="00B104EF">
        <w:trPr>
          <w:trHeight w:val="1518"/>
        </w:trPr>
        <w:tc>
          <w:tcPr>
            <w:tcW w:w="3539" w:type="dxa"/>
            <w:vAlign w:val="center"/>
          </w:tcPr>
          <w:p w14:paraId="6429E64D" w14:textId="3D066554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Common Basic Framework Tier: </w:t>
            </w: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2</w:t>
            </w:r>
          </w:p>
          <w:p w14:paraId="36751148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Credits: 0.3</w:t>
            </w:r>
          </w:p>
          <w:p w14:paraId="4424D3EB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Study hours: 3</w:t>
            </w:r>
          </w:p>
          <w:p w14:paraId="53E2B344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Contact hours: 0</w:t>
            </w:r>
          </w:p>
          <w:p w14:paraId="3B0409D3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2349E32C" w14:textId="77777777" w:rsidR="00B104EF" w:rsidRDefault="00B104EF" w:rsidP="00B104E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7" w:name="_Toc61523976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Preparation and progression to higher education</w:t>
            </w:r>
            <w:bookmarkEnd w:id="7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</w:t>
            </w:r>
          </w:p>
          <w:p w14:paraId="45DEE72C" w14:textId="2E9EA182" w:rsidR="00B104EF" w:rsidRDefault="00B104EF" w:rsidP="00B104E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8" w:name="_Toc61523978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Aesthetics and function</w:t>
            </w:r>
            <w:bookmarkEnd w:id="8"/>
          </w:p>
        </w:tc>
      </w:tr>
    </w:tbl>
    <w:p w14:paraId="4F58309D" w14:textId="581D6F2D" w:rsidR="00591843" w:rsidRPr="00E14660" w:rsidRDefault="00591843" w:rsidP="00E14660">
      <w:pPr>
        <w:pStyle w:val="MyFooter"/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B104EF" w14:paraId="0BA2E851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7B97EF8D" w14:textId="61A358B4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B104EF">
              <w:rPr>
                <w:rFonts w:ascii="IBM Plex Sans SemiBold" w:eastAsia="IBM Plex Sans SemiBold" w:hAnsi="IBM Plex Sans SemiBold" w:cs="IBM Plex Sans SemiBold"/>
                <w:b/>
                <w:bCs/>
                <w:color w:val="000000"/>
                <w:sz w:val="21"/>
                <w:szCs w:val="21"/>
                <w:lang w:val="en-US"/>
              </w:rPr>
              <w:t>Leadership and Negotiation</w:t>
            </w:r>
          </w:p>
        </w:tc>
        <w:tc>
          <w:tcPr>
            <w:tcW w:w="5471" w:type="dxa"/>
            <w:vAlign w:val="center"/>
          </w:tcPr>
          <w:p w14:paraId="0ECDE3A5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B104EF" w14:paraId="01486135" w14:textId="77777777" w:rsidTr="00B47246">
        <w:trPr>
          <w:trHeight w:val="1518"/>
        </w:trPr>
        <w:tc>
          <w:tcPr>
            <w:tcW w:w="3539" w:type="dxa"/>
            <w:vAlign w:val="center"/>
          </w:tcPr>
          <w:p w14:paraId="03B727D2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Common Basic Framework Tier: 2</w:t>
            </w:r>
          </w:p>
          <w:p w14:paraId="247F6634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Credits: 0.3</w:t>
            </w:r>
          </w:p>
          <w:p w14:paraId="4680943C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Study hours: 3</w:t>
            </w:r>
          </w:p>
          <w:p w14:paraId="4DC3963E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Contact hours: 0</w:t>
            </w:r>
          </w:p>
          <w:p w14:paraId="63679732" w14:textId="77777777" w:rsidR="00B104EF" w:rsidRDefault="00B104EF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1DD5C40E" w14:textId="77777777" w:rsidR="00B104EF" w:rsidRDefault="00B104EF" w:rsidP="00B4724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9" w:name="_Toc61523980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Preparing a portfolio</w:t>
            </w:r>
            <w:bookmarkEnd w:id="9"/>
            <w:r w:rsidRPr="00B104EF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 xml:space="preserve"> of work</w:t>
            </w:r>
          </w:p>
          <w:p w14:paraId="2CA835DA" w14:textId="77777777" w:rsidR="00B104EF" w:rsidRDefault="00151B0C" w:rsidP="00B4724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0" w:name="_Toc61523982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Creative industry pathways</w:t>
            </w:r>
            <w:bookmarkEnd w:id="10"/>
          </w:p>
          <w:p w14:paraId="5916CAF5" w14:textId="77777777" w:rsidR="00151B0C" w:rsidRDefault="00151B0C" w:rsidP="00B4724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1" w:name="_Toc61523984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Communicating your work to a design audience</w:t>
            </w:r>
            <w:bookmarkEnd w:id="11"/>
          </w:p>
          <w:p w14:paraId="2A790F30" w14:textId="79FD7C53" w:rsidR="00151B0C" w:rsidRDefault="00151B0C" w:rsidP="00B4724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2" w:name="_Toc61523986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What to expect at an interview</w:t>
            </w:r>
            <w:bookmarkEnd w:id="12"/>
          </w:p>
        </w:tc>
      </w:tr>
    </w:tbl>
    <w:p w14:paraId="7C3F034F" w14:textId="7D1D579B" w:rsidR="00E14660" w:rsidRDefault="00E14660" w:rsidP="00F74455">
      <w:pPr>
        <w:pStyle w:val="MyHeading3"/>
        <w:rPr>
          <w:lang w:val="en-US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1"/>
      </w:tblGrid>
      <w:tr w:rsidR="00151B0C" w14:paraId="32E35BD7" w14:textId="77777777" w:rsidTr="00B47246">
        <w:trPr>
          <w:trHeight w:val="444"/>
        </w:trPr>
        <w:tc>
          <w:tcPr>
            <w:tcW w:w="3539" w:type="dxa"/>
            <w:vAlign w:val="center"/>
          </w:tcPr>
          <w:p w14:paraId="0436E535" w14:textId="3B5131E3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 w:rsidRPr="00F156C4">
              <w:rPr>
                <w:rFonts w:ascii="IBM Plex Sans SemiBold" w:eastAsiaTheme="minorHAnsi" w:hAnsi="IBM Plex Sans SemiBold"/>
                <w:b/>
                <w:bCs/>
                <w:sz w:val="21"/>
                <w:szCs w:val="21"/>
                <w:lang w:val="en-US"/>
              </w:rPr>
              <w:t>Innovation and Entrepreneurship</w:t>
            </w:r>
          </w:p>
        </w:tc>
        <w:tc>
          <w:tcPr>
            <w:tcW w:w="5471" w:type="dxa"/>
            <w:vAlign w:val="center"/>
          </w:tcPr>
          <w:p w14:paraId="4903D3DB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  <w:t>Learning Sessions</w:t>
            </w:r>
          </w:p>
        </w:tc>
      </w:tr>
      <w:tr w:rsidR="00151B0C" w14:paraId="2BAB7FF3" w14:textId="77777777" w:rsidTr="00B47246">
        <w:trPr>
          <w:trHeight w:val="1518"/>
        </w:trPr>
        <w:tc>
          <w:tcPr>
            <w:tcW w:w="3539" w:type="dxa"/>
            <w:vAlign w:val="center"/>
          </w:tcPr>
          <w:p w14:paraId="5747146E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Common Basic Framework Tier: 2</w:t>
            </w:r>
          </w:p>
          <w:p w14:paraId="5CE7AB2F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Credits: 0.3</w:t>
            </w:r>
          </w:p>
          <w:p w14:paraId="3E9F0124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Study hours: 3</w:t>
            </w:r>
          </w:p>
          <w:p w14:paraId="74FB9E76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Contact hours: 0</w:t>
            </w:r>
          </w:p>
          <w:p w14:paraId="73FB13A5" w14:textId="77777777" w:rsidR="00151B0C" w:rsidRDefault="00151B0C" w:rsidP="00B4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 SemiBold" w:eastAsia="IBM Plex Sans SemiBold" w:hAnsi="IBM Plex Sans SemiBold" w:cs="IBM Plex Sans SemiBold"/>
                <w:b/>
                <w:color w:val="000000"/>
                <w:sz w:val="21"/>
                <w:szCs w:val="21"/>
              </w:rPr>
            </w:pPr>
          </w:p>
        </w:tc>
        <w:tc>
          <w:tcPr>
            <w:tcW w:w="5471" w:type="dxa"/>
            <w:vAlign w:val="center"/>
          </w:tcPr>
          <w:p w14:paraId="02416522" w14:textId="77777777" w:rsidR="00151B0C" w:rsidRPr="00151B0C" w:rsidRDefault="00151B0C" w:rsidP="00151B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3" w:name="_Toc61523988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Launchpad to further projects</w:t>
            </w:r>
            <w:bookmarkEnd w:id="13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> </w:t>
            </w:r>
          </w:p>
          <w:p w14:paraId="21614547" w14:textId="4D475F15" w:rsidR="00151B0C" w:rsidRDefault="00151B0C" w:rsidP="00151B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</w:pPr>
            <w:bookmarkStart w:id="14" w:name="_Toc61523990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</w:rPr>
              <w:t>Course reflection and feedback</w:t>
            </w:r>
            <w:bookmarkEnd w:id="14"/>
            <w:r w:rsidRPr="00151B0C">
              <w:rPr>
                <w:rFonts w:ascii="IBM Plex Sans" w:eastAsia="IBM Plex Sans" w:hAnsi="IBM Plex Sans" w:cs="IBM Plex Sans"/>
                <w:color w:val="000000"/>
                <w:sz w:val="21"/>
                <w:szCs w:val="21"/>
                <w:lang w:val="en-HK"/>
              </w:rPr>
              <w:t> </w:t>
            </w:r>
          </w:p>
        </w:tc>
      </w:tr>
    </w:tbl>
    <w:p w14:paraId="40B995BD" w14:textId="77777777" w:rsidR="00F156C4" w:rsidRDefault="00F156C4" w:rsidP="00F74455">
      <w:pPr>
        <w:pStyle w:val="MyHeading3"/>
        <w:rPr>
          <w:lang w:val="en-US"/>
        </w:rPr>
      </w:pPr>
    </w:p>
    <w:p w14:paraId="3D8FDAAF" w14:textId="61670A75" w:rsidR="00B54FE2" w:rsidRDefault="00B54FE2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How will I learn?</w:t>
      </w:r>
    </w:p>
    <w:p w14:paraId="7644E521" w14:textId="470657F6" w:rsidR="00A65D75" w:rsidRDefault="00F10B81" w:rsidP="00A65D75">
      <w:pPr>
        <w:pStyle w:val="MyNormal"/>
      </w:pPr>
      <w:r>
        <w:t>Materials, Process and Drawing</w:t>
      </w:r>
      <w:r w:rsidR="002A1290" w:rsidRPr="00A05C53">
        <w:t xml:space="preserve"> </w:t>
      </w:r>
      <w:r w:rsidR="002A1290">
        <w:t>is a 1</w:t>
      </w:r>
      <w:r w:rsidR="008873FA">
        <w:t>.5</w:t>
      </w:r>
      <w:r w:rsidR="002A1290">
        <w:t xml:space="preserve">-credit program with </w:t>
      </w:r>
      <w:r w:rsidR="008873FA">
        <w:t>1</w:t>
      </w:r>
      <w:r w:rsidR="004409B3">
        <w:t>5</w:t>
      </w:r>
      <w:r w:rsidR="002A1290">
        <w:t xml:space="preserve"> hours of notional</w:t>
      </w:r>
      <w:r w:rsidR="004409B3">
        <w:t xml:space="preserve"> self-guided study</w:t>
      </w:r>
      <w:r w:rsidR="002A1290">
        <w:t xml:space="preserve">. </w:t>
      </w:r>
      <w:r w:rsidR="00CB760C" w:rsidRPr="00A65D75">
        <w:t>We have developed an approach</w:t>
      </w:r>
      <w:r w:rsidR="00CB760C">
        <w:t xml:space="preserve"> </w:t>
      </w:r>
      <w:r w:rsidR="00CB760C" w:rsidRPr="00A65D75">
        <w:t>to blended learning from leading universities in the</w:t>
      </w:r>
      <w:r w:rsidR="00CB760C">
        <w:t xml:space="preserve"> </w:t>
      </w:r>
      <w:r w:rsidR="002F68C8">
        <w:t>UK</w:t>
      </w:r>
      <w:r w:rsidR="00CB760C" w:rsidRPr="00A65D75">
        <w:t xml:space="preserve"> that delivers the highest quality design education</w:t>
      </w:r>
      <w:r w:rsidR="00CB760C">
        <w:t xml:space="preserve"> </w:t>
      </w:r>
      <w:r w:rsidR="00CB760C" w:rsidRPr="00A65D75">
        <w:t xml:space="preserve">through </w:t>
      </w:r>
      <w:r w:rsidR="00A0205B">
        <w:t xml:space="preserve">our </w:t>
      </w:r>
      <w:r w:rsidR="00CB760C" w:rsidRPr="00A65D75">
        <w:t>online learning</w:t>
      </w:r>
      <w:r w:rsidR="00A0205B">
        <w:t xml:space="preserve"> management system</w:t>
      </w:r>
      <w:r w:rsidR="00CB760C" w:rsidRPr="00A65D75">
        <w:t>, and practice based making</w:t>
      </w:r>
      <w:r w:rsidR="00CB760C">
        <w:t xml:space="preserve"> </w:t>
      </w:r>
      <w:r w:rsidR="00CB760C" w:rsidRPr="00A65D75">
        <w:t>and doing skills.</w:t>
      </w:r>
    </w:p>
    <w:p w14:paraId="2ECD7F34" w14:textId="116442A1" w:rsidR="00A65D75" w:rsidRDefault="007C60E8" w:rsidP="00CB760C">
      <w:pPr>
        <w:pStyle w:val="MyNormal"/>
      </w:pPr>
      <w:r>
        <w:t>T</w:t>
      </w:r>
      <w:r w:rsidR="00CB760C" w:rsidRPr="00CB760C">
        <w:t>here are lectures, discussions with your</w:t>
      </w:r>
      <w:r w:rsidR="00CB760C">
        <w:t xml:space="preserve"> </w:t>
      </w:r>
      <w:r w:rsidR="00CB760C" w:rsidRPr="00CB760C">
        <w:t xml:space="preserve">tutors and classmates to get their </w:t>
      </w:r>
      <w:r w:rsidR="002F68C8" w:rsidRPr="00CB760C">
        <w:t>perspectives</w:t>
      </w:r>
      <w:r w:rsidR="00CB760C" w:rsidRPr="00CB760C">
        <w:t>, and</w:t>
      </w:r>
      <w:r w:rsidR="00CB760C">
        <w:t xml:space="preserve"> </w:t>
      </w:r>
      <w:r w:rsidR="00CB760C" w:rsidRPr="00CB760C">
        <w:t>practise-based design activities to develop your design</w:t>
      </w:r>
      <w:r w:rsidR="00CB760C">
        <w:t xml:space="preserve"> </w:t>
      </w:r>
      <w:r w:rsidR="00CB760C" w:rsidRPr="00CB760C">
        <w:t>skills and help you understand the learning</w:t>
      </w:r>
      <w:r w:rsidR="00CB760C">
        <w:t xml:space="preserve"> </w:t>
      </w:r>
      <w:r w:rsidR="00CB760C" w:rsidRPr="00CB760C">
        <w:t>outcomes.</w:t>
      </w:r>
      <w:r w:rsidR="00F41386">
        <w:t xml:space="preserve"> </w:t>
      </w:r>
      <w:r w:rsidR="00CB760C" w:rsidRPr="00CB760C">
        <w:t xml:space="preserve">You </w:t>
      </w:r>
      <w:r w:rsidR="002F68C8" w:rsidRPr="00CB760C">
        <w:t>access</w:t>
      </w:r>
      <w:r w:rsidR="00CB760C" w:rsidRPr="00CB760C">
        <w:t xml:space="preserve"> everything through an easy to use online</w:t>
      </w:r>
      <w:r w:rsidR="00CB760C">
        <w:t xml:space="preserve"> </w:t>
      </w:r>
      <w:r w:rsidR="00CB760C" w:rsidRPr="00CB760C">
        <w:t>platform: course content, media rich learning</w:t>
      </w:r>
      <w:r w:rsidR="00177D4F">
        <w:t xml:space="preserve"> resources</w:t>
      </w:r>
      <w:r w:rsidR="00CB760C" w:rsidRPr="00CB760C">
        <w:t>.</w:t>
      </w:r>
    </w:p>
    <w:p w14:paraId="4E5CD9F4" w14:textId="77777777" w:rsidR="00CE6DAC" w:rsidRDefault="00CE6DAC" w:rsidP="00CB760C">
      <w:pPr>
        <w:pStyle w:val="MyNormal"/>
      </w:pPr>
    </w:p>
    <w:p w14:paraId="19137494" w14:textId="29E280EA" w:rsidR="00241F65" w:rsidRDefault="00241F65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Assessment and </w:t>
      </w:r>
      <w:r w:rsidR="00932A8F">
        <w:rPr>
          <w:b/>
          <w:bCs/>
          <w:lang w:val="en-US"/>
        </w:rPr>
        <w:t>f</w:t>
      </w:r>
      <w:r>
        <w:rPr>
          <w:b/>
          <w:bCs/>
          <w:lang w:val="en-US"/>
        </w:rPr>
        <w:t>eedback</w:t>
      </w:r>
    </w:p>
    <w:p w14:paraId="48644539" w14:textId="5B2239B5" w:rsidR="008C36CD" w:rsidRDefault="00CC084C" w:rsidP="00577E5C">
      <w:pPr>
        <w:pStyle w:val="MyNormal"/>
        <w:rPr>
          <w:lang w:val="en-US"/>
        </w:rPr>
      </w:pPr>
      <w:r>
        <w:rPr>
          <w:lang w:val="en-US"/>
        </w:rPr>
        <w:t>You</w:t>
      </w:r>
      <w:r w:rsidR="004A2430">
        <w:rPr>
          <w:lang w:val="en-US"/>
        </w:rPr>
        <w:t xml:space="preserve"> have </w:t>
      </w:r>
      <w:r w:rsidR="00904DFA">
        <w:rPr>
          <w:lang w:val="en-US"/>
        </w:rPr>
        <w:t>five</w:t>
      </w:r>
      <w:r w:rsidR="0076598A">
        <w:rPr>
          <w:lang w:val="en-US"/>
        </w:rPr>
        <w:t xml:space="preserve"> formal </w:t>
      </w:r>
      <w:r w:rsidR="004A2430">
        <w:rPr>
          <w:lang w:val="en-US"/>
        </w:rPr>
        <w:t xml:space="preserve">(summative) </w:t>
      </w:r>
      <w:r w:rsidR="0076598A">
        <w:rPr>
          <w:lang w:val="en-US"/>
        </w:rPr>
        <w:t>assessment point</w:t>
      </w:r>
      <w:r w:rsidR="00904DFA">
        <w:rPr>
          <w:lang w:val="en-US"/>
        </w:rPr>
        <w:t>s</w:t>
      </w:r>
      <w:r w:rsidR="00FE25A5">
        <w:rPr>
          <w:lang w:val="en-US"/>
        </w:rPr>
        <w:t xml:space="preserve"> </w:t>
      </w:r>
      <w:r w:rsidR="00904DFA">
        <w:rPr>
          <w:lang w:val="en-US"/>
        </w:rPr>
        <w:t xml:space="preserve">through the leaning </w:t>
      </w:r>
      <w:r w:rsidR="00C86577">
        <w:rPr>
          <w:lang w:val="en-US"/>
        </w:rPr>
        <w:t>unit</w:t>
      </w:r>
      <w:r w:rsidR="00904DFA">
        <w:rPr>
          <w:lang w:val="en-US"/>
        </w:rPr>
        <w:t>s</w:t>
      </w:r>
      <w:r w:rsidR="009954A7">
        <w:rPr>
          <w:lang w:val="en-US"/>
        </w:rPr>
        <w:t xml:space="preserve"> </w:t>
      </w:r>
      <w:r w:rsidR="00904DFA">
        <w:rPr>
          <w:lang w:val="en-US"/>
        </w:rPr>
        <w:t>to qualify for your</w:t>
      </w:r>
      <w:r w:rsidR="009954A7">
        <w:rPr>
          <w:lang w:val="en-US"/>
        </w:rPr>
        <w:t xml:space="preserve"> e-</w:t>
      </w:r>
      <w:r w:rsidR="006E6205">
        <w:rPr>
          <w:lang w:val="en-US"/>
        </w:rPr>
        <w:t>certificate</w:t>
      </w:r>
      <w:r w:rsidR="009954A7">
        <w:rPr>
          <w:lang w:val="en-US"/>
        </w:rPr>
        <w:t xml:space="preserve"> of course completion</w:t>
      </w:r>
      <w:r w:rsidR="00C86577">
        <w:rPr>
          <w:lang w:val="en-US"/>
        </w:rPr>
        <w:t>.</w:t>
      </w:r>
      <w:r w:rsidR="00FE25A5">
        <w:rPr>
          <w:lang w:val="en-US"/>
        </w:rPr>
        <w:t xml:space="preserve"> </w:t>
      </w:r>
      <w:r w:rsidR="00216F1A">
        <w:rPr>
          <w:lang w:val="en-US"/>
        </w:rPr>
        <w:t>Further details regarding assessment</w:t>
      </w:r>
      <w:r w:rsidR="00732BB9">
        <w:rPr>
          <w:lang w:val="en-US"/>
        </w:rPr>
        <w:t xml:space="preserve"> and feedback including </w:t>
      </w:r>
      <w:r w:rsidR="00216F1A">
        <w:rPr>
          <w:lang w:val="en-US"/>
        </w:rPr>
        <w:t xml:space="preserve">the </w:t>
      </w:r>
      <w:r w:rsidR="0019120D">
        <w:rPr>
          <w:lang w:val="en-US"/>
        </w:rPr>
        <w:t>educational aims</w:t>
      </w:r>
      <w:r w:rsidR="00216F1A">
        <w:rPr>
          <w:lang w:val="en-US"/>
        </w:rPr>
        <w:t xml:space="preserve"> </w:t>
      </w:r>
      <w:r w:rsidR="00732BB9">
        <w:rPr>
          <w:lang w:val="en-US"/>
        </w:rPr>
        <w:t>will be available to students</w:t>
      </w:r>
      <w:r w:rsidR="00CA36C4">
        <w:rPr>
          <w:lang w:val="en-US"/>
        </w:rPr>
        <w:t xml:space="preserve"> at the start of the course.</w:t>
      </w:r>
    </w:p>
    <w:p w14:paraId="4B0CCD50" w14:textId="77777777" w:rsidR="00CE6DAC" w:rsidRDefault="00CE6DAC" w:rsidP="00577E5C">
      <w:pPr>
        <w:pStyle w:val="MyNormal"/>
        <w:rPr>
          <w:lang w:val="en-US"/>
        </w:rPr>
      </w:pPr>
    </w:p>
    <w:p w14:paraId="65DA91AE" w14:textId="39C9E925" w:rsidR="00241F65" w:rsidRDefault="00241F65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Award</w:t>
      </w:r>
    </w:p>
    <w:p w14:paraId="120201F7" w14:textId="452D59DE" w:rsidR="00ED05DC" w:rsidRDefault="00ED05DC" w:rsidP="00ED05DC">
      <w:pPr>
        <w:pStyle w:val="MyNormal"/>
      </w:pPr>
      <w:r>
        <w:t>A certificate</w:t>
      </w:r>
      <w:r w:rsidR="0034496D">
        <w:t xml:space="preserve"> of completion</w:t>
      </w:r>
      <w:r w:rsidR="0063511D">
        <w:t xml:space="preserve"> issue</w:t>
      </w:r>
      <w:r w:rsidR="0019120D">
        <w:t>d</w:t>
      </w:r>
      <w:r w:rsidR="0063511D">
        <w:t xml:space="preserve"> by </w:t>
      </w:r>
      <w:r w:rsidR="006D3139">
        <w:t>Design School Asia</w:t>
      </w:r>
      <w:r w:rsidR="00AC21CB">
        <w:t>.</w:t>
      </w:r>
    </w:p>
    <w:p w14:paraId="77DD7163" w14:textId="77777777" w:rsidR="00CE6DAC" w:rsidRDefault="00CE6DAC" w:rsidP="00ED05DC">
      <w:pPr>
        <w:pStyle w:val="MyNormal"/>
      </w:pPr>
    </w:p>
    <w:p w14:paraId="1AA70998" w14:textId="30B231A3" w:rsidR="00AE30E2" w:rsidRDefault="00AE30E2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For Teachers</w:t>
      </w:r>
    </w:p>
    <w:p w14:paraId="114CF780" w14:textId="0553D7B5" w:rsidR="006E1EA3" w:rsidRDefault="009740ED" w:rsidP="006E1EA3">
      <w:pPr>
        <w:pStyle w:val="MyNormal"/>
        <w:rPr>
          <w:rStyle w:val="Hyperlink"/>
        </w:rPr>
      </w:pPr>
      <w:r w:rsidRPr="001D1B72">
        <w:t xml:space="preserve">Material, Processes and Drawing is </w:t>
      </w:r>
      <w:r w:rsidR="00BC414D" w:rsidRPr="001D1B72">
        <w:t xml:space="preserve">a </w:t>
      </w:r>
      <w:r w:rsidR="00283579" w:rsidRPr="001D1B72">
        <w:t xml:space="preserve">sample </w:t>
      </w:r>
      <w:r w:rsidR="00BC414D" w:rsidRPr="001D1B72">
        <w:t xml:space="preserve">UK Diploma level 4 </w:t>
      </w:r>
      <w:r w:rsidR="00283579" w:rsidRPr="001D1B72">
        <w:t>learning unit;</w:t>
      </w:r>
      <w:r w:rsidR="00BC414D" w:rsidRPr="001D1B72">
        <w:t xml:space="preserve"> l</w:t>
      </w:r>
      <w:r w:rsidRPr="009740ED">
        <w:t>icensed as Open Course Ware (OCW) under Creative Commons CC BY-SA 3.0.</w:t>
      </w:r>
      <w:r w:rsidRPr="001D1B72">
        <w:t xml:space="preserve"> You are free to </w:t>
      </w:r>
      <w:r w:rsidR="009704DA" w:rsidRPr="001D1B72">
        <w:t xml:space="preserve">Share—copy and redistribute the material in any medium or format, and </w:t>
      </w:r>
      <w:r w:rsidR="009704DA" w:rsidRPr="009704DA">
        <w:t>Adapt—remix, transform, and build upon the material for any purpose, even commercially</w:t>
      </w:r>
      <w:r w:rsidR="001D1B72">
        <w:t xml:space="preserve">. </w:t>
      </w:r>
      <w:r w:rsidR="00D8434F" w:rsidRPr="001D1B72">
        <w:t xml:space="preserve">The program </w:t>
      </w:r>
      <w:r w:rsidR="001D1B72">
        <w:t>follows a s</w:t>
      </w:r>
      <w:r w:rsidR="001D1B72" w:rsidRPr="001D1B72">
        <w:t xml:space="preserve">imple structure </w:t>
      </w:r>
      <w:r w:rsidR="001D1B72">
        <w:t>to</w:t>
      </w:r>
      <w:r w:rsidR="001D1B72" w:rsidRPr="001D1B72">
        <w:t xml:space="preserve"> reduce</w:t>
      </w:r>
      <w:r w:rsidR="001D1B72">
        <w:t xml:space="preserve"> </w:t>
      </w:r>
      <w:r w:rsidR="001D1B72" w:rsidRPr="001D1B72">
        <w:t>administration</w:t>
      </w:r>
      <w:r w:rsidR="006B2148">
        <w:t xml:space="preserve">; with a </w:t>
      </w:r>
      <w:r w:rsidR="00D8434F" w:rsidRPr="001D1B72">
        <w:t>t</w:t>
      </w:r>
      <w:r w:rsidR="001000E2" w:rsidRPr="001D1B72">
        <w:t xml:space="preserve">eaching and learning methodology </w:t>
      </w:r>
      <w:r w:rsidR="006B2148">
        <w:t>that’s</w:t>
      </w:r>
      <w:r w:rsidR="007F5773" w:rsidRPr="001D1B72">
        <w:t xml:space="preserve"> experiential</w:t>
      </w:r>
      <w:r w:rsidR="006B2148">
        <w:t xml:space="preserve"> and </w:t>
      </w:r>
      <w:r w:rsidR="00C879FB" w:rsidRPr="001D1B72">
        <w:t>constructivist</w:t>
      </w:r>
      <w:r w:rsidR="006B2148">
        <w:t xml:space="preserve"> </w:t>
      </w:r>
      <w:r w:rsidR="00F4050B" w:rsidRPr="001D1B72">
        <w:t>founded on</w:t>
      </w:r>
      <w:r w:rsidR="00C879FB" w:rsidRPr="001D1B72">
        <w:t xml:space="preserve"> Kolb’s learning cycle of </w:t>
      </w:r>
      <w:r w:rsidR="005F1E50" w:rsidRPr="001D1B72">
        <w:t xml:space="preserve">abstract conceptualisation, active experimentation, concrete experience and reflective observation. </w:t>
      </w:r>
      <w:r w:rsidR="00244FC3">
        <w:t xml:space="preserve">For more information contact </w:t>
      </w:r>
      <w:hyperlink r:id="rId11" w:history="1">
        <w:r w:rsidR="00244FC3" w:rsidRPr="00007907">
          <w:rPr>
            <w:rStyle w:val="Hyperlink"/>
          </w:rPr>
          <w:t>information.office@designschool.asia</w:t>
        </w:r>
      </w:hyperlink>
    </w:p>
    <w:p w14:paraId="7C86EE3A" w14:textId="77777777" w:rsidR="00CE6DAC" w:rsidRDefault="00CE6DAC" w:rsidP="006E1EA3">
      <w:pPr>
        <w:pStyle w:val="MyNormal"/>
      </w:pPr>
    </w:p>
    <w:p w14:paraId="09939303" w14:textId="15E0B140" w:rsidR="0011011F" w:rsidRDefault="000C3228" w:rsidP="00CE6DAC">
      <w:pPr>
        <w:pStyle w:val="MyNormal"/>
        <w:numPr>
          <w:ilvl w:val="0"/>
          <w:numId w:val="2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Attributi</w:t>
      </w:r>
      <w:r w:rsidR="00F07722">
        <w:rPr>
          <w:b/>
          <w:bCs/>
          <w:lang w:val="en-US"/>
        </w:rPr>
        <w:t>on</w:t>
      </w:r>
    </w:p>
    <w:p w14:paraId="21222E61" w14:textId="4BE7F8A4" w:rsidR="00185120" w:rsidRDefault="00F07722" w:rsidP="002064C0">
      <w:pPr>
        <w:pStyle w:val="MyHeading3"/>
        <w:rPr>
          <w:rFonts w:ascii="IBM Plex Sans" w:hAnsi="IBM Plex Sans"/>
          <w:bCs w:val="0"/>
        </w:rPr>
      </w:pPr>
      <w:r>
        <w:rPr>
          <w:rFonts w:ascii="IBM Plex Sans" w:hAnsi="IBM Plex Sans"/>
          <w:bCs w:val="0"/>
        </w:rPr>
        <w:t>DSA would like to thank</w:t>
      </w:r>
      <w:r w:rsidR="002064C0">
        <w:rPr>
          <w:rFonts w:ascii="IBM Plex Sans" w:hAnsi="IBM Plex Sans"/>
          <w:bCs w:val="0"/>
        </w:rPr>
        <w:t xml:space="preserve"> Khun </w:t>
      </w:r>
      <w:r w:rsidR="002064C0" w:rsidRPr="002064C0">
        <w:rPr>
          <w:rFonts w:ascii="IBM Plex Sans" w:hAnsi="IBM Plex Sans"/>
          <w:bCs w:val="0"/>
        </w:rPr>
        <w:t>Wittamon Niwattichai</w:t>
      </w:r>
      <w:r w:rsidR="00210DD7">
        <w:rPr>
          <w:rFonts w:ascii="IBM Plex Sans" w:hAnsi="IBM Plex Sans"/>
          <w:bCs w:val="0"/>
        </w:rPr>
        <w:t>–</w:t>
      </w:r>
      <w:r w:rsidR="00FD7A4D">
        <w:rPr>
          <w:rFonts w:ascii="IBM Plex Sans" w:hAnsi="IBM Plex Sans"/>
          <w:bCs w:val="0"/>
        </w:rPr>
        <w:t xml:space="preserve">Thailand’s </w:t>
      </w:r>
      <w:r w:rsidR="00FE26F2">
        <w:rPr>
          <w:rFonts w:ascii="IBM Plex Sans" w:hAnsi="IBM Plex Sans"/>
          <w:bCs w:val="0"/>
        </w:rPr>
        <w:t>most influential</w:t>
      </w:r>
      <w:r w:rsidR="00C45B2E">
        <w:rPr>
          <w:rFonts w:ascii="IBM Plex Sans" w:hAnsi="IBM Plex Sans"/>
          <w:bCs w:val="0"/>
        </w:rPr>
        <w:t xml:space="preserve"> illustrator and printmaker</w:t>
      </w:r>
      <w:r w:rsidR="00FE26F2">
        <w:rPr>
          <w:rFonts w:ascii="IBM Plex Sans" w:hAnsi="IBM Plex Sans"/>
          <w:bCs w:val="0"/>
        </w:rPr>
        <w:t xml:space="preserve"> </w:t>
      </w:r>
      <w:r w:rsidR="00210DD7">
        <w:rPr>
          <w:rFonts w:ascii="IBM Plex Sans" w:hAnsi="IBM Plex Sans"/>
          <w:bCs w:val="0"/>
        </w:rPr>
        <w:t xml:space="preserve">for </w:t>
      </w:r>
      <w:r w:rsidR="00BE42C3">
        <w:rPr>
          <w:rFonts w:ascii="IBM Plex Sans" w:hAnsi="IBM Plex Sans"/>
          <w:bCs w:val="0"/>
        </w:rPr>
        <w:t>h</w:t>
      </w:r>
      <w:r w:rsidR="00F354E2">
        <w:rPr>
          <w:rFonts w:ascii="IBM Plex Sans" w:hAnsi="IBM Plex Sans"/>
          <w:bCs w:val="0"/>
        </w:rPr>
        <w:t>er</w:t>
      </w:r>
      <w:r w:rsidR="000720F3">
        <w:rPr>
          <w:rFonts w:ascii="IBM Plex Sans" w:hAnsi="IBM Plex Sans"/>
          <w:bCs w:val="0"/>
        </w:rPr>
        <w:t xml:space="preserve"> ground-breaking work</w:t>
      </w:r>
      <w:r w:rsidR="00C50002">
        <w:rPr>
          <w:rFonts w:ascii="IBM Plex Sans" w:hAnsi="IBM Plex Sans"/>
          <w:bCs w:val="0"/>
        </w:rPr>
        <w:t xml:space="preserve"> in materials, processes and drawing</w:t>
      </w:r>
      <w:r w:rsidR="008554AD">
        <w:rPr>
          <w:rFonts w:ascii="IBM Plex Sans" w:hAnsi="IBM Plex Sans"/>
          <w:bCs w:val="0"/>
        </w:rPr>
        <w:t xml:space="preserve"> education. Wittamon</w:t>
      </w:r>
      <w:r w:rsidR="004C0FCD">
        <w:rPr>
          <w:rFonts w:ascii="IBM Plex Sans" w:hAnsi="IBM Plex Sans"/>
          <w:bCs w:val="0"/>
        </w:rPr>
        <w:t xml:space="preserve"> </w:t>
      </w:r>
      <w:r w:rsidR="00C65688">
        <w:rPr>
          <w:rFonts w:ascii="IBM Plex Sans" w:hAnsi="IBM Plex Sans"/>
          <w:bCs w:val="0"/>
        </w:rPr>
        <w:t>inspire</w:t>
      </w:r>
      <w:r w:rsidR="00560436">
        <w:rPr>
          <w:rFonts w:ascii="IBM Plex Sans" w:hAnsi="IBM Plex Sans"/>
          <w:bCs w:val="0"/>
        </w:rPr>
        <w:t>s</w:t>
      </w:r>
      <w:r w:rsidR="003E51C6">
        <w:rPr>
          <w:rFonts w:ascii="IBM Plex Sans" w:hAnsi="IBM Plex Sans"/>
          <w:bCs w:val="0"/>
        </w:rPr>
        <w:t xml:space="preserve"> </w:t>
      </w:r>
      <w:r w:rsidR="00F243DE">
        <w:rPr>
          <w:rFonts w:ascii="IBM Plex Sans" w:hAnsi="IBM Plex Sans"/>
          <w:bCs w:val="0"/>
        </w:rPr>
        <w:t xml:space="preserve">hundreds of </w:t>
      </w:r>
      <w:r w:rsidR="009B1258">
        <w:rPr>
          <w:rFonts w:ascii="IBM Plex Sans" w:hAnsi="IBM Plex Sans"/>
          <w:bCs w:val="0"/>
        </w:rPr>
        <w:t>passionate a</w:t>
      </w:r>
      <w:r w:rsidR="00457C51">
        <w:rPr>
          <w:rFonts w:ascii="IBM Plex Sans" w:hAnsi="IBM Plex Sans"/>
          <w:bCs w:val="0"/>
        </w:rPr>
        <w:t>rtists and designers</w:t>
      </w:r>
      <w:r w:rsidR="00CE6260">
        <w:rPr>
          <w:rFonts w:ascii="IBM Plex Sans" w:hAnsi="IBM Plex Sans"/>
          <w:bCs w:val="0"/>
        </w:rPr>
        <w:t xml:space="preserve"> </w:t>
      </w:r>
      <w:r w:rsidR="003E51C6">
        <w:rPr>
          <w:rFonts w:ascii="IBM Plex Sans" w:hAnsi="IBM Plex Sans"/>
          <w:bCs w:val="0"/>
        </w:rPr>
        <w:t>regardless of age or ability</w:t>
      </w:r>
      <w:r w:rsidR="00CE6260">
        <w:rPr>
          <w:rFonts w:ascii="IBM Plex Sans" w:hAnsi="IBM Plex Sans"/>
          <w:bCs w:val="0"/>
        </w:rPr>
        <w:t xml:space="preserve"> </w:t>
      </w:r>
      <w:r w:rsidR="003E51C6">
        <w:rPr>
          <w:rFonts w:ascii="IBM Plex Sans" w:hAnsi="IBM Plex Sans"/>
          <w:bCs w:val="0"/>
        </w:rPr>
        <w:t>to express themselves through</w:t>
      </w:r>
      <w:r w:rsidR="004F6DC6">
        <w:rPr>
          <w:rFonts w:ascii="IBM Plex Sans" w:hAnsi="IBM Plex Sans"/>
          <w:bCs w:val="0"/>
        </w:rPr>
        <w:t xml:space="preserve"> drawing and making</w:t>
      </w:r>
      <w:r w:rsidR="00560436">
        <w:rPr>
          <w:rFonts w:ascii="IBM Plex Sans" w:hAnsi="IBM Plex Sans"/>
          <w:bCs w:val="0"/>
        </w:rPr>
        <w:t xml:space="preserve"> every year</w:t>
      </w:r>
      <w:r w:rsidR="00AE1240">
        <w:rPr>
          <w:rFonts w:ascii="IBM Plex Sans" w:hAnsi="IBM Plex Sans"/>
          <w:bCs w:val="0"/>
        </w:rPr>
        <w:t>,</w:t>
      </w:r>
      <w:r w:rsidR="004219EE">
        <w:rPr>
          <w:rFonts w:ascii="IBM Plex Sans" w:hAnsi="IBM Plex Sans"/>
          <w:bCs w:val="0"/>
        </w:rPr>
        <w:t xml:space="preserve"> and continues to be the </w:t>
      </w:r>
      <w:r w:rsidR="000C7E0C">
        <w:rPr>
          <w:rFonts w:ascii="IBM Plex Sans" w:hAnsi="IBM Plex Sans"/>
          <w:bCs w:val="0"/>
        </w:rPr>
        <w:t xml:space="preserve">source of </w:t>
      </w:r>
      <w:r w:rsidR="00457C51">
        <w:rPr>
          <w:rFonts w:ascii="IBM Plex Sans" w:hAnsi="IBM Plex Sans"/>
          <w:bCs w:val="0"/>
        </w:rPr>
        <w:t xml:space="preserve">many of the </w:t>
      </w:r>
      <w:r w:rsidR="004219EE">
        <w:rPr>
          <w:rFonts w:ascii="IBM Plex Sans" w:hAnsi="IBM Plex Sans"/>
          <w:bCs w:val="0"/>
        </w:rPr>
        <w:t xml:space="preserve">current </w:t>
      </w:r>
      <w:r w:rsidR="00457C51">
        <w:rPr>
          <w:rFonts w:ascii="IBM Plex Sans" w:hAnsi="IBM Plex Sans"/>
          <w:bCs w:val="0"/>
        </w:rPr>
        <w:t>leading</w:t>
      </w:r>
      <w:r w:rsidR="000C7E0C">
        <w:rPr>
          <w:rFonts w:ascii="IBM Plex Sans" w:hAnsi="IBM Plex Sans"/>
          <w:bCs w:val="0"/>
        </w:rPr>
        <w:t xml:space="preserve"> </w:t>
      </w:r>
      <w:r w:rsidR="00EA4BBC">
        <w:rPr>
          <w:rFonts w:ascii="IBM Plex Sans" w:hAnsi="IBM Plex Sans"/>
          <w:bCs w:val="0"/>
        </w:rPr>
        <w:t xml:space="preserve">creative </w:t>
      </w:r>
      <w:r w:rsidR="00CE6260">
        <w:rPr>
          <w:rFonts w:ascii="IBM Plex Sans" w:hAnsi="IBM Plex Sans"/>
          <w:bCs w:val="0"/>
        </w:rPr>
        <w:t>studios</w:t>
      </w:r>
      <w:r w:rsidR="000C7E0C">
        <w:rPr>
          <w:rFonts w:ascii="IBM Plex Sans" w:hAnsi="IBM Plex Sans"/>
          <w:bCs w:val="0"/>
        </w:rPr>
        <w:t xml:space="preserve"> </w:t>
      </w:r>
      <w:r w:rsidR="004B1BB0">
        <w:rPr>
          <w:rFonts w:ascii="IBM Plex Sans" w:hAnsi="IBM Plex Sans"/>
          <w:bCs w:val="0"/>
        </w:rPr>
        <w:t>across</w:t>
      </w:r>
      <w:r w:rsidR="000C7E0C">
        <w:rPr>
          <w:rFonts w:ascii="IBM Plex Sans" w:hAnsi="IBM Plex Sans"/>
          <w:bCs w:val="0"/>
        </w:rPr>
        <w:t xml:space="preserve"> </w:t>
      </w:r>
      <w:r w:rsidR="00CE415C">
        <w:rPr>
          <w:rFonts w:ascii="IBM Plex Sans" w:hAnsi="IBM Plex Sans"/>
          <w:bCs w:val="0"/>
        </w:rPr>
        <w:t>South-East Asia</w:t>
      </w:r>
      <w:r w:rsidR="003559FF">
        <w:rPr>
          <w:rFonts w:ascii="IBM Plex Sans" w:hAnsi="IBM Plex Sans"/>
          <w:bCs w:val="0"/>
        </w:rPr>
        <w:t>. At</w:t>
      </w:r>
      <w:r w:rsidR="00E55F59">
        <w:rPr>
          <w:rFonts w:ascii="IBM Plex Sans" w:hAnsi="IBM Plex Sans"/>
          <w:bCs w:val="0"/>
        </w:rPr>
        <w:t xml:space="preserve"> the same time</w:t>
      </w:r>
      <w:r w:rsidR="00C341FC">
        <w:rPr>
          <w:rFonts w:ascii="IBM Plex Sans" w:hAnsi="IBM Plex Sans"/>
          <w:bCs w:val="0"/>
        </w:rPr>
        <w:t xml:space="preserve"> her </w:t>
      </w:r>
      <w:r w:rsidR="00281975">
        <w:rPr>
          <w:rFonts w:ascii="IBM Plex Sans" w:hAnsi="IBM Plex Sans"/>
          <w:bCs w:val="0"/>
        </w:rPr>
        <w:t>illustrat</w:t>
      </w:r>
      <w:r w:rsidR="00812E94">
        <w:rPr>
          <w:rFonts w:ascii="IBM Plex Sans" w:hAnsi="IBM Plex Sans"/>
          <w:bCs w:val="0"/>
        </w:rPr>
        <w:t>ion practice</w:t>
      </w:r>
      <w:r w:rsidR="00695B40">
        <w:rPr>
          <w:rFonts w:ascii="IBM Plex Sans" w:hAnsi="IBM Plex Sans"/>
          <w:bCs w:val="0"/>
        </w:rPr>
        <w:t xml:space="preserve"> </w:t>
      </w:r>
      <w:r w:rsidR="00DF164C">
        <w:rPr>
          <w:rFonts w:ascii="IBM Plex Sans" w:hAnsi="IBM Plex Sans"/>
          <w:bCs w:val="0"/>
        </w:rPr>
        <w:t>is</w:t>
      </w:r>
      <w:r w:rsidR="00C753FC">
        <w:rPr>
          <w:rFonts w:ascii="IBM Plex Sans" w:hAnsi="IBM Plex Sans"/>
          <w:bCs w:val="0"/>
        </w:rPr>
        <w:t xml:space="preserve"> in </w:t>
      </w:r>
      <w:r w:rsidR="000E7AAB">
        <w:rPr>
          <w:rFonts w:ascii="IBM Plex Sans" w:hAnsi="IBM Plex Sans"/>
          <w:bCs w:val="0"/>
        </w:rPr>
        <w:t xml:space="preserve">high </w:t>
      </w:r>
      <w:r w:rsidR="00C753FC">
        <w:rPr>
          <w:rFonts w:ascii="IBM Plex Sans" w:hAnsi="IBM Plex Sans"/>
          <w:bCs w:val="0"/>
        </w:rPr>
        <w:t>demand</w:t>
      </w:r>
      <w:r w:rsidR="00695B40">
        <w:rPr>
          <w:rFonts w:ascii="IBM Plex Sans" w:hAnsi="IBM Plex Sans"/>
          <w:bCs w:val="0"/>
        </w:rPr>
        <w:t xml:space="preserve"> </w:t>
      </w:r>
      <w:r w:rsidR="007A3E19">
        <w:rPr>
          <w:rFonts w:ascii="IBM Plex Sans" w:hAnsi="IBM Plex Sans"/>
          <w:bCs w:val="0"/>
        </w:rPr>
        <w:t>with</w:t>
      </w:r>
      <w:r w:rsidR="004A40C2">
        <w:rPr>
          <w:rFonts w:ascii="IBM Plex Sans" w:hAnsi="IBM Plex Sans"/>
          <w:bCs w:val="0"/>
        </w:rPr>
        <w:t xml:space="preserve"> an enviable</w:t>
      </w:r>
      <w:r w:rsidR="007A3E19">
        <w:rPr>
          <w:rFonts w:ascii="IBM Plex Sans" w:hAnsi="IBM Plex Sans"/>
          <w:bCs w:val="0"/>
        </w:rPr>
        <w:t xml:space="preserve"> international </w:t>
      </w:r>
      <w:r w:rsidR="00695B40">
        <w:rPr>
          <w:rFonts w:ascii="IBM Plex Sans" w:hAnsi="IBM Plex Sans"/>
          <w:bCs w:val="0"/>
        </w:rPr>
        <w:t>client</w:t>
      </w:r>
      <w:r w:rsidR="004A40C2">
        <w:rPr>
          <w:rFonts w:ascii="IBM Plex Sans" w:hAnsi="IBM Plex Sans"/>
          <w:bCs w:val="0"/>
        </w:rPr>
        <w:t xml:space="preserve"> base</w:t>
      </w:r>
      <w:r w:rsidR="000E7AAB">
        <w:rPr>
          <w:rFonts w:ascii="IBM Plex Sans" w:hAnsi="IBM Plex Sans"/>
          <w:bCs w:val="0"/>
        </w:rPr>
        <w:t xml:space="preserve"> </w:t>
      </w:r>
      <w:r w:rsidR="005F5F0D">
        <w:rPr>
          <w:rFonts w:ascii="IBM Plex Sans" w:hAnsi="IBM Plex Sans"/>
          <w:bCs w:val="0"/>
        </w:rPr>
        <w:t xml:space="preserve">queueing up for </w:t>
      </w:r>
      <w:r w:rsidR="000E7AAB">
        <w:rPr>
          <w:rFonts w:ascii="IBM Plex Sans" w:hAnsi="IBM Plex Sans"/>
          <w:bCs w:val="0"/>
        </w:rPr>
        <w:t xml:space="preserve">her </w:t>
      </w:r>
      <w:r w:rsidR="00DF164C">
        <w:rPr>
          <w:rFonts w:ascii="IBM Plex Sans" w:hAnsi="IBM Plex Sans"/>
          <w:bCs w:val="0"/>
        </w:rPr>
        <w:t>astonishing</w:t>
      </w:r>
      <w:r w:rsidR="000E7AAB">
        <w:rPr>
          <w:rFonts w:ascii="IBM Plex Sans" w:hAnsi="IBM Plex Sans"/>
          <w:bCs w:val="0"/>
        </w:rPr>
        <w:t xml:space="preserve"> work</w:t>
      </w:r>
      <w:r w:rsidR="00281975">
        <w:rPr>
          <w:rFonts w:ascii="IBM Plex Sans" w:hAnsi="IBM Plex Sans"/>
          <w:bCs w:val="0"/>
        </w:rPr>
        <w:t>.</w:t>
      </w:r>
      <w:r w:rsidR="0066289E">
        <w:rPr>
          <w:rFonts w:ascii="IBM Plex Sans" w:hAnsi="IBM Plex Sans"/>
          <w:bCs w:val="0"/>
        </w:rPr>
        <w:t xml:space="preserve"> </w:t>
      </w:r>
      <w:r w:rsidR="00C5074B">
        <w:rPr>
          <w:rFonts w:ascii="IBM Plex Sans" w:hAnsi="IBM Plex Sans"/>
          <w:bCs w:val="0"/>
        </w:rPr>
        <w:t xml:space="preserve">To find out more, </w:t>
      </w:r>
      <w:r w:rsidR="00EF587F">
        <w:rPr>
          <w:rFonts w:ascii="IBM Plex Sans" w:hAnsi="IBM Plex Sans"/>
          <w:bCs w:val="0"/>
        </w:rPr>
        <w:t xml:space="preserve">contact her at </w:t>
      </w:r>
      <w:r w:rsidR="00C5074B">
        <w:rPr>
          <w:rFonts w:ascii="IBM Plex Sans" w:hAnsi="IBM Plex Sans"/>
          <w:bCs w:val="0"/>
        </w:rPr>
        <w:t xml:space="preserve">Witti Studio </w:t>
      </w:r>
      <w:r w:rsidR="00EF587F">
        <w:rPr>
          <w:rFonts w:ascii="IBM Plex Sans" w:hAnsi="IBM Plex Sans"/>
          <w:bCs w:val="0"/>
        </w:rPr>
        <w:t xml:space="preserve">on </w:t>
      </w:r>
      <w:r w:rsidR="00C5074B">
        <w:rPr>
          <w:rFonts w:ascii="IBM Plex Sans" w:hAnsi="IBM Plex Sans"/>
          <w:bCs w:val="0"/>
        </w:rPr>
        <w:t>Facebook</w:t>
      </w:r>
      <w:r w:rsidR="00324A3D">
        <w:rPr>
          <w:rFonts w:ascii="IBM Plex Sans" w:hAnsi="IBM Plex Sans"/>
          <w:bCs w:val="0"/>
        </w:rPr>
        <w:t xml:space="preserve">: </w:t>
      </w:r>
      <w:hyperlink r:id="rId12" w:history="1">
        <w:r w:rsidR="00324A3D" w:rsidRPr="00324A3D">
          <w:rPr>
            <w:rStyle w:val="Hyperlink"/>
            <w:rFonts w:ascii="IBM Plex Sans" w:hAnsi="IBM Plex Sans"/>
            <w:bCs w:val="0"/>
          </w:rPr>
          <w:t>https://www.facebook.com/witti.studio</w:t>
        </w:r>
      </w:hyperlink>
    </w:p>
    <w:p w14:paraId="073EE199" w14:textId="0E7F071F" w:rsidR="00151B0C" w:rsidRPr="00151B0C" w:rsidRDefault="00151B0C" w:rsidP="002064C0">
      <w:pPr>
        <w:pStyle w:val="MyHeading3"/>
        <w:rPr>
          <w:rFonts w:ascii="IBM Plex Sans" w:hAnsi="IBM Plex Sans"/>
          <w:lang w:val="en-HK"/>
        </w:rPr>
      </w:pPr>
      <w:r>
        <w:rPr>
          <w:rFonts w:ascii="IBM Plex Sans" w:hAnsi="IBM Plex Sans"/>
          <w:bCs w:val="0"/>
        </w:rPr>
        <w:t xml:space="preserve">DSA would also like to thank Khun </w:t>
      </w:r>
      <w:r w:rsidRPr="00151B0C">
        <w:rPr>
          <w:rFonts w:ascii="IBM Plex Sans" w:hAnsi="IBM Plex Sans"/>
          <w:lang w:val="en-HK"/>
        </w:rPr>
        <w:t>Dhanyachanok Kusonjai</w:t>
      </w:r>
      <w:r>
        <w:rPr>
          <w:rFonts w:ascii="IBM Plex Sans" w:hAnsi="IBM Plex Sans"/>
          <w:bCs w:val="0"/>
        </w:rPr>
        <w:t xml:space="preserve"> and Khun </w:t>
      </w:r>
      <w:r w:rsidR="00060421" w:rsidRPr="00060421">
        <w:rPr>
          <w:rFonts w:ascii="IBM Plex Sans" w:hAnsi="IBM Plex Sans"/>
          <w:lang w:val="en-HK"/>
        </w:rPr>
        <w:t>Pakanun Luppayaporn</w:t>
      </w:r>
      <w:r>
        <w:rPr>
          <w:rFonts w:ascii="IBM Plex Sans" w:hAnsi="IBM Plex Sans"/>
          <w:bCs w:val="0"/>
        </w:rPr>
        <w:t xml:space="preserve"> for their contributing work.</w:t>
      </w:r>
    </w:p>
    <w:p w14:paraId="25F26C3D" w14:textId="77777777" w:rsidR="00151B0C" w:rsidRDefault="00151B0C" w:rsidP="002064C0">
      <w:pPr>
        <w:pStyle w:val="MyHeading3"/>
        <w:rPr>
          <w:rFonts w:ascii="IBM Plex Sans" w:hAnsi="IBM Plex Sans"/>
          <w:bCs w:val="0"/>
        </w:rPr>
      </w:pPr>
    </w:p>
    <w:p w14:paraId="4C6A9291" w14:textId="67C2598D" w:rsidR="00151B0C" w:rsidRPr="0011011F" w:rsidRDefault="00151B0C" w:rsidP="002064C0">
      <w:pPr>
        <w:pStyle w:val="MyHeading3"/>
        <w:rPr>
          <w:rFonts w:ascii="IBM Plex Sans" w:hAnsi="IBM Plex Sans"/>
          <w:bCs w:val="0"/>
        </w:rPr>
        <w:sectPr w:rsidR="00151B0C" w:rsidRPr="0011011F" w:rsidSect="00E10265">
          <w:headerReference w:type="default" r:id="rId13"/>
          <w:footerReference w:type="default" r:id="rId14"/>
          <w:pgSz w:w="11900" w:h="16820"/>
          <w:pgMar w:top="2121" w:right="1440" w:bottom="1440" w:left="1440" w:header="709" w:footer="709" w:gutter="0"/>
          <w:cols w:space="708"/>
          <w:docGrid w:linePitch="400"/>
        </w:sectPr>
      </w:pPr>
    </w:p>
    <w:p w14:paraId="148FBE42" w14:textId="08E1168D" w:rsidR="00671CB7" w:rsidRDefault="00671CB7" w:rsidP="00265493">
      <w:pPr>
        <w:pStyle w:val="VersionControlHeader"/>
      </w:pPr>
      <w:r>
        <w:lastRenderedPageBreak/>
        <w:t>Document 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852"/>
        <w:gridCol w:w="1853"/>
      </w:tblGrid>
      <w:tr w:rsidR="0031489C" w14:paraId="177B95C3" w14:textId="77777777" w:rsidTr="0031489C">
        <w:trPr>
          <w:trHeight w:val="511"/>
        </w:trPr>
        <w:tc>
          <w:tcPr>
            <w:tcW w:w="5305" w:type="dxa"/>
            <w:shd w:val="clear" w:color="auto" w:fill="D9D9D9" w:themeFill="background1" w:themeFillShade="D9"/>
            <w:vAlign w:val="center"/>
          </w:tcPr>
          <w:p w14:paraId="69829FFF" w14:textId="77777777" w:rsidR="00C62DDF" w:rsidRDefault="00F34F26" w:rsidP="0031489C">
            <w:pPr>
              <w:pStyle w:val="MyTableHeader"/>
            </w:pPr>
            <w:r>
              <w:t>Purpose/Change</w:t>
            </w:r>
          </w:p>
        </w:tc>
        <w:tc>
          <w:tcPr>
            <w:tcW w:w="1852" w:type="dxa"/>
            <w:shd w:val="clear" w:color="auto" w:fill="D9D9D9" w:themeFill="background1" w:themeFillShade="D9"/>
            <w:vAlign w:val="center"/>
          </w:tcPr>
          <w:p w14:paraId="5340F86A" w14:textId="77777777" w:rsidR="00C62DDF" w:rsidRDefault="00F34F26" w:rsidP="0031489C">
            <w:pPr>
              <w:pStyle w:val="MyTableHeader"/>
            </w:pPr>
            <w:r>
              <w:t>Author</w:t>
            </w:r>
          </w:p>
        </w:tc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E86E13B" w14:textId="77777777" w:rsidR="00C62DDF" w:rsidRDefault="00F34F26" w:rsidP="0031489C">
            <w:pPr>
              <w:pStyle w:val="MyTableHeader"/>
            </w:pPr>
            <w:r>
              <w:t>Date</w:t>
            </w:r>
          </w:p>
        </w:tc>
      </w:tr>
      <w:tr w:rsidR="0031489C" w14:paraId="1CF13B75" w14:textId="77777777" w:rsidTr="0031489C">
        <w:trPr>
          <w:trHeight w:val="851"/>
        </w:trPr>
        <w:tc>
          <w:tcPr>
            <w:tcW w:w="5305" w:type="dxa"/>
            <w:vAlign w:val="center"/>
          </w:tcPr>
          <w:p w14:paraId="7B2D2118" w14:textId="77777777" w:rsidR="00C62DDF" w:rsidRDefault="0031489C" w:rsidP="0031489C">
            <w:pPr>
              <w:pStyle w:val="MyTableHeader"/>
            </w:pPr>
            <w:r>
              <w:t>Original document approved.</w:t>
            </w:r>
          </w:p>
        </w:tc>
        <w:tc>
          <w:tcPr>
            <w:tcW w:w="1852" w:type="dxa"/>
            <w:vAlign w:val="center"/>
          </w:tcPr>
          <w:p w14:paraId="0D5B8BF6" w14:textId="77777777" w:rsidR="00C62DDF" w:rsidRDefault="0031489C" w:rsidP="0031489C">
            <w:pPr>
              <w:pStyle w:val="MyTableHeader"/>
            </w:pPr>
            <w:r>
              <w:t>IO</w:t>
            </w:r>
          </w:p>
        </w:tc>
        <w:tc>
          <w:tcPr>
            <w:tcW w:w="1853" w:type="dxa"/>
            <w:vAlign w:val="center"/>
          </w:tcPr>
          <w:p w14:paraId="0C1501C3" w14:textId="4D1211F1" w:rsidR="00C62DDF" w:rsidRDefault="0031489C" w:rsidP="0031489C">
            <w:pPr>
              <w:pStyle w:val="MyTableHeader"/>
            </w:pPr>
            <w:r>
              <w:t>01/1</w:t>
            </w:r>
            <w:r w:rsidR="00577E5C">
              <w:t>2</w:t>
            </w:r>
            <w:r>
              <w:t>/2020</w:t>
            </w:r>
          </w:p>
        </w:tc>
      </w:tr>
    </w:tbl>
    <w:p w14:paraId="6D82B205" w14:textId="77777777" w:rsidR="00890E31" w:rsidRPr="003E7392" w:rsidRDefault="00890E31" w:rsidP="000B4219">
      <w:pPr>
        <w:pStyle w:val="MyNormal"/>
      </w:pPr>
    </w:p>
    <w:sectPr w:rsidR="00890E31" w:rsidRPr="003E7392" w:rsidSect="00B40A2E">
      <w:pgSz w:w="11900" w:h="16820"/>
      <w:pgMar w:top="2121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86590" w14:textId="77777777" w:rsidR="00795F18" w:rsidRDefault="00795F18" w:rsidP="00475FB7">
      <w:pPr>
        <w:spacing w:after="0" w:line="240" w:lineRule="auto"/>
      </w:pPr>
      <w:r>
        <w:separator/>
      </w:r>
    </w:p>
  </w:endnote>
  <w:endnote w:type="continuationSeparator" w:id="0">
    <w:p w14:paraId="27C5314C" w14:textId="77777777" w:rsidR="00795F18" w:rsidRDefault="00795F18" w:rsidP="00475FB7">
      <w:pPr>
        <w:spacing w:after="0" w:line="240" w:lineRule="auto"/>
      </w:pPr>
      <w:r>
        <w:continuationSeparator/>
      </w:r>
    </w:p>
  </w:endnote>
  <w:endnote w:type="continuationNotice" w:id="1">
    <w:p w14:paraId="64D90A8D" w14:textId="77777777" w:rsidR="00795F18" w:rsidRDefault="00795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 SemiBold">
    <w:altName w:val="﷽﷽﷽﷽﷽﷽﷽﷽ Sans SemiBold"/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3FB88" w14:textId="5E294BA4" w:rsidR="00982B80" w:rsidRPr="00D83AEF" w:rsidRDefault="00982B80" w:rsidP="00D83AEF">
    <w:pPr>
      <w:pStyle w:val="MyFooter"/>
      <w:tabs>
        <w:tab w:val="left" w:pos="5670"/>
        <w:tab w:val="left" w:pos="7938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C5799" w14:textId="440A3491" w:rsidR="00317F71" w:rsidRPr="00D83AEF" w:rsidRDefault="00D20A15" w:rsidP="00DD6E4B">
    <w:pPr>
      <w:pStyle w:val="MyFooter"/>
      <w:tabs>
        <w:tab w:val="left" w:pos="5670"/>
        <w:tab w:val="left" w:pos="8080"/>
      </w:tabs>
    </w:pPr>
    <w:r>
      <w:t>Materials, Processes and Drawing</w:t>
    </w:r>
    <w:r w:rsidR="00577E5C">
      <w:t xml:space="preserve"> Programme Specification</w:t>
    </w:r>
    <w:r w:rsidR="00317F71">
      <w:t xml:space="preserve"> 202</w:t>
    </w:r>
    <w:r w:rsidR="00577E5C">
      <w:t>1</w:t>
    </w:r>
    <w:r w:rsidR="00317F71">
      <w:t>-2</w:t>
    </w:r>
    <w:r w:rsidR="00577E5C">
      <w:t>2</w:t>
    </w:r>
    <w:r w:rsidR="00317F71">
      <w:tab/>
      <w:t>Author: Information Office</w:t>
    </w:r>
    <w:r w:rsidR="00317F71">
      <w:tab/>
      <w:t xml:space="preserve">Page </w:t>
    </w:r>
    <w:r w:rsidR="00317F71">
      <w:fldChar w:fldCharType="begin"/>
    </w:r>
    <w:r w:rsidR="00317F71">
      <w:instrText xml:space="preserve"> PAGE </w:instrText>
    </w:r>
    <w:r w:rsidR="00317F71">
      <w:fldChar w:fldCharType="separate"/>
    </w:r>
    <w:r w:rsidR="00317F71">
      <w:rPr>
        <w:noProof/>
      </w:rPr>
      <w:t>7</w:t>
    </w:r>
    <w:r w:rsidR="00317F71">
      <w:fldChar w:fldCharType="end"/>
    </w:r>
    <w:r w:rsidR="00317F71">
      <w:t xml:space="preserve"> of </w:t>
    </w:r>
    <w:r w:rsidR="00317F71">
      <w:fldChar w:fldCharType="begin"/>
    </w:r>
    <w:r w:rsidR="00317F71">
      <w:instrText xml:space="preserve"> NUMPAGES </w:instrText>
    </w:r>
    <w:r w:rsidR="00317F71">
      <w:fldChar w:fldCharType="separate"/>
    </w:r>
    <w:r w:rsidR="00317F71">
      <w:rPr>
        <w:noProof/>
      </w:rPr>
      <w:t>12</w:t>
    </w:r>
    <w:r w:rsidR="00317F7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203B7" w14:textId="77777777" w:rsidR="00795F18" w:rsidRDefault="00795F18" w:rsidP="00475FB7">
      <w:pPr>
        <w:spacing w:after="0" w:line="240" w:lineRule="auto"/>
      </w:pPr>
      <w:r>
        <w:separator/>
      </w:r>
    </w:p>
  </w:footnote>
  <w:footnote w:type="continuationSeparator" w:id="0">
    <w:p w14:paraId="18E4E16B" w14:textId="77777777" w:rsidR="00795F18" w:rsidRDefault="00795F18" w:rsidP="00475FB7">
      <w:pPr>
        <w:spacing w:after="0" w:line="240" w:lineRule="auto"/>
      </w:pPr>
      <w:r>
        <w:continuationSeparator/>
      </w:r>
    </w:p>
  </w:footnote>
  <w:footnote w:type="continuationNotice" w:id="1">
    <w:p w14:paraId="1C8F0527" w14:textId="77777777" w:rsidR="00795F18" w:rsidRDefault="00795F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C32A" w14:textId="2707E9C1" w:rsidR="00982B80" w:rsidRDefault="001B5F2C">
    <w:pPr>
      <w:spacing w:after="0" w:line="0" w:lineRule="atLeast"/>
      <w:rPr>
        <w:sz w:val="0"/>
        <w:szCs w:val="0"/>
      </w:rPr>
    </w:pPr>
    <w:r>
      <w:rPr>
        <w:sz w:val="0"/>
        <w:szCs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5045" w14:textId="77777777" w:rsidR="0012466A" w:rsidRDefault="0012466A">
    <w:pPr>
      <w:spacing w:after="0" w:line="0" w:lineRule="atLeast"/>
      <w:rPr>
        <w:sz w:val="0"/>
        <w:szCs w:val="0"/>
      </w:rPr>
    </w:pPr>
    <w:r>
      <w:rPr>
        <w:sz w:val="0"/>
        <w:szCs w:val="0"/>
      </w:rPr>
      <w:t xml:space="preserve"> </w:t>
    </w:r>
    <w:r w:rsidRPr="008254D1">
      <w:rPr>
        <w:noProof/>
        <w:lang w:val="en-US" w:eastAsia="zh-TW"/>
      </w:rPr>
      <w:drawing>
        <wp:inline distT="0" distB="0" distL="0" distR="0" wp14:anchorId="35757342" wp14:editId="75D37F1E">
          <wp:extent cx="1739900" cy="55880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99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8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13992"/>
    <w:multiLevelType w:val="hybridMultilevel"/>
    <w:tmpl w:val="0409001F"/>
    <w:lvl w:ilvl="0" w:tplc="BF06CBBC">
      <w:start w:val="1"/>
      <w:numFmt w:val="decimal"/>
      <w:lvlText w:val="%1."/>
      <w:lvlJc w:val="left"/>
      <w:pPr>
        <w:ind w:left="360" w:hanging="360"/>
      </w:pPr>
    </w:lvl>
    <w:lvl w:ilvl="1" w:tplc="73703346">
      <w:start w:val="1"/>
      <w:numFmt w:val="decimal"/>
      <w:lvlText w:val="%1.%2."/>
      <w:lvlJc w:val="left"/>
      <w:pPr>
        <w:ind w:left="792" w:hanging="432"/>
      </w:pPr>
    </w:lvl>
    <w:lvl w:ilvl="2" w:tplc="553C5AFE">
      <w:start w:val="1"/>
      <w:numFmt w:val="decimal"/>
      <w:lvlText w:val="%1.%2.%3."/>
      <w:lvlJc w:val="left"/>
      <w:pPr>
        <w:ind w:left="1224" w:hanging="504"/>
      </w:pPr>
    </w:lvl>
    <w:lvl w:ilvl="3" w:tplc="55201450">
      <w:start w:val="1"/>
      <w:numFmt w:val="decimal"/>
      <w:lvlText w:val="%1.%2.%3.%4."/>
      <w:lvlJc w:val="left"/>
      <w:pPr>
        <w:ind w:left="1728" w:hanging="648"/>
      </w:pPr>
    </w:lvl>
    <w:lvl w:ilvl="4" w:tplc="B8D40C26">
      <w:start w:val="1"/>
      <w:numFmt w:val="decimal"/>
      <w:lvlText w:val="%1.%2.%3.%4.%5."/>
      <w:lvlJc w:val="left"/>
      <w:pPr>
        <w:ind w:left="2232" w:hanging="792"/>
      </w:pPr>
    </w:lvl>
    <w:lvl w:ilvl="5" w:tplc="6784CC78">
      <w:start w:val="1"/>
      <w:numFmt w:val="decimal"/>
      <w:lvlText w:val="%1.%2.%3.%4.%5.%6."/>
      <w:lvlJc w:val="left"/>
      <w:pPr>
        <w:ind w:left="2736" w:hanging="936"/>
      </w:pPr>
    </w:lvl>
    <w:lvl w:ilvl="6" w:tplc="A70C1224">
      <w:start w:val="1"/>
      <w:numFmt w:val="decimal"/>
      <w:lvlText w:val="%1.%2.%3.%4.%5.%6.%7."/>
      <w:lvlJc w:val="left"/>
      <w:pPr>
        <w:ind w:left="3240" w:hanging="1080"/>
      </w:pPr>
    </w:lvl>
    <w:lvl w:ilvl="7" w:tplc="5FD4D5B6">
      <w:start w:val="1"/>
      <w:numFmt w:val="decimal"/>
      <w:lvlText w:val="%1.%2.%3.%4.%5.%6.%7.%8."/>
      <w:lvlJc w:val="left"/>
      <w:pPr>
        <w:ind w:left="3744" w:hanging="1224"/>
      </w:pPr>
    </w:lvl>
    <w:lvl w:ilvl="8" w:tplc="27AC53F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32C4F"/>
    <w:multiLevelType w:val="multilevel"/>
    <w:tmpl w:val="3DFA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3618E"/>
    <w:multiLevelType w:val="hybridMultilevel"/>
    <w:tmpl w:val="C2467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3DC5"/>
    <w:multiLevelType w:val="hybridMultilevel"/>
    <w:tmpl w:val="B4EE8154"/>
    <w:lvl w:ilvl="0" w:tplc="ED349A8E">
      <w:start w:val="1"/>
      <w:numFmt w:val="decimal"/>
      <w:pStyle w:val="MyNumberedParagrapg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87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34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EC4C78"/>
    <w:multiLevelType w:val="hybridMultilevel"/>
    <w:tmpl w:val="ABA20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6BAA"/>
    <w:multiLevelType w:val="multilevel"/>
    <w:tmpl w:val="3DFA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8291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2946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0D56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862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E5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50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EB6812"/>
    <w:multiLevelType w:val="multilevel"/>
    <w:tmpl w:val="3DFA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C52BA4"/>
    <w:multiLevelType w:val="hybridMultilevel"/>
    <w:tmpl w:val="FB8A8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12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6D1EAB"/>
    <w:multiLevelType w:val="hybridMultilevel"/>
    <w:tmpl w:val="9B28B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0B9F"/>
    <w:multiLevelType w:val="hybridMultilevel"/>
    <w:tmpl w:val="1D36E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4297D"/>
    <w:multiLevelType w:val="multilevel"/>
    <w:tmpl w:val="3DFA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576EC9"/>
    <w:multiLevelType w:val="multilevel"/>
    <w:tmpl w:val="3DFA2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966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560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3159DE"/>
    <w:multiLevelType w:val="multilevel"/>
    <w:tmpl w:val="AA6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299"/>
    <w:multiLevelType w:val="hybridMultilevel"/>
    <w:tmpl w:val="59D259A0"/>
    <w:lvl w:ilvl="0" w:tplc="60423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0647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8286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E02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CC2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C69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F8D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3676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12EA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6"/>
  </w:num>
  <w:num w:numId="5">
    <w:abstractNumId w:val="21"/>
  </w:num>
  <w:num w:numId="6">
    <w:abstractNumId w:val="9"/>
  </w:num>
  <w:num w:numId="7">
    <w:abstractNumId w:val="12"/>
  </w:num>
  <w:num w:numId="8">
    <w:abstractNumId w:val="0"/>
  </w:num>
  <w:num w:numId="9">
    <w:abstractNumId w:val="11"/>
  </w:num>
  <w:num w:numId="10">
    <w:abstractNumId w:val="10"/>
  </w:num>
  <w:num w:numId="11">
    <w:abstractNumId w:val="16"/>
  </w:num>
  <w:num w:numId="12">
    <w:abstractNumId w:val="1"/>
  </w:num>
  <w:num w:numId="13">
    <w:abstractNumId w:val="22"/>
  </w:num>
  <w:num w:numId="14">
    <w:abstractNumId w:val="23"/>
  </w:num>
  <w:num w:numId="15">
    <w:abstractNumId w:val="24"/>
  </w:num>
  <w:num w:numId="16">
    <w:abstractNumId w:val="3"/>
  </w:num>
  <w:num w:numId="17">
    <w:abstractNumId w:val="15"/>
  </w:num>
  <w:num w:numId="18">
    <w:abstractNumId w:val="18"/>
  </w:num>
  <w:num w:numId="19">
    <w:abstractNumId w:val="17"/>
  </w:num>
  <w:num w:numId="20">
    <w:abstractNumId w:val="7"/>
  </w:num>
  <w:num w:numId="21">
    <w:abstractNumId w:val="2"/>
  </w:num>
  <w:num w:numId="22">
    <w:abstractNumId w:val="8"/>
  </w:num>
  <w:num w:numId="23">
    <w:abstractNumId w:val="19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attachedTemplate r:id="rId1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D5"/>
    <w:rsid w:val="00004E30"/>
    <w:rsid w:val="00010E13"/>
    <w:rsid w:val="00012D63"/>
    <w:rsid w:val="000172B7"/>
    <w:rsid w:val="00020D26"/>
    <w:rsid w:val="000217D7"/>
    <w:rsid w:val="000229A8"/>
    <w:rsid w:val="00051DB3"/>
    <w:rsid w:val="00060421"/>
    <w:rsid w:val="00063663"/>
    <w:rsid w:val="00064C4B"/>
    <w:rsid w:val="00066072"/>
    <w:rsid w:val="000705FB"/>
    <w:rsid w:val="00071F70"/>
    <w:rsid w:val="000720F3"/>
    <w:rsid w:val="00080BCE"/>
    <w:rsid w:val="00080D57"/>
    <w:rsid w:val="00086919"/>
    <w:rsid w:val="0009139C"/>
    <w:rsid w:val="000920D5"/>
    <w:rsid w:val="00093285"/>
    <w:rsid w:val="0009783A"/>
    <w:rsid w:val="000A5A30"/>
    <w:rsid w:val="000A6B64"/>
    <w:rsid w:val="000B4219"/>
    <w:rsid w:val="000B4E3B"/>
    <w:rsid w:val="000B7102"/>
    <w:rsid w:val="000C3228"/>
    <w:rsid w:val="000C327A"/>
    <w:rsid w:val="000C5F07"/>
    <w:rsid w:val="000C7E0C"/>
    <w:rsid w:val="000D00FD"/>
    <w:rsid w:val="000E09DB"/>
    <w:rsid w:val="000E5756"/>
    <w:rsid w:val="000E5A2D"/>
    <w:rsid w:val="000E5F02"/>
    <w:rsid w:val="000E7AAB"/>
    <w:rsid w:val="000F18D8"/>
    <w:rsid w:val="000F6D6F"/>
    <w:rsid w:val="000F76AA"/>
    <w:rsid w:val="001000E2"/>
    <w:rsid w:val="0010092D"/>
    <w:rsid w:val="00103E6A"/>
    <w:rsid w:val="001051E5"/>
    <w:rsid w:val="00105B62"/>
    <w:rsid w:val="001061C8"/>
    <w:rsid w:val="0010771E"/>
    <w:rsid w:val="0011011F"/>
    <w:rsid w:val="0011293B"/>
    <w:rsid w:val="00113530"/>
    <w:rsid w:val="00113845"/>
    <w:rsid w:val="00116968"/>
    <w:rsid w:val="001237B6"/>
    <w:rsid w:val="0012466A"/>
    <w:rsid w:val="00124934"/>
    <w:rsid w:val="00126003"/>
    <w:rsid w:val="00126FFB"/>
    <w:rsid w:val="00127368"/>
    <w:rsid w:val="00135D31"/>
    <w:rsid w:val="00141C5D"/>
    <w:rsid w:val="00142D47"/>
    <w:rsid w:val="00144826"/>
    <w:rsid w:val="00151B0C"/>
    <w:rsid w:val="00156E78"/>
    <w:rsid w:val="00157BDE"/>
    <w:rsid w:val="001600C9"/>
    <w:rsid w:val="00160AC9"/>
    <w:rsid w:val="00162B5E"/>
    <w:rsid w:val="001631EA"/>
    <w:rsid w:val="00164D81"/>
    <w:rsid w:val="00166418"/>
    <w:rsid w:val="001672EF"/>
    <w:rsid w:val="00177B4E"/>
    <w:rsid w:val="00177D4F"/>
    <w:rsid w:val="00181B8B"/>
    <w:rsid w:val="00185120"/>
    <w:rsid w:val="0019120D"/>
    <w:rsid w:val="00197BCF"/>
    <w:rsid w:val="00197CF7"/>
    <w:rsid w:val="001B2AEC"/>
    <w:rsid w:val="001B2C02"/>
    <w:rsid w:val="001B5F2C"/>
    <w:rsid w:val="001B7253"/>
    <w:rsid w:val="001C0E72"/>
    <w:rsid w:val="001D1B72"/>
    <w:rsid w:val="001D2E60"/>
    <w:rsid w:val="001E272D"/>
    <w:rsid w:val="001E2A36"/>
    <w:rsid w:val="001E3FB4"/>
    <w:rsid w:val="00202458"/>
    <w:rsid w:val="002064C0"/>
    <w:rsid w:val="00210DD7"/>
    <w:rsid w:val="00212D83"/>
    <w:rsid w:val="002155A6"/>
    <w:rsid w:val="00216F1A"/>
    <w:rsid w:val="0021704C"/>
    <w:rsid w:val="00217C44"/>
    <w:rsid w:val="002208C4"/>
    <w:rsid w:val="00220B04"/>
    <w:rsid w:val="00224A33"/>
    <w:rsid w:val="00231F64"/>
    <w:rsid w:val="002343EB"/>
    <w:rsid w:val="002368AC"/>
    <w:rsid w:val="002402DD"/>
    <w:rsid w:val="00241F65"/>
    <w:rsid w:val="00242F37"/>
    <w:rsid w:val="00244FC3"/>
    <w:rsid w:val="00245EF7"/>
    <w:rsid w:val="002465B8"/>
    <w:rsid w:val="0024791D"/>
    <w:rsid w:val="002608FE"/>
    <w:rsid w:val="0026225F"/>
    <w:rsid w:val="00265493"/>
    <w:rsid w:val="002663CD"/>
    <w:rsid w:val="00266E50"/>
    <w:rsid w:val="00266E5A"/>
    <w:rsid w:val="00276F9F"/>
    <w:rsid w:val="00281975"/>
    <w:rsid w:val="00283579"/>
    <w:rsid w:val="00284072"/>
    <w:rsid w:val="00290439"/>
    <w:rsid w:val="00290DE0"/>
    <w:rsid w:val="00290FEE"/>
    <w:rsid w:val="00294F02"/>
    <w:rsid w:val="002A1290"/>
    <w:rsid w:val="002A185E"/>
    <w:rsid w:val="002A5CB2"/>
    <w:rsid w:val="002B293B"/>
    <w:rsid w:val="002B381D"/>
    <w:rsid w:val="002B77A8"/>
    <w:rsid w:val="002C1F95"/>
    <w:rsid w:val="002D2A0E"/>
    <w:rsid w:val="002D4762"/>
    <w:rsid w:val="002D51C2"/>
    <w:rsid w:val="002D5750"/>
    <w:rsid w:val="002D6630"/>
    <w:rsid w:val="002E6D48"/>
    <w:rsid w:val="002E7844"/>
    <w:rsid w:val="002E7D05"/>
    <w:rsid w:val="002E7E94"/>
    <w:rsid w:val="002F1C88"/>
    <w:rsid w:val="002F2B7D"/>
    <w:rsid w:val="002F68C8"/>
    <w:rsid w:val="00300049"/>
    <w:rsid w:val="0031489C"/>
    <w:rsid w:val="00316BF3"/>
    <w:rsid w:val="00317F71"/>
    <w:rsid w:val="003220E0"/>
    <w:rsid w:val="00324A3D"/>
    <w:rsid w:val="0032717F"/>
    <w:rsid w:val="003317A2"/>
    <w:rsid w:val="00332C0D"/>
    <w:rsid w:val="0033543E"/>
    <w:rsid w:val="003368AD"/>
    <w:rsid w:val="00342C40"/>
    <w:rsid w:val="00343B60"/>
    <w:rsid w:val="0034496D"/>
    <w:rsid w:val="00345420"/>
    <w:rsid w:val="00351EF5"/>
    <w:rsid w:val="003559FF"/>
    <w:rsid w:val="00362B4B"/>
    <w:rsid w:val="003654EA"/>
    <w:rsid w:val="00372FE1"/>
    <w:rsid w:val="00374076"/>
    <w:rsid w:val="003740C1"/>
    <w:rsid w:val="003775CC"/>
    <w:rsid w:val="00382EF9"/>
    <w:rsid w:val="0038306A"/>
    <w:rsid w:val="00384053"/>
    <w:rsid w:val="0038667F"/>
    <w:rsid w:val="00390875"/>
    <w:rsid w:val="003964E2"/>
    <w:rsid w:val="003A02C5"/>
    <w:rsid w:val="003A5D6D"/>
    <w:rsid w:val="003A76F2"/>
    <w:rsid w:val="003B2E9E"/>
    <w:rsid w:val="003B3309"/>
    <w:rsid w:val="003B527B"/>
    <w:rsid w:val="003C041C"/>
    <w:rsid w:val="003C6676"/>
    <w:rsid w:val="003E1833"/>
    <w:rsid w:val="003E3B85"/>
    <w:rsid w:val="003E51C6"/>
    <w:rsid w:val="003E7392"/>
    <w:rsid w:val="003E7FD2"/>
    <w:rsid w:val="003F7741"/>
    <w:rsid w:val="003F7E6B"/>
    <w:rsid w:val="00400B86"/>
    <w:rsid w:val="00403C94"/>
    <w:rsid w:val="00406021"/>
    <w:rsid w:val="004145FA"/>
    <w:rsid w:val="00414924"/>
    <w:rsid w:val="004219EE"/>
    <w:rsid w:val="004225EB"/>
    <w:rsid w:val="00423F52"/>
    <w:rsid w:val="00427B03"/>
    <w:rsid w:val="00430EB7"/>
    <w:rsid w:val="0043154B"/>
    <w:rsid w:val="004331B6"/>
    <w:rsid w:val="004346C0"/>
    <w:rsid w:val="004409B3"/>
    <w:rsid w:val="004421D7"/>
    <w:rsid w:val="00443712"/>
    <w:rsid w:val="00446B39"/>
    <w:rsid w:val="00446FCF"/>
    <w:rsid w:val="00447CDB"/>
    <w:rsid w:val="00454284"/>
    <w:rsid w:val="004570D9"/>
    <w:rsid w:val="00457C51"/>
    <w:rsid w:val="0047022F"/>
    <w:rsid w:val="00472261"/>
    <w:rsid w:val="00473040"/>
    <w:rsid w:val="00474670"/>
    <w:rsid w:val="00475FB7"/>
    <w:rsid w:val="0048620C"/>
    <w:rsid w:val="00495EDE"/>
    <w:rsid w:val="00497426"/>
    <w:rsid w:val="004A2430"/>
    <w:rsid w:val="004A30C1"/>
    <w:rsid w:val="004A40C2"/>
    <w:rsid w:val="004A61D8"/>
    <w:rsid w:val="004A7299"/>
    <w:rsid w:val="004B1BB0"/>
    <w:rsid w:val="004B2B74"/>
    <w:rsid w:val="004B4197"/>
    <w:rsid w:val="004C0FCD"/>
    <w:rsid w:val="004C2C79"/>
    <w:rsid w:val="004C5C64"/>
    <w:rsid w:val="004C5CB1"/>
    <w:rsid w:val="004C6202"/>
    <w:rsid w:val="004E08EB"/>
    <w:rsid w:val="004E2DFE"/>
    <w:rsid w:val="004E3A98"/>
    <w:rsid w:val="004E4D9D"/>
    <w:rsid w:val="004E525F"/>
    <w:rsid w:val="004E7C08"/>
    <w:rsid w:val="004F0BF1"/>
    <w:rsid w:val="004F0C2A"/>
    <w:rsid w:val="004F1464"/>
    <w:rsid w:val="004F1D80"/>
    <w:rsid w:val="004F2E21"/>
    <w:rsid w:val="004F6DC6"/>
    <w:rsid w:val="0050253B"/>
    <w:rsid w:val="00502A16"/>
    <w:rsid w:val="00502B24"/>
    <w:rsid w:val="00507AAC"/>
    <w:rsid w:val="00512159"/>
    <w:rsid w:val="00512982"/>
    <w:rsid w:val="00520BBF"/>
    <w:rsid w:val="00520D5B"/>
    <w:rsid w:val="005260E3"/>
    <w:rsid w:val="005317FF"/>
    <w:rsid w:val="005337B4"/>
    <w:rsid w:val="00535FC7"/>
    <w:rsid w:val="00536B95"/>
    <w:rsid w:val="005405EF"/>
    <w:rsid w:val="0054283A"/>
    <w:rsid w:val="00550143"/>
    <w:rsid w:val="005601C8"/>
    <w:rsid w:val="00560436"/>
    <w:rsid w:val="00570C6E"/>
    <w:rsid w:val="005715A5"/>
    <w:rsid w:val="005716F5"/>
    <w:rsid w:val="005749E2"/>
    <w:rsid w:val="00575404"/>
    <w:rsid w:val="00577E5C"/>
    <w:rsid w:val="00583E8A"/>
    <w:rsid w:val="00591843"/>
    <w:rsid w:val="00594E82"/>
    <w:rsid w:val="00595F14"/>
    <w:rsid w:val="005A27C6"/>
    <w:rsid w:val="005A4117"/>
    <w:rsid w:val="005A512E"/>
    <w:rsid w:val="005A62AB"/>
    <w:rsid w:val="005A6332"/>
    <w:rsid w:val="005B45B8"/>
    <w:rsid w:val="005B4E7E"/>
    <w:rsid w:val="005B662C"/>
    <w:rsid w:val="005C34A1"/>
    <w:rsid w:val="005C34C7"/>
    <w:rsid w:val="005D16CE"/>
    <w:rsid w:val="005D5386"/>
    <w:rsid w:val="005D7465"/>
    <w:rsid w:val="005D7D16"/>
    <w:rsid w:val="005E0EE3"/>
    <w:rsid w:val="005E13E3"/>
    <w:rsid w:val="005E2D35"/>
    <w:rsid w:val="005E4261"/>
    <w:rsid w:val="005E4676"/>
    <w:rsid w:val="005F1E50"/>
    <w:rsid w:val="005F5F0D"/>
    <w:rsid w:val="0060121D"/>
    <w:rsid w:val="006019DE"/>
    <w:rsid w:val="00601C2C"/>
    <w:rsid w:val="00603C35"/>
    <w:rsid w:val="0060470C"/>
    <w:rsid w:val="0060558C"/>
    <w:rsid w:val="00607C83"/>
    <w:rsid w:val="00613A2C"/>
    <w:rsid w:val="00620C18"/>
    <w:rsid w:val="00623AD4"/>
    <w:rsid w:val="00624441"/>
    <w:rsid w:val="00632208"/>
    <w:rsid w:val="00632923"/>
    <w:rsid w:val="00633086"/>
    <w:rsid w:val="0063511D"/>
    <w:rsid w:val="00635410"/>
    <w:rsid w:val="00635B10"/>
    <w:rsid w:val="00641349"/>
    <w:rsid w:val="00644418"/>
    <w:rsid w:val="006476ED"/>
    <w:rsid w:val="006524C9"/>
    <w:rsid w:val="00654F58"/>
    <w:rsid w:val="00655BCD"/>
    <w:rsid w:val="00660468"/>
    <w:rsid w:val="00661E15"/>
    <w:rsid w:val="0066289E"/>
    <w:rsid w:val="00662B3A"/>
    <w:rsid w:val="006630B6"/>
    <w:rsid w:val="00671CB7"/>
    <w:rsid w:val="00672E42"/>
    <w:rsid w:val="0067328C"/>
    <w:rsid w:val="00674471"/>
    <w:rsid w:val="0068323B"/>
    <w:rsid w:val="00683437"/>
    <w:rsid w:val="00683E35"/>
    <w:rsid w:val="00684F58"/>
    <w:rsid w:val="00690EB6"/>
    <w:rsid w:val="00694BF1"/>
    <w:rsid w:val="00695B40"/>
    <w:rsid w:val="006A4762"/>
    <w:rsid w:val="006A5145"/>
    <w:rsid w:val="006B1DDE"/>
    <w:rsid w:val="006B2148"/>
    <w:rsid w:val="006C5597"/>
    <w:rsid w:val="006D1E67"/>
    <w:rsid w:val="006D3139"/>
    <w:rsid w:val="006D37B8"/>
    <w:rsid w:val="006E1EA3"/>
    <w:rsid w:val="006E4935"/>
    <w:rsid w:val="006E4FBB"/>
    <w:rsid w:val="006E521A"/>
    <w:rsid w:val="006E6205"/>
    <w:rsid w:val="006F1B3E"/>
    <w:rsid w:val="006F4B12"/>
    <w:rsid w:val="006F560D"/>
    <w:rsid w:val="0070059B"/>
    <w:rsid w:val="00701F45"/>
    <w:rsid w:val="007029F1"/>
    <w:rsid w:val="007148E4"/>
    <w:rsid w:val="00715DB3"/>
    <w:rsid w:val="00717551"/>
    <w:rsid w:val="00725FDD"/>
    <w:rsid w:val="00726747"/>
    <w:rsid w:val="00726B24"/>
    <w:rsid w:val="00732BB9"/>
    <w:rsid w:val="007337D4"/>
    <w:rsid w:val="00736148"/>
    <w:rsid w:val="00750188"/>
    <w:rsid w:val="00753CD6"/>
    <w:rsid w:val="007615BD"/>
    <w:rsid w:val="0076598A"/>
    <w:rsid w:val="00766FB5"/>
    <w:rsid w:val="00775C8A"/>
    <w:rsid w:val="00781826"/>
    <w:rsid w:val="00782DC6"/>
    <w:rsid w:val="007836EB"/>
    <w:rsid w:val="00787847"/>
    <w:rsid w:val="00787FD0"/>
    <w:rsid w:val="007908C3"/>
    <w:rsid w:val="007931F9"/>
    <w:rsid w:val="00795F18"/>
    <w:rsid w:val="007A0324"/>
    <w:rsid w:val="007A1CE7"/>
    <w:rsid w:val="007A3E19"/>
    <w:rsid w:val="007A4B40"/>
    <w:rsid w:val="007A5F0D"/>
    <w:rsid w:val="007A6266"/>
    <w:rsid w:val="007B624F"/>
    <w:rsid w:val="007C1ABA"/>
    <w:rsid w:val="007C2861"/>
    <w:rsid w:val="007C60E8"/>
    <w:rsid w:val="007D306D"/>
    <w:rsid w:val="007D40EA"/>
    <w:rsid w:val="007D6E17"/>
    <w:rsid w:val="007E3C66"/>
    <w:rsid w:val="007E530C"/>
    <w:rsid w:val="007E7544"/>
    <w:rsid w:val="007F0F00"/>
    <w:rsid w:val="007F372B"/>
    <w:rsid w:val="007F3B0F"/>
    <w:rsid w:val="007F501A"/>
    <w:rsid w:val="007F5773"/>
    <w:rsid w:val="0080244B"/>
    <w:rsid w:val="00803242"/>
    <w:rsid w:val="00805653"/>
    <w:rsid w:val="00812E94"/>
    <w:rsid w:val="00813D78"/>
    <w:rsid w:val="00817600"/>
    <w:rsid w:val="00817D28"/>
    <w:rsid w:val="00821109"/>
    <w:rsid w:val="008254D1"/>
    <w:rsid w:val="0082588E"/>
    <w:rsid w:val="00830105"/>
    <w:rsid w:val="008317A4"/>
    <w:rsid w:val="00837399"/>
    <w:rsid w:val="00837ED4"/>
    <w:rsid w:val="008413BB"/>
    <w:rsid w:val="00842637"/>
    <w:rsid w:val="0085032E"/>
    <w:rsid w:val="0085275D"/>
    <w:rsid w:val="008554AD"/>
    <w:rsid w:val="00855698"/>
    <w:rsid w:val="008569D2"/>
    <w:rsid w:val="00856B3C"/>
    <w:rsid w:val="008617C6"/>
    <w:rsid w:val="00863CEA"/>
    <w:rsid w:val="008647CE"/>
    <w:rsid w:val="0086592D"/>
    <w:rsid w:val="008778E8"/>
    <w:rsid w:val="00885484"/>
    <w:rsid w:val="008873FA"/>
    <w:rsid w:val="00890E31"/>
    <w:rsid w:val="00891A12"/>
    <w:rsid w:val="00894435"/>
    <w:rsid w:val="008A0799"/>
    <w:rsid w:val="008A25C2"/>
    <w:rsid w:val="008A6E86"/>
    <w:rsid w:val="008B28D9"/>
    <w:rsid w:val="008B2D7B"/>
    <w:rsid w:val="008B43C9"/>
    <w:rsid w:val="008C36CD"/>
    <w:rsid w:val="008C5019"/>
    <w:rsid w:val="008C6857"/>
    <w:rsid w:val="008D76D5"/>
    <w:rsid w:val="008E1A51"/>
    <w:rsid w:val="008E1F33"/>
    <w:rsid w:val="008E3B55"/>
    <w:rsid w:val="008E50C0"/>
    <w:rsid w:val="008E5D43"/>
    <w:rsid w:val="008E76D5"/>
    <w:rsid w:val="008F2152"/>
    <w:rsid w:val="008F5632"/>
    <w:rsid w:val="00902E48"/>
    <w:rsid w:val="00903056"/>
    <w:rsid w:val="00904360"/>
    <w:rsid w:val="0090467A"/>
    <w:rsid w:val="00904DA6"/>
    <w:rsid w:val="00904DFA"/>
    <w:rsid w:val="00911F72"/>
    <w:rsid w:val="00912398"/>
    <w:rsid w:val="0091325A"/>
    <w:rsid w:val="00916FD2"/>
    <w:rsid w:val="0091741E"/>
    <w:rsid w:val="009206B1"/>
    <w:rsid w:val="009208FB"/>
    <w:rsid w:val="00920AFA"/>
    <w:rsid w:val="009263B0"/>
    <w:rsid w:val="0093006F"/>
    <w:rsid w:val="00930D3D"/>
    <w:rsid w:val="00932A8F"/>
    <w:rsid w:val="00933053"/>
    <w:rsid w:val="00935FDC"/>
    <w:rsid w:val="00941AF2"/>
    <w:rsid w:val="00944DE6"/>
    <w:rsid w:val="00944E73"/>
    <w:rsid w:val="0094694F"/>
    <w:rsid w:val="00947EC7"/>
    <w:rsid w:val="0095117A"/>
    <w:rsid w:val="00953410"/>
    <w:rsid w:val="009577FF"/>
    <w:rsid w:val="00961060"/>
    <w:rsid w:val="00961938"/>
    <w:rsid w:val="00963490"/>
    <w:rsid w:val="00964DE6"/>
    <w:rsid w:val="00965D84"/>
    <w:rsid w:val="00966B87"/>
    <w:rsid w:val="00967874"/>
    <w:rsid w:val="009704DA"/>
    <w:rsid w:val="00971D97"/>
    <w:rsid w:val="00974022"/>
    <w:rsid w:val="009740ED"/>
    <w:rsid w:val="00975511"/>
    <w:rsid w:val="00976F52"/>
    <w:rsid w:val="00982B80"/>
    <w:rsid w:val="00983BBA"/>
    <w:rsid w:val="00984EF8"/>
    <w:rsid w:val="009954A7"/>
    <w:rsid w:val="009A1D6F"/>
    <w:rsid w:val="009A5AC5"/>
    <w:rsid w:val="009A720F"/>
    <w:rsid w:val="009A7676"/>
    <w:rsid w:val="009B1258"/>
    <w:rsid w:val="009B1460"/>
    <w:rsid w:val="009B3E35"/>
    <w:rsid w:val="009B794E"/>
    <w:rsid w:val="009C031A"/>
    <w:rsid w:val="009C101D"/>
    <w:rsid w:val="009C5DBA"/>
    <w:rsid w:val="009C7D3B"/>
    <w:rsid w:val="009C7E78"/>
    <w:rsid w:val="009D13DD"/>
    <w:rsid w:val="009D1732"/>
    <w:rsid w:val="009D6F04"/>
    <w:rsid w:val="009E12F6"/>
    <w:rsid w:val="009E3A2D"/>
    <w:rsid w:val="009E3BFB"/>
    <w:rsid w:val="009E67B8"/>
    <w:rsid w:val="009E6974"/>
    <w:rsid w:val="009F063C"/>
    <w:rsid w:val="009F3412"/>
    <w:rsid w:val="009F439A"/>
    <w:rsid w:val="009F7EB5"/>
    <w:rsid w:val="00A0205B"/>
    <w:rsid w:val="00A028B6"/>
    <w:rsid w:val="00A0328F"/>
    <w:rsid w:val="00A032B8"/>
    <w:rsid w:val="00A03459"/>
    <w:rsid w:val="00A05C53"/>
    <w:rsid w:val="00A0684C"/>
    <w:rsid w:val="00A07F58"/>
    <w:rsid w:val="00A10159"/>
    <w:rsid w:val="00A15F29"/>
    <w:rsid w:val="00A1663E"/>
    <w:rsid w:val="00A20077"/>
    <w:rsid w:val="00A20AB2"/>
    <w:rsid w:val="00A20BB4"/>
    <w:rsid w:val="00A20DF6"/>
    <w:rsid w:val="00A22827"/>
    <w:rsid w:val="00A23E2E"/>
    <w:rsid w:val="00A24325"/>
    <w:rsid w:val="00A25E86"/>
    <w:rsid w:val="00A26E78"/>
    <w:rsid w:val="00A45CEF"/>
    <w:rsid w:val="00A521F9"/>
    <w:rsid w:val="00A54D48"/>
    <w:rsid w:val="00A658DD"/>
    <w:rsid w:val="00A65D75"/>
    <w:rsid w:val="00A66612"/>
    <w:rsid w:val="00A67D32"/>
    <w:rsid w:val="00A7038B"/>
    <w:rsid w:val="00A7254C"/>
    <w:rsid w:val="00A734ED"/>
    <w:rsid w:val="00A815C9"/>
    <w:rsid w:val="00A86A32"/>
    <w:rsid w:val="00A87973"/>
    <w:rsid w:val="00A9247F"/>
    <w:rsid w:val="00A96495"/>
    <w:rsid w:val="00AA182D"/>
    <w:rsid w:val="00AA27EC"/>
    <w:rsid w:val="00AA780E"/>
    <w:rsid w:val="00AB107D"/>
    <w:rsid w:val="00AB1BD9"/>
    <w:rsid w:val="00AB212A"/>
    <w:rsid w:val="00AC0994"/>
    <w:rsid w:val="00AC21CB"/>
    <w:rsid w:val="00AC26E7"/>
    <w:rsid w:val="00AC3C3A"/>
    <w:rsid w:val="00AC783E"/>
    <w:rsid w:val="00AC7DE4"/>
    <w:rsid w:val="00AD1B6F"/>
    <w:rsid w:val="00AD3D4E"/>
    <w:rsid w:val="00AE1240"/>
    <w:rsid w:val="00AE30E2"/>
    <w:rsid w:val="00AE4104"/>
    <w:rsid w:val="00AE4856"/>
    <w:rsid w:val="00AF2663"/>
    <w:rsid w:val="00AF5536"/>
    <w:rsid w:val="00AF5E92"/>
    <w:rsid w:val="00B053BB"/>
    <w:rsid w:val="00B104EF"/>
    <w:rsid w:val="00B147AF"/>
    <w:rsid w:val="00B16BDC"/>
    <w:rsid w:val="00B2149E"/>
    <w:rsid w:val="00B215D7"/>
    <w:rsid w:val="00B40A2E"/>
    <w:rsid w:val="00B412B6"/>
    <w:rsid w:val="00B4744C"/>
    <w:rsid w:val="00B513E3"/>
    <w:rsid w:val="00B54679"/>
    <w:rsid w:val="00B54FE2"/>
    <w:rsid w:val="00B56704"/>
    <w:rsid w:val="00B57839"/>
    <w:rsid w:val="00B63EF8"/>
    <w:rsid w:val="00B666EE"/>
    <w:rsid w:val="00B76984"/>
    <w:rsid w:val="00B82F67"/>
    <w:rsid w:val="00B8414F"/>
    <w:rsid w:val="00B90382"/>
    <w:rsid w:val="00B92487"/>
    <w:rsid w:val="00B95717"/>
    <w:rsid w:val="00B97FDF"/>
    <w:rsid w:val="00BA15AE"/>
    <w:rsid w:val="00BA6446"/>
    <w:rsid w:val="00BB2511"/>
    <w:rsid w:val="00BB4D05"/>
    <w:rsid w:val="00BB506B"/>
    <w:rsid w:val="00BC414D"/>
    <w:rsid w:val="00BD146C"/>
    <w:rsid w:val="00BD2DD5"/>
    <w:rsid w:val="00BD52F3"/>
    <w:rsid w:val="00BD539D"/>
    <w:rsid w:val="00BE1FA0"/>
    <w:rsid w:val="00BE24CC"/>
    <w:rsid w:val="00BE42C3"/>
    <w:rsid w:val="00BF1696"/>
    <w:rsid w:val="00BF23BA"/>
    <w:rsid w:val="00C01E9E"/>
    <w:rsid w:val="00C11E1E"/>
    <w:rsid w:val="00C13BA2"/>
    <w:rsid w:val="00C23227"/>
    <w:rsid w:val="00C324C0"/>
    <w:rsid w:val="00C341FC"/>
    <w:rsid w:val="00C352E7"/>
    <w:rsid w:val="00C362F0"/>
    <w:rsid w:val="00C429A0"/>
    <w:rsid w:val="00C4593C"/>
    <w:rsid w:val="00C45B2E"/>
    <w:rsid w:val="00C4705E"/>
    <w:rsid w:val="00C50002"/>
    <w:rsid w:val="00C5074B"/>
    <w:rsid w:val="00C51BBE"/>
    <w:rsid w:val="00C521AF"/>
    <w:rsid w:val="00C529FA"/>
    <w:rsid w:val="00C54392"/>
    <w:rsid w:val="00C61689"/>
    <w:rsid w:val="00C62DDF"/>
    <w:rsid w:val="00C65688"/>
    <w:rsid w:val="00C66093"/>
    <w:rsid w:val="00C66D7E"/>
    <w:rsid w:val="00C67C5A"/>
    <w:rsid w:val="00C67DFF"/>
    <w:rsid w:val="00C716F1"/>
    <w:rsid w:val="00C73AD4"/>
    <w:rsid w:val="00C73B54"/>
    <w:rsid w:val="00C753FC"/>
    <w:rsid w:val="00C75F2A"/>
    <w:rsid w:val="00C81091"/>
    <w:rsid w:val="00C8158F"/>
    <w:rsid w:val="00C83C93"/>
    <w:rsid w:val="00C86577"/>
    <w:rsid w:val="00C868E4"/>
    <w:rsid w:val="00C879FB"/>
    <w:rsid w:val="00C9640A"/>
    <w:rsid w:val="00CA2AF2"/>
    <w:rsid w:val="00CA36C4"/>
    <w:rsid w:val="00CA5BC2"/>
    <w:rsid w:val="00CA61BE"/>
    <w:rsid w:val="00CB6F20"/>
    <w:rsid w:val="00CB760C"/>
    <w:rsid w:val="00CC02A7"/>
    <w:rsid w:val="00CC084C"/>
    <w:rsid w:val="00CC53C2"/>
    <w:rsid w:val="00CC6B20"/>
    <w:rsid w:val="00CD57E0"/>
    <w:rsid w:val="00CE0402"/>
    <w:rsid w:val="00CE3463"/>
    <w:rsid w:val="00CE3F1F"/>
    <w:rsid w:val="00CE415C"/>
    <w:rsid w:val="00CE5D3E"/>
    <w:rsid w:val="00CE6260"/>
    <w:rsid w:val="00CE6DAC"/>
    <w:rsid w:val="00CE7E40"/>
    <w:rsid w:val="00CF03FD"/>
    <w:rsid w:val="00CF07D3"/>
    <w:rsid w:val="00CF2401"/>
    <w:rsid w:val="00D03E40"/>
    <w:rsid w:val="00D105E7"/>
    <w:rsid w:val="00D14115"/>
    <w:rsid w:val="00D142FD"/>
    <w:rsid w:val="00D1582B"/>
    <w:rsid w:val="00D20A15"/>
    <w:rsid w:val="00D22AB5"/>
    <w:rsid w:val="00D2319C"/>
    <w:rsid w:val="00D24938"/>
    <w:rsid w:val="00D25CBE"/>
    <w:rsid w:val="00D26C9E"/>
    <w:rsid w:val="00D30316"/>
    <w:rsid w:val="00D303B6"/>
    <w:rsid w:val="00D452BB"/>
    <w:rsid w:val="00D53624"/>
    <w:rsid w:val="00D56D59"/>
    <w:rsid w:val="00D67D15"/>
    <w:rsid w:val="00D70FAE"/>
    <w:rsid w:val="00D72CFD"/>
    <w:rsid w:val="00D76B77"/>
    <w:rsid w:val="00D7735A"/>
    <w:rsid w:val="00D83AEF"/>
    <w:rsid w:val="00D8434F"/>
    <w:rsid w:val="00D874B4"/>
    <w:rsid w:val="00D93D98"/>
    <w:rsid w:val="00D96C5A"/>
    <w:rsid w:val="00DA531B"/>
    <w:rsid w:val="00DA6E5D"/>
    <w:rsid w:val="00DA7588"/>
    <w:rsid w:val="00DB6E50"/>
    <w:rsid w:val="00DB768E"/>
    <w:rsid w:val="00DC6CA6"/>
    <w:rsid w:val="00DC7112"/>
    <w:rsid w:val="00DD0A78"/>
    <w:rsid w:val="00DD36EE"/>
    <w:rsid w:val="00DD6E4B"/>
    <w:rsid w:val="00DE15A6"/>
    <w:rsid w:val="00DE356D"/>
    <w:rsid w:val="00DE4159"/>
    <w:rsid w:val="00DE71AE"/>
    <w:rsid w:val="00DF14DD"/>
    <w:rsid w:val="00DF164C"/>
    <w:rsid w:val="00DF3893"/>
    <w:rsid w:val="00DF4458"/>
    <w:rsid w:val="00DF5340"/>
    <w:rsid w:val="00E10265"/>
    <w:rsid w:val="00E140C0"/>
    <w:rsid w:val="00E14660"/>
    <w:rsid w:val="00E15519"/>
    <w:rsid w:val="00E16B1F"/>
    <w:rsid w:val="00E2236C"/>
    <w:rsid w:val="00E22665"/>
    <w:rsid w:val="00E24B6B"/>
    <w:rsid w:val="00E2518F"/>
    <w:rsid w:val="00E3082C"/>
    <w:rsid w:val="00E34EB4"/>
    <w:rsid w:val="00E37961"/>
    <w:rsid w:val="00E44C76"/>
    <w:rsid w:val="00E506F5"/>
    <w:rsid w:val="00E50ACF"/>
    <w:rsid w:val="00E55F59"/>
    <w:rsid w:val="00E70007"/>
    <w:rsid w:val="00E754BA"/>
    <w:rsid w:val="00E8511E"/>
    <w:rsid w:val="00E87A55"/>
    <w:rsid w:val="00E93378"/>
    <w:rsid w:val="00E97EFC"/>
    <w:rsid w:val="00EA0514"/>
    <w:rsid w:val="00EA2831"/>
    <w:rsid w:val="00EA39F1"/>
    <w:rsid w:val="00EA4BBC"/>
    <w:rsid w:val="00EB0978"/>
    <w:rsid w:val="00EB11E0"/>
    <w:rsid w:val="00EB1877"/>
    <w:rsid w:val="00EB22A8"/>
    <w:rsid w:val="00EB4CFC"/>
    <w:rsid w:val="00EC0282"/>
    <w:rsid w:val="00EC0514"/>
    <w:rsid w:val="00EC4517"/>
    <w:rsid w:val="00EC7FCB"/>
    <w:rsid w:val="00ED05DC"/>
    <w:rsid w:val="00ED42A1"/>
    <w:rsid w:val="00ED662C"/>
    <w:rsid w:val="00ED77E5"/>
    <w:rsid w:val="00EE4FFD"/>
    <w:rsid w:val="00EF1CF9"/>
    <w:rsid w:val="00EF5204"/>
    <w:rsid w:val="00EF587F"/>
    <w:rsid w:val="00F0035A"/>
    <w:rsid w:val="00F00FED"/>
    <w:rsid w:val="00F0170B"/>
    <w:rsid w:val="00F03221"/>
    <w:rsid w:val="00F06D14"/>
    <w:rsid w:val="00F07722"/>
    <w:rsid w:val="00F10B81"/>
    <w:rsid w:val="00F11DD8"/>
    <w:rsid w:val="00F129BA"/>
    <w:rsid w:val="00F156C4"/>
    <w:rsid w:val="00F161B1"/>
    <w:rsid w:val="00F239D1"/>
    <w:rsid w:val="00F243DE"/>
    <w:rsid w:val="00F31949"/>
    <w:rsid w:val="00F328F7"/>
    <w:rsid w:val="00F33FBE"/>
    <w:rsid w:val="00F34F26"/>
    <w:rsid w:val="00F354E2"/>
    <w:rsid w:val="00F35991"/>
    <w:rsid w:val="00F35D00"/>
    <w:rsid w:val="00F4050B"/>
    <w:rsid w:val="00F41386"/>
    <w:rsid w:val="00F4268F"/>
    <w:rsid w:val="00F56E40"/>
    <w:rsid w:val="00F70304"/>
    <w:rsid w:val="00F74455"/>
    <w:rsid w:val="00F83073"/>
    <w:rsid w:val="00F84426"/>
    <w:rsid w:val="00F84F6E"/>
    <w:rsid w:val="00F85886"/>
    <w:rsid w:val="00F87F0D"/>
    <w:rsid w:val="00F928FA"/>
    <w:rsid w:val="00F958AB"/>
    <w:rsid w:val="00F97B16"/>
    <w:rsid w:val="00FA14A5"/>
    <w:rsid w:val="00FA1D13"/>
    <w:rsid w:val="00FA65B2"/>
    <w:rsid w:val="00FB5992"/>
    <w:rsid w:val="00FC01D7"/>
    <w:rsid w:val="00FC27CB"/>
    <w:rsid w:val="00FC7BBD"/>
    <w:rsid w:val="00FD128C"/>
    <w:rsid w:val="00FD29B9"/>
    <w:rsid w:val="00FD4B27"/>
    <w:rsid w:val="00FD516B"/>
    <w:rsid w:val="00FD7A4D"/>
    <w:rsid w:val="00FE0D35"/>
    <w:rsid w:val="00FE1059"/>
    <w:rsid w:val="00FE25A5"/>
    <w:rsid w:val="00FE26F2"/>
    <w:rsid w:val="00FE4A72"/>
    <w:rsid w:val="00FE7498"/>
    <w:rsid w:val="00FF0CDB"/>
    <w:rsid w:val="00FF2C60"/>
    <w:rsid w:val="00FF55C7"/>
    <w:rsid w:val="00FF7299"/>
    <w:rsid w:val="43AC8F21"/>
    <w:rsid w:val="6CE1C106"/>
    <w:rsid w:val="7C8B8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2A4D"/>
  <w14:defaultImageDpi w14:val="32767"/>
  <w15:chartTrackingRefBased/>
  <w15:docId w15:val="{655E02DE-2B39-094A-B290-076D5D84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2F3"/>
    <w:pPr>
      <w:spacing w:after="240" w:line="360" w:lineRule="auto"/>
    </w:pPr>
    <w:rPr>
      <w:rFonts w:ascii="Georgia" w:hAnsi="Georgia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3"/>
    <w:pPr>
      <w:keepNext/>
      <w:keepLines/>
      <w:spacing w:after="480" w:line="240" w:lineRule="auto"/>
      <w:outlineLvl w:val="0"/>
    </w:pPr>
    <w:rPr>
      <w:rFonts w:eastAsiaTheme="majorEastAsia" w:cstheme="majorBidi"/>
      <w:color w:val="2F5496" w:themeColor="accent1" w:themeShade="BF"/>
      <w:sz w:val="4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2F3"/>
    <w:pPr>
      <w:keepNext/>
      <w:keepLines/>
      <w:spacing w:before="360" w:line="240" w:lineRule="auto"/>
      <w:outlineLvl w:val="1"/>
    </w:pPr>
    <w:rPr>
      <w:rFonts w:eastAsiaTheme="majorEastAsia" w:cstheme="majorBidi"/>
      <w:color w:val="2F5496" w:themeColor="accent1" w:themeShade="BF"/>
      <w:sz w:val="28"/>
      <w:szCs w:val="2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1A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28"/>
      <w:szCs w:val="24"/>
      <w:lang w:val="en-US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C67DFF"/>
    <w:rPr>
      <w:bCs/>
    </w:rPr>
  </w:style>
  <w:style w:type="paragraph" w:customStyle="1" w:styleId="MyHeading3">
    <w:name w:val="My Heading 3"/>
    <w:qFormat/>
    <w:rsid w:val="008C6857"/>
    <w:pPr>
      <w:suppressAutoHyphens/>
      <w:spacing w:after="160"/>
    </w:pPr>
    <w:rPr>
      <w:rFonts w:ascii="IBM Plex Sans SemiBold" w:eastAsiaTheme="minorHAnsi" w:hAnsi="IBM Plex Sans SemiBold"/>
      <w:bCs/>
      <w:szCs w:val="22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52F3"/>
    <w:rPr>
      <w:rFonts w:ascii="Georgia" w:eastAsiaTheme="majorEastAsia" w:hAnsi="Georgia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2F3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1A"/>
    <w:rPr>
      <w:rFonts w:ascii="Georgia" w:eastAsiaTheme="majorEastAsia" w:hAnsi="Georgia" w:cstheme="majorBidi"/>
      <w:color w:val="2F5496" w:themeColor="accent1" w:themeShade="BF"/>
      <w:sz w:val="28"/>
    </w:rPr>
  </w:style>
  <w:style w:type="paragraph" w:styleId="Footer">
    <w:name w:val="footer"/>
    <w:basedOn w:val="Normal"/>
    <w:link w:val="FooterChar"/>
    <w:uiPriority w:val="99"/>
    <w:unhideWhenUsed/>
    <w:rsid w:val="00475FB7"/>
    <w:pPr>
      <w:tabs>
        <w:tab w:val="center" w:pos="4680"/>
        <w:tab w:val="right" w:pos="9360"/>
      </w:tabs>
      <w:spacing w:after="0" w:line="240" w:lineRule="auto"/>
    </w:pPr>
    <w:rPr>
      <w:rFonts w:ascii="IBM Plex Sans" w:hAnsi="IBM Plex Sans"/>
      <w:sz w:val="16"/>
      <w:szCs w:val="24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475FB7"/>
    <w:rPr>
      <w:rFonts w:ascii="IBM Plex Sans" w:hAnsi="IBM Plex Sans"/>
      <w:sz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7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B7"/>
    <w:rPr>
      <w:rFonts w:ascii="Georgia" w:hAnsi="Georgia"/>
      <w:szCs w:val="22"/>
      <w:lang w:val="en-GB" w:eastAsia="en-US"/>
    </w:rPr>
  </w:style>
  <w:style w:type="paragraph" w:customStyle="1" w:styleId="MyFooter">
    <w:name w:val="My Footer"/>
    <w:rsid w:val="00475FB7"/>
    <w:rPr>
      <w:rFonts w:ascii="IBM Plex Sans" w:hAnsi="IBM Plex Sans"/>
      <w:sz w:val="16"/>
      <w:lang w:val="en-GB"/>
    </w:rPr>
  </w:style>
  <w:style w:type="paragraph" w:customStyle="1" w:styleId="MyHeading1">
    <w:name w:val="My Heading 1"/>
    <w:basedOn w:val="Normal"/>
    <w:next w:val="MyHeading3"/>
    <w:qFormat/>
    <w:rsid w:val="003E7392"/>
    <w:pPr>
      <w:pBdr>
        <w:bottom w:val="single" w:sz="4" w:space="1" w:color="auto"/>
      </w:pBdr>
    </w:pPr>
    <w:rPr>
      <w:rFonts w:ascii="IBM Plex Sans" w:hAnsi="IBM Plex Sans"/>
      <w:sz w:val="36"/>
    </w:rPr>
  </w:style>
  <w:style w:type="paragraph" w:customStyle="1" w:styleId="MyHeading2">
    <w:name w:val="My Heading 2"/>
    <w:basedOn w:val="MyHeading1"/>
    <w:qFormat/>
    <w:rsid w:val="008C6857"/>
    <w:pPr>
      <w:pBdr>
        <w:bottom w:val="none" w:sz="0" w:space="0" w:color="auto"/>
      </w:pBdr>
      <w:spacing w:line="240" w:lineRule="auto"/>
    </w:pPr>
    <w:rPr>
      <w:sz w:val="28"/>
    </w:rPr>
  </w:style>
  <w:style w:type="paragraph" w:customStyle="1" w:styleId="MyNormal">
    <w:name w:val="My Normal"/>
    <w:basedOn w:val="MyHeading3"/>
    <w:qFormat/>
    <w:rsid w:val="00570C6E"/>
    <w:pPr>
      <w:spacing w:after="120"/>
    </w:pPr>
    <w:rPr>
      <w:rFonts w:ascii="IBM Plex Sans" w:hAnsi="IBM Plex Sans"/>
      <w:bCs w:val="0"/>
    </w:rPr>
  </w:style>
  <w:style w:type="paragraph" w:customStyle="1" w:styleId="VersionControlHeader">
    <w:name w:val="Version Control Header"/>
    <w:basedOn w:val="MyHeading1"/>
    <w:qFormat/>
    <w:rsid w:val="00265493"/>
    <w:rPr>
      <w:sz w:val="28"/>
    </w:rPr>
  </w:style>
  <w:style w:type="table" w:styleId="TableGrid">
    <w:name w:val="Table Grid"/>
    <w:basedOn w:val="TableNormal"/>
    <w:uiPriority w:val="39"/>
    <w:rsid w:val="00C62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Header">
    <w:name w:val="My Table Header"/>
    <w:basedOn w:val="MyNormal"/>
    <w:qFormat/>
    <w:rsid w:val="008A0799"/>
    <w:pPr>
      <w:spacing w:after="0"/>
    </w:pPr>
    <w:rPr>
      <w:sz w:val="20"/>
    </w:rPr>
  </w:style>
  <w:style w:type="paragraph" w:customStyle="1" w:styleId="MyNumberedParagrapgh">
    <w:name w:val="My Numbered Paragrapgh"/>
    <w:qFormat/>
    <w:rsid w:val="00570C6E"/>
    <w:pPr>
      <w:numPr>
        <w:numId w:val="1"/>
      </w:numPr>
      <w:spacing w:after="120"/>
      <w:ind w:left="714" w:hanging="357"/>
    </w:pPr>
    <w:rPr>
      <w:rFonts w:ascii="IBM Plex Sans" w:eastAsiaTheme="minorHAnsi" w:hAnsi="IBM Plex Sans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2D"/>
    <w:rPr>
      <w:rFonts w:ascii="Times New Roman" w:hAnsi="Times New Roman" w:cs="Times New Roman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974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4FC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06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iBold">
    <w:name w:val="Semi Bold"/>
    <w:uiPriority w:val="1"/>
    <w:qFormat/>
    <w:rsid w:val="00BF23BA"/>
    <w:rPr>
      <w:rFonts w:ascii="IBM Plex Sans SemiBold" w:hAnsi="IBM Plex Sans SemiBold"/>
      <w:b/>
      <w:i w:val="0"/>
    </w:rPr>
  </w:style>
  <w:style w:type="table" w:customStyle="1" w:styleId="TableGrid2">
    <w:name w:val="Table Grid2"/>
    <w:basedOn w:val="TableNormal"/>
    <w:next w:val="TableGrid"/>
    <w:uiPriority w:val="39"/>
    <w:rsid w:val="00D3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14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F5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E5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1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facebook.com/witti.stud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rmation.office@designschool.as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WM/Library/Group%20Containers/UBF8T346G9.Office/User%20Content.localized/Templates.localized/DSA%20Regulations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DSA Regulations 2.dotx</Template>
  <TotalTime>59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Newman</dc:creator>
  <cp:keywords/>
  <dc:description/>
  <cp:lastModifiedBy>Graham Newman</cp:lastModifiedBy>
  <cp:revision>80</cp:revision>
  <cp:lastPrinted>2020-11-17T09:36:00Z</cp:lastPrinted>
  <dcterms:created xsi:type="dcterms:W3CDTF">2020-11-25T15:54:00Z</dcterms:created>
  <dcterms:modified xsi:type="dcterms:W3CDTF">2021-02-14T05:35:00Z</dcterms:modified>
</cp:coreProperties>
</file>