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C1917"/>
          <w:sz w:val="44"/>
        </w:rPr>
        <w:t>VISHWANATH SHARMA</w:t>
      </w:r>
    </w:p>
    <w:p>
      <w:pPr>
        <w:jc w:val="center"/>
      </w:pPr>
      <w:r>
        <w:rPr>
          <w:rFonts w:ascii="Georgia" w:hAnsi="Georgia"/>
          <w:b/>
          <w:color w:val="B45309"/>
          <w:sz w:val="28"/>
        </w:rPr>
        <w:t>Senior Corporate Financial &amp; Investment Consultant</w:t>
      </w:r>
    </w:p>
    <w:p>
      <w:pPr>
        <w:jc w:val="center"/>
      </w:pPr>
      <w:r>
        <w:rPr>
          <w:i/>
          <w:color w:val="57534E"/>
          <w:sz w:val="20"/>
        </w:rPr>
        <w:t>Email: sharmavn2001@yahoo.com  |  Mobile: +91-9724305602  |  Location: Vadodara / Ahmedabad, Gujarat</w:t>
      </w:r>
    </w:p>
    <w:p>
      <w:pPr>
        <w:spacing w:after="120"/>
      </w:pPr>
    </w:p>
    <w:p>
      <w:r>
        <w:rPr>
          <w:rFonts w:ascii="Georgia" w:hAnsi="Georgia"/>
          <w:b/>
          <w:color w:val="1C1917"/>
          <w:sz w:val="28"/>
        </w:rPr>
        <w:t>CORPORATE FINANCIAL CONSULTANCY SERVICES</w:t>
      </w:r>
    </w:p>
    <w:p>
      <w:pPr>
        <w:spacing w:after="240"/>
      </w:pPr>
      <w:r>
        <w:t>With over 25 years of institutional banking executive experience across IndusInd Bank, Kotak Mahindra Bank, HDFC Bank, ICICI Bank, YES Bank, and ESAF Small Finance Bank, Vishwanath Sharma provides direct principal corporate finance consultancy to mid-market enterprises, CFOs, corporate promoters, and institutional lenders.</w:t>
      </w:r>
    </w:p>
    <w:p>
      <w:r>
        <w:rPr>
          <w:rFonts w:ascii="Georgia" w:hAnsi="Georgia"/>
          <w:b/>
          <w:color w:val="B45309"/>
          <w:sz w:val="24"/>
        </w:rPr>
        <w:t>1. Debt Solutions &amp; Structured Finance</w:t>
      </w:r>
    </w:p>
    <w:p>
      <w:pPr>
        <w:spacing w:after="80"/>
      </w:pPr>
      <w:r>
        <w:t>Structuring and syndicating project finance, term loans, working capital facilities (CC/OD/LC/BG), and External Commercial Borrowings (ECB) for mid-market corporates.</w:t>
      </w:r>
    </w:p>
    <w:p>
      <w:r>
        <w:rPr>
          <w:b/>
          <w:color w:val="57534E"/>
          <w:sz w:val="20"/>
        </w:rPr>
        <w:t>Scope of Engagement:</w:t>
      </w:r>
    </w:p>
    <w:p>
      <w:pPr>
        <w:pStyle w:val="ListBullet"/>
        <w:spacing w:after="40"/>
      </w:pPr>
      <w:r>
        <w:rPr>
          <w:sz w:val="20"/>
        </w:rPr>
        <w:t>Project Finance &amp; Term Loans for Infrastructure, Energy, &amp; Manufacturing</w:t>
      </w:r>
    </w:p>
    <w:p>
      <w:pPr>
        <w:pStyle w:val="ListBullet"/>
        <w:spacing w:after="40"/>
      </w:pPr>
      <w:r>
        <w:rPr>
          <w:sz w:val="20"/>
        </w:rPr>
        <w:t>Working Capital Facilities (Cash Credit, Overdraft, LC, Bank Guarantees)</w:t>
      </w:r>
    </w:p>
    <w:p>
      <w:pPr>
        <w:pStyle w:val="ListBullet"/>
        <w:spacing w:after="40"/>
      </w:pPr>
      <w:r>
        <w:rPr>
          <w:sz w:val="20"/>
        </w:rPr>
        <w:t>External Commercial Borrowings (ECB) &amp; Cross-Border Buyer's Credit</w:t>
      </w:r>
    </w:p>
    <w:p>
      <w:pPr>
        <w:pStyle w:val="ListBullet"/>
        <w:spacing w:after="40"/>
      </w:pPr>
      <w:r>
        <w:rPr>
          <w:sz w:val="20"/>
        </w:rPr>
        <w:t>Equipment Finance, Factoring, &amp; Asset-Backed Lending</w:t>
      </w:r>
    </w:p>
    <w:p>
      <w:pPr>
        <w:pStyle w:val="ListBullet"/>
        <w:spacing w:after="40"/>
      </w:pPr>
      <w:r>
        <w:rPr>
          <w:sz w:val="20"/>
        </w:rPr>
        <w:t>Leveraged Buyouts (LBOs) &amp; Credit Rating Consultancy</w:t>
      </w:r>
    </w:p>
    <w:p>
      <w:pPr>
        <w:spacing w:after="120"/>
      </w:pPr>
    </w:p>
    <w:p>
      <w:r>
        <w:rPr>
          <w:rFonts w:ascii="Georgia" w:hAnsi="Georgia"/>
          <w:b/>
          <w:color w:val="B45309"/>
          <w:sz w:val="24"/>
        </w:rPr>
        <w:t>2. Equity Consultancy &amp; M&amp;A Solutions</w:t>
      </w:r>
    </w:p>
    <w:p>
      <w:pPr>
        <w:spacing w:after="80"/>
      </w:pPr>
      <w:r>
        <w:t>Advising growth-stage companies and corporate promoters on Private Equity (PE/VC) fundraising, buy-side &amp; sell-side M&amp;A transactions, takeovers, buybacks, and public market listings.</w:t>
      </w:r>
    </w:p>
    <w:p>
      <w:r>
        <w:rPr>
          <w:b/>
          <w:color w:val="57534E"/>
          <w:sz w:val="20"/>
        </w:rPr>
        <w:t>Scope of Engagement:</w:t>
      </w:r>
    </w:p>
    <w:p>
      <w:pPr>
        <w:pStyle w:val="ListBullet"/>
        <w:spacing w:after="40"/>
      </w:pPr>
      <w:r>
        <w:rPr>
          <w:sz w:val="20"/>
        </w:rPr>
        <w:t>Private Equity (PE) &amp; Venture Capital (VC) Growth Capital Raising</w:t>
      </w:r>
    </w:p>
    <w:p>
      <w:pPr>
        <w:pStyle w:val="ListBullet"/>
        <w:spacing w:after="40"/>
      </w:pPr>
      <w:r>
        <w:rPr>
          <w:sz w:val="20"/>
        </w:rPr>
        <w:t>Buy-side &amp; Sell-side Mergers &amp; Acquisitions (M&amp;A) Execution</w:t>
      </w:r>
    </w:p>
    <w:p>
      <w:pPr>
        <w:pStyle w:val="ListBullet"/>
        <w:spacing w:after="40"/>
      </w:pPr>
      <w:r>
        <w:rPr>
          <w:sz w:val="20"/>
        </w:rPr>
        <w:t>Takeovers, Buyback Offers, &amp; Stock Exchange De-Listing Consultancy</w:t>
      </w:r>
    </w:p>
    <w:p>
      <w:pPr>
        <w:pStyle w:val="ListBullet"/>
        <w:spacing w:after="40"/>
      </w:pPr>
      <w:r>
        <w:rPr>
          <w:sz w:val="20"/>
        </w:rPr>
        <w:t>IPO, FPO, Rights Issue, &amp; Qualified Institutional Placements (QIP)</w:t>
      </w:r>
    </w:p>
    <w:p>
      <w:pPr>
        <w:pStyle w:val="ListBullet"/>
        <w:spacing w:after="40"/>
      </w:pPr>
      <w:r>
        <w:rPr>
          <w:sz w:val="20"/>
        </w:rPr>
        <w:t>Term Sheet Negotiation &amp; Investor Readiness Structuring</w:t>
      </w:r>
    </w:p>
    <w:p>
      <w:pPr>
        <w:spacing w:after="120"/>
      </w:pPr>
    </w:p>
    <w:p>
      <w:r>
        <w:rPr>
          <w:rFonts w:ascii="Georgia" w:hAnsi="Georgia"/>
          <w:b/>
          <w:color w:val="B45309"/>
          <w:sz w:val="24"/>
        </w:rPr>
        <w:t>3. Valuation &amp; Fairness Opinions</w:t>
      </w:r>
    </w:p>
    <w:p>
      <w:pPr>
        <w:spacing w:after="80"/>
      </w:pPr>
      <w:r>
        <w:t>Independent, regulatory-compliant valuation reports for business equity, real estate, plant &amp; machinery, ESOPs, and intangible assets under Income Tax Act, FEMA/RBI, and Companies Act.</w:t>
      </w:r>
    </w:p>
    <w:p>
      <w:r>
        <w:rPr>
          <w:b/>
          <w:color w:val="57534E"/>
          <w:sz w:val="20"/>
        </w:rPr>
        <w:t>Scope of Engagement:</w:t>
      </w:r>
    </w:p>
    <w:p>
      <w:pPr>
        <w:pStyle w:val="ListBullet"/>
        <w:spacing w:after="40"/>
      </w:pPr>
      <w:r>
        <w:rPr>
          <w:sz w:val="20"/>
        </w:rPr>
        <w:t>Tangible Asset Valuation: Land &amp; Building, Plant &amp; Machinery</w:t>
      </w:r>
    </w:p>
    <w:p>
      <w:pPr>
        <w:pStyle w:val="ListBullet"/>
        <w:spacing w:after="40"/>
      </w:pPr>
      <w:r>
        <w:rPr>
          <w:sz w:val="20"/>
        </w:rPr>
        <w:t>Financial Assets &amp; Securities Valuation (DCF, Multiples, Asset-Based)</w:t>
      </w:r>
    </w:p>
    <w:p>
      <w:pPr>
        <w:pStyle w:val="ListBullet"/>
        <w:spacing w:after="40"/>
      </w:pPr>
      <w:r>
        <w:rPr>
          <w:sz w:val="20"/>
        </w:rPr>
        <w:t>Regulatory Valuations under Income Tax Act, FEMA/RBI, &amp; Companies Act</w:t>
      </w:r>
    </w:p>
    <w:p>
      <w:pPr>
        <w:pStyle w:val="ListBullet"/>
        <w:spacing w:after="40"/>
      </w:pPr>
      <w:r>
        <w:rPr>
          <w:sz w:val="20"/>
        </w:rPr>
        <w:t>ESOP Structuring, Fair Market Valuation, &amp; Impairment Testing (Ind AS/IFRS)</w:t>
      </w:r>
    </w:p>
    <w:p>
      <w:pPr>
        <w:pStyle w:val="ListBullet"/>
        <w:spacing w:after="40"/>
      </w:pPr>
      <w:r>
        <w:rPr>
          <w:sz w:val="20"/>
        </w:rPr>
        <w:t>Brand &amp; Intangible Asset Valuation</w:t>
      </w:r>
    </w:p>
    <w:p>
      <w:pPr>
        <w:spacing w:after="120"/>
      </w:pPr>
    </w:p>
    <w:p>
      <w:r>
        <w:rPr>
          <w:rFonts w:ascii="Georgia" w:hAnsi="Georgia"/>
          <w:b/>
          <w:color w:val="B45309"/>
          <w:sz w:val="24"/>
        </w:rPr>
        <w:t>4. Techno-Economic Viability (TEV) &amp; Feasibility Studies</w:t>
      </w:r>
    </w:p>
    <w:p>
      <w:pPr>
        <w:spacing w:after="80"/>
      </w:pPr>
      <w:r>
        <w:t>Authoring bankable TEV study reports and conducting technical risk assessments required by consortium lenders prior to multi-crore credit sanctions.</w:t>
      </w:r>
    </w:p>
    <w:p>
      <w:r>
        <w:rPr>
          <w:b/>
          <w:color w:val="57534E"/>
          <w:sz w:val="20"/>
        </w:rPr>
        <w:t>Scope of Engagement:</w:t>
      </w:r>
    </w:p>
    <w:p>
      <w:pPr>
        <w:pStyle w:val="ListBullet"/>
        <w:spacing w:after="40"/>
      </w:pPr>
      <w:r>
        <w:rPr>
          <w:sz w:val="20"/>
        </w:rPr>
        <w:t>Bankable Techno-Economic Viability (TEV) Study Reports</w:t>
      </w:r>
    </w:p>
    <w:p>
      <w:pPr>
        <w:pStyle w:val="ListBullet"/>
        <w:spacing w:after="40"/>
      </w:pPr>
      <w:r>
        <w:rPr>
          <w:sz w:val="20"/>
        </w:rPr>
        <w:t>Technical Risk &amp; Manufacturing Capability Assessment</w:t>
      </w:r>
    </w:p>
    <w:p>
      <w:pPr>
        <w:pStyle w:val="ListBullet"/>
        <w:spacing w:after="40"/>
      </w:pPr>
      <w:r>
        <w:rPr>
          <w:sz w:val="20"/>
        </w:rPr>
        <w:t>Market Demand Evaluation &amp; Financial Sensitivity Modeling</w:t>
      </w:r>
    </w:p>
    <w:p>
      <w:pPr>
        <w:pStyle w:val="ListBullet"/>
        <w:spacing w:after="40"/>
      </w:pPr>
      <w:r>
        <w:rPr>
          <w:sz w:val="20"/>
        </w:rPr>
        <w:t>Lender's Independent Engineer (LIE) Services &amp; Drawdown Verification</w:t>
      </w:r>
    </w:p>
    <w:p>
      <w:pPr>
        <w:pStyle w:val="ListBullet"/>
        <w:spacing w:after="40"/>
      </w:pPr>
      <w:r>
        <w:rPr>
          <w:sz w:val="20"/>
        </w:rPr>
        <w:t>Detailed Project Report (DPR) Preparation for Bank Approvals</w:t>
      </w:r>
    </w:p>
    <w:p>
      <w:pPr>
        <w:spacing w:after="120"/>
      </w:pPr>
    </w:p>
    <w:p>
      <w:r>
        <w:rPr>
          <w:rFonts w:ascii="Georgia" w:hAnsi="Georgia"/>
          <w:b/>
          <w:color w:val="B45309"/>
          <w:sz w:val="24"/>
        </w:rPr>
        <w:t>5. Stressed Assets &amp; Insolvency (IBC Consultancy)</w:t>
      </w:r>
    </w:p>
    <w:p>
      <w:pPr>
        <w:spacing w:after="80"/>
      </w:pPr>
      <w:r>
        <w:t>Specialized out-of-court debt restructuring, One-Time Settlement (OTS) structuring, and NCLT resolution plan formulation under the Insolvency and Bankruptcy Code (IBC).</w:t>
      </w:r>
    </w:p>
    <w:p>
      <w:r>
        <w:rPr>
          <w:b/>
          <w:color w:val="57534E"/>
          <w:sz w:val="20"/>
        </w:rPr>
        <w:t>Scope of Engagement:</w:t>
      </w:r>
    </w:p>
    <w:p>
      <w:pPr>
        <w:pStyle w:val="ListBullet"/>
        <w:spacing w:after="40"/>
      </w:pPr>
      <w:r>
        <w:rPr>
          <w:sz w:val="20"/>
        </w:rPr>
        <w:t>Corporate Insolvency Resolution Process (CIRP) Consultancy</w:t>
      </w:r>
    </w:p>
    <w:p>
      <w:pPr>
        <w:pStyle w:val="ListBullet"/>
        <w:spacing w:after="40"/>
      </w:pPr>
      <w:r>
        <w:rPr>
          <w:sz w:val="20"/>
        </w:rPr>
        <w:t>Formulation &amp; Submission of Bankable Resolution Plans</w:t>
      </w:r>
    </w:p>
    <w:p>
      <w:pPr>
        <w:pStyle w:val="ListBullet"/>
        <w:spacing w:after="40"/>
      </w:pPr>
      <w:r>
        <w:rPr>
          <w:sz w:val="20"/>
        </w:rPr>
        <w:t>Out-of-Court Debt Restructuring &amp; One-Time Settlement (OTS)</w:t>
      </w:r>
    </w:p>
    <w:p>
      <w:pPr>
        <w:pStyle w:val="ListBullet"/>
        <w:spacing w:after="40"/>
      </w:pPr>
      <w:r>
        <w:rPr>
          <w:sz w:val="20"/>
        </w:rPr>
        <w:t>Promoter Handholding with Minimal Franchise &amp; Financial Risk Exposure</w:t>
      </w:r>
    </w:p>
    <w:p>
      <w:pPr>
        <w:pStyle w:val="ListBullet"/>
        <w:spacing w:after="40"/>
      </w:pPr>
      <w:r>
        <w:rPr>
          <w:sz w:val="20"/>
        </w:rPr>
        <w:t>Liquidation Management &amp; Stressed Asset Buying Consultancy</w:t>
      </w:r>
    </w:p>
    <w:p>
      <w:pPr>
        <w:spacing w:after="120"/>
      </w:pPr>
    </w:p>
    <w:p>
      <w:r>
        <w:rPr>
          <w:rFonts w:ascii="Georgia" w:hAnsi="Georgia"/>
          <w:b/>
          <w:color w:val="B45309"/>
          <w:sz w:val="24"/>
        </w:rPr>
        <w:t>6. Corporate Training &amp; Executive Masterclasses</w:t>
      </w:r>
    </w:p>
    <w:p>
      <w:pPr>
        <w:spacing w:after="80"/>
      </w:pPr>
      <w:r>
        <w:t>Executive masterclasses for banking credit teams and CFOs on paperless credit delivery, GSTR/ITR/Bank diagnostics, financial statement analysis, and IBC regulations.</w:t>
      </w:r>
    </w:p>
    <w:p>
      <w:r>
        <w:rPr>
          <w:b/>
          <w:color w:val="57534E"/>
          <w:sz w:val="20"/>
        </w:rPr>
        <w:t>Scope of Engagement:</w:t>
      </w:r>
    </w:p>
    <w:p>
      <w:pPr>
        <w:pStyle w:val="ListBullet"/>
        <w:spacing w:after="40"/>
      </w:pPr>
      <w:r>
        <w:rPr>
          <w:sz w:val="20"/>
        </w:rPr>
        <w:t>Paperless Credit Delivery &amp; Balance Sheet Analysis for Banking Staff</w:t>
      </w:r>
    </w:p>
    <w:p>
      <w:pPr>
        <w:pStyle w:val="ListBullet"/>
        <w:spacing w:after="40"/>
      </w:pPr>
      <w:r>
        <w:rPr>
          <w:sz w:val="20"/>
        </w:rPr>
        <w:t>GSTR, Income Tax Return, &amp; Bank Statement Diagnostic Training</w:t>
      </w:r>
    </w:p>
    <w:p>
      <w:pPr>
        <w:pStyle w:val="ListBullet"/>
        <w:spacing w:after="40"/>
      </w:pPr>
      <w:r>
        <w:rPr>
          <w:sz w:val="20"/>
        </w:rPr>
        <w:t>Corporate Finance, Valuation Methods, &amp; IBC Regulations Workshops</w:t>
      </w:r>
    </w:p>
    <w:p>
      <w:pPr>
        <w:pStyle w:val="ListBullet"/>
        <w:spacing w:after="40"/>
      </w:pPr>
      <w:r>
        <w:rPr>
          <w:sz w:val="20"/>
        </w:rPr>
        <w:t>Soft Skills, Leadership, &amp; Team Building for Finance Leaders</w:t>
      </w:r>
    </w:p>
    <w:p>
      <w:pPr>
        <w:pStyle w:val="ListBullet"/>
        <w:spacing w:after="40"/>
      </w:pPr>
      <w:r>
        <w:rPr>
          <w:sz w:val="20"/>
        </w:rPr>
        <w:t>1-on-1 Executive Coaching for CFOs and Finance Controllers</w:t>
      </w:r>
    </w:p>
    <w:p>
      <w:pPr>
        <w:spacing w:after="120"/>
      </w:pPr>
    </w:p>
    <w:p>
      <w:r>
        <w:rPr>
          <w:rFonts w:ascii="Georgia" w:hAnsi="Georgia"/>
          <w:b/>
          <w:color w:val="B45309"/>
          <w:sz w:val="24"/>
        </w:rPr>
        <w:t>7. Audit, Due Diligence &amp; Financial Analytics</w:t>
      </w:r>
    </w:p>
    <w:p>
      <w:pPr>
        <w:spacing w:after="80"/>
      </w:pPr>
      <w:r>
        <w:t>Buy-side and sell-side financial due diligence, forensic financial audits, fund flow verification, and integrated multi-source data reconciliations.</w:t>
      </w:r>
    </w:p>
    <w:p>
      <w:r>
        <w:rPr>
          <w:b/>
          <w:color w:val="57534E"/>
          <w:sz w:val="20"/>
        </w:rPr>
        <w:t>Scope of Engagement:</w:t>
      </w:r>
    </w:p>
    <w:p>
      <w:pPr>
        <w:pStyle w:val="ListBullet"/>
        <w:spacing w:after="40"/>
      </w:pPr>
      <w:r>
        <w:rPr>
          <w:sz w:val="20"/>
        </w:rPr>
        <w:t>Buy-side &amp; Sell-side Financial Due Diligence (FDD)</w:t>
      </w:r>
    </w:p>
    <w:p>
      <w:pPr>
        <w:pStyle w:val="ListBullet"/>
        <w:spacing w:after="40"/>
      </w:pPr>
      <w:r>
        <w:rPr>
          <w:sz w:val="20"/>
        </w:rPr>
        <w:t>Forensic Financial Audits &amp; Fund Flow Verification</w:t>
      </w:r>
    </w:p>
    <w:p>
      <w:pPr>
        <w:pStyle w:val="ListBullet"/>
        <w:spacing w:after="40"/>
      </w:pPr>
      <w:r>
        <w:rPr>
          <w:sz w:val="20"/>
        </w:rPr>
        <w:t>Integrated Data Analytics (Bank Statement, GSTR, ITR Reconciliation)</w:t>
      </w:r>
    </w:p>
    <w:p>
      <w:pPr>
        <w:pStyle w:val="ListBullet"/>
        <w:spacing w:after="40"/>
      </w:pPr>
      <w:r>
        <w:rPr>
          <w:sz w:val="20"/>
        </w:rPr>
        <w:t>Internal Controls Assessment &amp; Risk Management Audits</w:t>
      </w:r>
    </w:p>
    <w:p>
      <w:pPr>
        <w:pStyle w:val="ListBullet"/>
        <w:spacing w:after="40"/>
      </w:pPr>
      <w:r>
        <w:rPr>
          <w:sz w:val="20"/>
        </w:rPr>
        <w:t>Compliance Verification &amp; KYC Validation for Institutional Lenders</w:t>
      </w:r>
    </w:p>
    <w:p>
      <w:pPr>
        <w:spacing w:after="120"/>
      </w:pPr>
    </w:p>
    <w:p>
      <w:pPr>
        <w:jc w:val="center"/>
      </w:pPr>
      <w:r>
        <w:rPr>
          <w:i/>
          <w:color w:val="78716C"/>
          <w:sz w:val="18"/>
        </w:rPr>
        <w:t>Confidential Corporate Financial Consultancy Document  |  © Vishwanath Sharma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