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720" w:after="240" w:line="276" w:lineRule="auto"/>
        <w:jc w:val="center"/>
      </w:pPr>
      <w:r>
        <w:rPr>
          <w:rFonts w:ascii="Arial" w:hAnsi="Arial"/>
          <w:b/>
          <w:i w:val="0"/>
          <w:color w:val="102C57"/>
          <w:sz w:val="48"/>
        </w:rPr>
        <w:t>PROJECT DOCUMENTATION</w:t>
      </w:r>
    </w:p>
    <w:p>
      <w:pPr>
        <w:spacing w:before="0" w:after="120" w:line="276" w:lineRule="auto"/>
        <w:jc w:val="center"/>
      </w:pPr>
      <w:r>
        <w:rPr>
          <w:rFonts w:ascii="Arial" w:hAnsi="Arial"/>
          <w:b/>
          <w:i w:val="0"/>
          <w:color w:val="3572EF"/>
          <w:sz w:val="36"/>
        </w:rPr>
        <w:t>SCRIPT-CONTROLLED ACL – RESTRICT RECORD</w:t>
        <w:br/>
        <w:t>ACCESS BASED ON FIELD VALUE</w:t>
      </w:r>
    </w:p>
    <w:p>
      <w:pPr>
        <w:spacing w:before="0" w:after="480" w:line="276" w:lineRule="auto"/>
        <w:jc w:val="center"/>
      </w:pPr>
      <w:r>
        <w:rPr>
          <w:rFonts w:ascii="Arial" w:hAnsi="Arial"/>
          <w:b w:val="0"/>
          <w:i/>
          <w:color w:val="2B2B2B"/>
          <w:sz w:val="24"/>
        </w:rPr>
        <w:t>Automating Access Control in ServiceNow Using Scripted ACL</w:t>
      </w:r>
    </w:p>
    <w:p>
      <w:pPr>
        <w:spacing w:before="240" w:after="480" w:line="276" w:lineRule="auto"/>
        <w:jc w:val="center"/>
      </w:pPr>
      <w:r>
        <w:rPr>
          <w:rFonts w:ascii="Arial" w:hAnsi="Arial"/>
          <w:b/>
          <w:i w:val="0"/>
          <w:color w:val="102C57"/>
          <w:sz w:val="22"/>
        </w:rPr>
        <w:t>TECHNOLOGY TRACK</w:t>
        <w:br/>
      </w:r>
      <w:r>
        <w:rPr>
          <w:rFonts w:ascii="Arial" w:hAnsi="Arial"/>
          <w:b w:val="0"/>
          <w:i w:val="0"/>
          <w:color w:val="2B2B2B"/>
          <w:sz w:val="22"/>
        </w:rPr>
        <w:t>ServiceNow Administrator</w:t>
      </w:r>
    </w:p>
    <w:p>
      <w:pPr>
        <w:spacing w:before="240" w:after="480" w:line="276" w:lineRule="auto"/>
        <w:jc w:val="center"/>
      </w:pPr>
      <w:r>
        <w:rPr>
          <w:rFonts w:ascii="Arial" w:hAnsi="Arial"/>
          <w:b/>
          <w:i w:val="0"/>
          <w:color w:val="102C57"/>
          <w:sz w:val="24"/>
        </w:rPr>
        <w:t>TEAM DETAILS</w:t>
        <w:br/>
      </w:r>
      <w:r>
        <w:rPr>
          <w:rFonts w:ascii="Arial" w:hAnsi="Arial"/>
          <w:b/>
          <w:i w:val="0"/>
          <w:color w:val="2B2B2B"/>
          <w:sz w:val="22"/>
        </w:rPr>
        <w:t xml:space="preserve">Team ID: </w:t>
      </w:r>
      <w:r>
        <w:rPr>
          <w:rFonts w:ascii="Arial" w:hAnsi="Arial"/>
          <w:b w:val="0"/>
          <w:i w:val="0"/>
          <w:color w:val="2B2B2B"/>
          <w:sz w:val="22"/>
        </w:rPr>
        <w:t>SWTID-2026-1863</w:t>
      </w:r>
      <w:bookmarkStart w:id="0" w:name="_GoBack"/>
      <w:bookmarkEnd w:id="0"/>
      <w:r>
        <w:rPr>
          <w:rFonts w:ascii="Arial" w:hAnsi="Arial"/>
          <w:b w:val="0"/>
          <w:i w:val="0"/>
          <w:color w:val="2B2B2B"/>
          <w:sz w:val="22"/>
        </w:rPr>
        <w:br/>
      </w:r>
      <w:r>
        <w:rPr>
          <w:rFonts w:ascii="Arial" w:hAnsi="Arial"/>
          <w:b/>
          <w:i w:val="0"/>
          <w:color w:val="2B2B2B"/>
          <w:sz w:val="22"/>
        </w:rPr>
        <w:t xml:space="preserve">Team Size: </w:t>
      </w:r>
      <w:r>
        <w:rPr>
          <w:rFonts w:ascii="Arial" w:hAnsi="Arial"/>
          <w:b w:val="0"/>
          <w:i w:val="0"/>
          <w:color w:val="2B2B2B"/>
          <w:sz w:val="22"/>
        </w:rPr>
        <w:t>4</w:t>
        <w:br/>
      </w:r>
      <w:r>
        <w:rPr>
          <w:rFonts w:ascii="Arial" w:hAnsi="Arial"/>
          <w:b/>
          <w:i w:val="0"/>
          <w:color w:val="2B2B2B"/>
          <w:sz w:val="22"/>
        </w:rPr>
        <w:t>Team Leader: Desika.J</w:t>
      </w:r>
      <w:r>
        <w:rPr>
          <w:rFonts w:ascii="Arial" w:hAnsi="Arial"/>
          <w:b w:val="0"/>
          <w:i w:val="0"/>
          <w:color w:val="2B2B2B"/>
          <w:sz w:val="22"/>
        </w:rPr>
        <w:br/>
      </w:r>
      <w:r>
        <w:rPr>
          <w:rFonts w:ascii="Arial" w:hAnsi="Arial"/>
          <w:b/>
          <w:i w:val="0"/>
          <w:color w:val="2B2B2B"/>
          <w:sz w:val="22"/>
        </w:rPr>
        <w:t>Team Members:</w:t>
        <w:br/>
        <w:t>Asin.S</w:t>
      </w:r>
      <w:r>
        <w:rPr>
          <w:rFonts w:ascii="Arial" w:hAnsi="Arial"/>
          <w:b w:val="0"/>
          <w:i w:val="0"/>
          <w:color w:val="2B2B2B"/>
          <w:sz w:val="22"/>
        </w:rPr>
        <w:br/>
        <w:t>Ashwini P</w:t>
        <w:br/>
        <w:t>Priyadarshini.R</w:t>
        <w:br/>
      </w:r>
    </w:p>
    <w:p>
      <w:pPr>
        <w:spacing w:before="240" w:after="480" w:line="276" w:lineRule="auto"/>
        <w:jc w:val="center"/>
      </w:pPr>
      <w:r>
        <w:rPr>
          <w:rFonts w:ascii="Arial" w:hAnsi="Arial"/>
          <w:b/>
          <w:i w:val="0"/>
          <w:color w:val="102C57"/>
          <w:sz w:val="22"/>
        </w:rPr>
        <w:t>PROJECT SUBMITTED BY</w:t>
        <w:br/>
      </w:r>
      <w:r>
        <w:rPr>
          <w:rFonts w:ascii="Arial" w:hAnsi="Arial"/>
          <w:b w:val="0"/>
          <w:i w:val="0"/>
          <w:color w:val="2B2B2B"/>
          <w:sz w:val="22"/>
        </w:rPr>
        <w:t>Bon Secours Arts and Science College for Women</w:t>
        <w:br/>
        <w:t>Mannargudi</w:t>
      </w:r>
    </w:p>
    <w:p>
      <w:pPr>
        <w:spacing w:before="240" w:after="960" w:line="276" w:lineRule="auto"/>
        <w:jc w:val="center"/>
      </w:pPr>
      <w:r>
        <w:rPr>
          <w:rFonts w:ascii="Arial" w:hAnsi="Arial"/>
          <w:b/>
          <w:i w:val="0"/>
          <w:color w:val="2B2B2B"/>
          <w:sz w:val="22"/>
        </w:rPr>
        <w:t>Academic Year</w:t>
        <w:br/>
      </w:r>
      <w:r>
        <w:rPr>
          <w:rFonts w:ascii="Arial" w:hAnsi="Arial"/>
          <w:b w:val="0"/>
          <w:i w:val="0"/>
          <w:color w:val="2B2B2B"/>
          <w:sz w:val="22"/>
        </w:rPr>
        <w:t>2026 – 2027</w:t>
      </w:r>
    </w:p>
    <w:p>
      <w:r>
        <w:br w:type="page"/>
      </w:r>
    </w:p>
    <w:p>
      <w:r>
        <w:rPr>
          <w:b/>
          <w:color w:val="102C57"/>
          <w:sz w:val="28"/>
        </w:rPr>
        <w:t>Technical Documentation</w:t>
        <w:br/>
        <w:t>Script-Controlled ACL – Restrict Record Access Based on Field Value</w:t>
      </w:r>
    </w:p>
    <w:p>
      <w:pPr>
        <w:keepNext/>
        <w:spacing w:before="360" w:after="120" w:line="276" w:lineRule="auto"/>
      </w:pPr>
      <w:r>
        <w:rPr>
          <w:rFonts w:ascii="Arial" w:hAnsi="Arial"/>
          <w:b/>
          <w:i w:val="0"/>
          <w:color w:val="102C57"/>
          <w:sz w:val="32"/>
        </w:rPr>
        <w:t>1. Introduction</w:t>
      </w:r>
    </w:p>
    <w:p>
      <w:pPr>
        <w:spacing w:before="0" w:after="120" w:line="276" w:lineRule="auto"/>
      </w:pPr>
      <w:r>
        <w:rPr>
          <w:rFonts w:ascii="Arial" w:hAnsi="Arial"/>
          <w:b w:val="0"/>
          <w:i w:val="0"/>
          <w:color w:val="2B2B2B"/>
          <w:sz w:val="22"/>
        </w:rPr>
        <w:t>In modern enterprise cloud environments like ServiceNow, protecting sensitive data is a critical governance requirement. Access Control Lists (ACLs) serve as the primary line of defense, securing tables and rows from unauthorized modifications or views. However, standard conditional ACLs often lack the flexibility required for dynamic, data-driven security policies. This project demonstrates how to implement a Script-Controlled ACL designed to restrict record access dynamically based on specific field values and runtime context, ensuring compliance with strict data security mandates.</w:t>
      </w:r>
    </w:p>
    <w:p>
      <w:pPr>
        <w:keepNext/>
        <w:spacing w:before="360" w:after="120" w:line="276" w:lineRule="auto"/>
      </w:pPr>
      <w:r>
        <w:rPr>
          <w:rFonts w:ascii="Arial" w:hAnsi="Arial"/>
          <w:b/>
          <w:i w:val="0"/>
          <w:color w:val="102C57"/>
          <w:sz w:val="32"/>
        </w:rPr>
        <w:t>2. Project Objectives</w:t>
      </w:r>
    </w:p>
    <w:p>
      <w:pPr>
        <w:pStyle w:val="27"/>
        <w:spacing w:before="40" w:after="80" w:line="276" w:lineRule="auto"/>
      </w:pPr>
      <w:r>
        <w:rPr>
          <w:rFonts w:ascii="Arial" w:hAnsi="Arial"/>
          <w:b/>
          <w:i w:val="0"/>
          <w:color w:val="2B2B2B"/>
          <w:sz w:val="22"/>
        </w:rPr>
        <w:t xml:space="preserve">Dynamic Access Management: </w:t>
      </w:r>
      <w:r>
        <w:rPr>
          <w:rFonts w:ascii="Arial" w:hAnsi="Arial"/>
          <w:b w:val="0"/>
          <w:i w:val="0"/>
          <w:color w:val="2B2B2B"/>
          <w:sz w:val="22"/>
        </w:rPr>
        <w:t>Establish dynamic row-level security within the platform based on real-time field attributes.</w:t>
      </w:r>
    </w:p>
    <w:p>
      <w:pPr>
        <w:pStyle w:val="27"/>
        <w:spacing w:before="40" w:after="80" w:line="276" w:lineRule="auto"/>
      </w:pPr>
      <w:r>
        <w:rPr>
          <w:rFonts w:ascii="Arial" w:hAnsi="Arial"/>
          <w:b/>
          <w:i w:val="0"/>
          <w:color w:val="2B2B2B"/>
          <w:sz w:val="22"/>
        </w:rPr>
        <w:t xml:space="preserve">Advanced Conditional Execution: </w:t>
      </w:r>
      <w:r>
        <w:rPr>
          <w:rFonts w:ascii="Arial" w:hAnsi="Arial"/>
          <w:b w:val="0"/>
          <w:i w:val="0"/>
          <w:color w:val="2B2B2B"/>
          <w:sz w:val="22"/>
        </w:rPr>
        <w:t>Enforce script-based validation rules that evaluate fields, user roles, and operational criteria simultaneously.</w:t>
      </w:r>
    </w:p>
    <w:p>
      <w:pPr>
        <w:pStyle w:val="27"/>
        <w:spacing w:before="40" w:after="80" w:line="276" w:lineRule="auto"/>
      </w:pPr>
      <w:r>
        <w:rPr>
          <w:rFonts w:ascii="Arial" w:hAnsi="Arial"/>
          <w:b/>
          <w:i w:val="0"/>
          <w:color w:val="2B2B2B"/>
          <w:sz w:val="22"/>
        </w:rPr>
        <w:t xml:space="preserve">Process Automation Integration: </w:t>
      </w:r>
      <w:r>
        <w:rPr>
          <w:rFonts w:ascii="Arial" w:hAnsi="Arial"/>
          <w:b w:val="0"/>
          <w:i w:val="0"/>
          <w:color w:val="2B2B2B"/>
          <w:sz w:val="22"/>
        </w:rPr>
        <w:t>Streamline automated fulfillment tracks by orchestrating backend flows that align with security settings.</w:t>
      </w:r>
    </w:p>
    <w:p>
      <w:pPr>
        <w:pStyle w:val="27"/>
        <w:spacing w:before="40" w:after="80" w:line="276" w:lineRule="auto"/>
      </w:pPr>
      <w:r>
        <w:rPr>
          <w:rFonts w:ascii="Arial" w:hAnsi="Arial"/>
          <w:b/>
          <w:i w:val="0"/>
          <w:color w:val="2B2B2B"/>
          <w:sz w:val="22"/>
        </w:rPr>
        <w:t xml:space="preserve">Data Segregation: </w:t>
      </w:r>
      <w:r>
        <w:rPr>
          <w:rFonts w:ascii="Arial" w:hAnsi="Arial"/>
          <w:b w:val="0"/>
          <w:i w:val="0"/>
          <w:color w:val="2B2B2B"/>
          <w:sz w:val="22"/>
        </w:rPr>
        <w:t>Provide precise data segregation to prevent unauthorized users from viewing confidential records.</w:t>
      </w:r>
    </w:p>
    <w:p>
      <w:pPr>
        <w:keepNext/>
        <w:spacing w:before="360" w:after="120" w:line="276" w:lineRule="auto"/>
      </w:pPr>
      <w:r>
        <w:rPr>
          <w:rFonts w:ascii="Arial" w:hAnsi="Arial"/>
          <w:b/>
          <w:i w:val="0"/>
          <w:color w:val="102C57"/>
          <w:sz w:val="32"/>
        </w:rPr>
        <w:t>3. Technology Used</w:t>
      </w:r>
    </w:p>
    <w:p>
      <w:pPr>
        <w:pStyle w:val="27"/>
        <w:spacing w:before="40" w:after="80" w:line="276" w:lineRule="auto"/>
      </w:pPr>
      <w:r>
        <w:rPr>
          <w:rFonts w:ascii="Arial" w:hAnsi="Arial"/>
          <w:b/>
          <w:i w:val="0"/>
          <w:color w:val="2B2B2B"/>
          <w:sz w:val="22"/>
        </w:rPr>
        <w:t xml:space="preserve">ServiceNow Platform (Utah/Vancouver/Washington DC): </w:t>
      </w:r>
      <w:r>
        <w:rPr>
          <w:rFonts w:ascii="Arial" w:hAnsi="Arial"/>
          <w:b w:val="0"/>
          <w:i w:val="0"/>
          <w:color w:val="2B2B2B"/>
          <w:sz w:val="22"/>
        </w:rPr>
        <w:t>The core enterprise cloud platform driving data storage, relational tables, and access configuration.</w:t>
      </w:r>
    </w:p>
    <w:p>
      <w:pPr>
        <w:pStyle w:val="27"/>
        <w:spacing w:before="40" w:after="80" w:line="276" w:lineRule="auto"/>
      </w:pPr>
      <w:r>
        <w:rPr>
          <w:rFonts w:ascii="Arial" w:hAnsi="Arial"/>
          <w:b/>
          <w:i w:val="0"/>
          <w:color w:val="2B2B2B"/>
          <w:sz w:val="22"/>
        </w:rPr>
        <w:t xml:space="preserve">Flow Designer: </w:t>
      </w:r>
      <w:r>
        <w:rPr>
          <w:rFonts w:ascii="Arial" w:hAnsi="Arial"/>
          <w:b w:val="0"/>
          <w:i w:val="0"/>
          <w:color w:val="2B2B2B"/>
          <w:sz w:val="22"/>
        </w:rPr>
        <w:t>Engine used to build, configure, and execute automated workflow logic without extensive hardcoding.</w:t>
      </w:r>
    </w:p>
    <w:p>
      <w:pPr>
        <w:pStyle w:val="27"/>
        <w:spacing w:before="40" w:after="80" w:line="276" w:lineRule="auto"/>
      </w:pPr>
      <w:r>
        <w:rPr>
          <w:rFonts w:ascii="Arial" w:hAnsi="Arial"/>
          <w:b/>
          <w:i w:val="0"/>
          <w:color w:val="2B2B2B"/>
          <w:sz w:val="22"/>
        </w:rPr>
        <w:t xml:space="preserve">JavaScript / GlideRecord API: </w:t>
      </w:r>
      <w:r>
        <w:rPr>
          <w:rFonts w:ascii="Arial" w:hAnsi="Arial"/>
          <w:b w:val="0"/>
          <w:i w:val="0"/>
          <w:color w:val="2B2B2B"/>
          <w:sz w:val="22"/>
        </w:rPr>
        <w:t>Server-side scripting framework utilized within the ACL to evaluate complex true/false visibility states.</w:t>
      </w:r>
    </w:p>
    <w:p>
      <w:pPr>
        <w:pStyle w:val="27"/>
        <w:spacing w:before="40" w:after="80" w:line="276" w:lineRule="auto"/>
      </w:pPr>
      <w:r>
        <w:rPr>
          <w:rFonts w:ascii="Arial" w:hAnsi="Arial"/>
          <w:b/>
          <w:i w:val="0"/>
          <w:color w:val="2B2B2B"/>
          <w:sz w:val="22"/>
        </w:rPr>
        <w:t xml:space="preserve">Service Catalog Module: </w:t>
      </w:r>
      <w:r>
        <w:rPr>
          <w:rFonts w:ascii="Arial" w:hAnsi="Arial"/>
          <w:b w:val="0"/>
          <w:i w:val="0"/>
          <w:color w:val="2B2B2B"/>
          <w:sz w:val="22"/>
        </w:rPr>
        <w:t>The user-facing portal interface used to submit item configurations, track tasks, and trigger fulfillment flows.</w:t>
      </w:r>
    </w:p>
    <w:p>
      <w:pPr>
        <w:keepNext/>
        <w:spacing w:before="360" w:after="120" w:line="276" w:lineRule="auto"/>
      </w:pPr>
      <w:r>
        <w:rPr>
          <w:rFonts w:ascii="Arial" w:hAnsi="Arial"/>
          <w:b/>
          <w:i w:val="0"/>
          <w:color w:val="102C57"/>
          <w:sz w:val="32"/>
        </w:rPr>
        <w:t>4. Project Workflow</w:t>
      </w:r>
    </w:p>
    <w:p>
      <w:pPr>
        <w:spacing w:before="0" w:after="120" w:line="276" w:lineRule="auto"/>
      </w:pPr>
      <w:r>
        <w:rPr>
          <w:rFonts w:ascii="Arial" w:hAnsi="Arial"/>
          <w:b w:val="0"/>
          <w:i w:val="0"/>
          <w:color w:val="2B2B2B"/>
          <w:sz w:val="22"/>
        </w:rPr>
        <w:t>The project follows a structured lifecycle to implement, bind, and validate the script-controlled security context:</w:t>
      </w:r>
    </w:p>
    <w:p>
      <w:pPr>
        <w:pStyle w:val="30"/>
        <w:spacing w:before="40" w:after="80" w:line="276" w:lineRule="auto"/>
      </w:pPr>
      <w:r>
        <w:rPr>
          <w:rFonts w:ascii="Arial" w:hAnsi="Arial"/>
          <w:b w:val="0"/>
          <w:i w:val="0"/>
          <w:color w:val="2B2B2B"/>
          <w:sz w:val="22"/>
        </w:rPr>
        <w:t>Define the business logic and structure for the dynamic ACL script.</w:t>
      </w:r>
    </w:p>
    <w:p>
      <w:pPr>
        <w:pStyle w:val="30"/>
        <w:spacing w:before="40" w:after="80" w:line="276" w:lineRule="auto"/>
      </w:pPr>
      <w:r>
        <w:rPr>
          <w:rFonts w:ascii="Arial" w:hAnsi="Arial"/>
          <w:b w:val="0"/>
          <w:i w:val="0"/>
          <w:color w:val="2B2B2B"/>
          <w:sz w:val="22"/>
        </w:rPr>
        <w:t>Develop and publish the automated fulfillment flow using Flow Designer.</w:t>
      </w:r>
    </w:p>
    <w:p>
      <w:pPr>
        <w:pStyle w:val="30"/>
        <w:spacing w:before="40" w:after="80" w:line="276" w:lineRule="auto"/>
      </w:pPr>
      <w:r>
        <w:rPr>
          <w:rFonts w:ascii="Arial" w:hAnsi="Arial"/>
          <w:b w:val="0"/>
          <w:i w:val="0"/>
          <w:color w:val="2B2B2B"/>
          <w:sz w:val="22"/>
        </w:rPr>
        <w:t>Bind the automated workflow sequence directly to the designated Service Catalog item.</w:t>
      </w:r>
    </w:p>
    <w:p>
      <w:pPr>
        <w:pStyle w:val="30"/>
        <w:spacing w:before="40" w:after="80" w:line="276" w:lineRule="auto"/>
      </w:pPr>
      <w:r>
        <w:rPr>
          <w:rFonts w:ascii="Arial" w:hAnsi="Arial"/>
          <w:b w:val="0"/>
          <w:i w:val="0"/>
          <w:color w:val="2B2B2B"/>
          <w:sz w:val="22"/>
        </w:rPr>
        <w:t>Place test transactions via the Service Catalog to generate contextual records.</w:t>
      </w:r>
    </w:p>
    <w:p>
      <w:pPr>
        <w:pStyle w:val="30"/>
        <w:spacing w:before="40" w:after="80" w:line="276" w:lineRule="auto"/>
      </w:pPr>
      <w:r>
        <w:rPr>
          <w:rFonts w:ascii="Arial" w:hAnsi="Arial"/>
          <w:b w:val="0"/>
          <w:i w:val="0"/>
          <w:color w:val="2B2B2B"/>
          <w:sz w:val="22"/>
        </w:rPr>
        <w:t>Verify data visibility constraints across varying user sessions to validate enforcement.</w:t>
      </w:r>
    </w:p>
    <w:p>
      <w:pPr>
        <w:keepNext/>
        <w:spacing w:before="360" w:after="120" w:line="276" w:lineRule="auto"/>
      </w:pPr>
      <w:r>
        <w:rPr>
          <w:rFonts w:ascii="Arial" w:hAnsi="Arial"/>
          <w:b/>
          <w:i w:val="0"/>
          <w:color w:val="102C57"/>
          <w:sz w:val="32"/>
        </w:rPr>
        <w:t>5. Milestone 1 – Create the Flow</w:t>
      </w:r>
    </w:p>
    <w:p>
      <w:pPr>
        <w:keepNext/>
        <w:spacing w:before="240" w:after="80" w:line="276" w:lineRule="auto"/>
      </w:pPr>
      <w:r>
        <w:rPr>
          <w:rFonts w:ascii="Arial" w:hAnsi="Arial"/>
          <w:b/>
          <w:i w:val="0"/>
          <w:color w:val="3572EF"/>
          <w:sz w:val="26"/>
        </w:rPr>
        <w:t>5.1 Create Flow</w:t>
      </w:r>
    </w:p>
    <w:p>
      <w:pPr>
        <w:spacing w:before="0" w:after="120" w:line="276" w:lineRule="auto"/>
      </w:pPr>
      <w:r>
        <w:rPr>
          <w:rFonts w:ascii="Arial" w:hAnsi="Arial"/>
          <w:b w:val="0"/>
          <w:i w:val="0"/>
          <w:color w:val="2B2B2B"/>
          <w:sz w:val="22"/>
        </w:rPr>
        <w:t>Navigate to 'Workflow Studio' or 'Flow Designer' via the Application Navigator. Select 'New Flow', name the artifact 'Laptop Fulfillment and Security Tracking', define its application scope as 'Global', and set its execution criteria to run as the 'System User' to guarantee seamless background execution.</w:t>
      </w:r>
    </w:p>
    <w:p>
      <w:pPr>
        <w:keepNext/>
        <w:spacing w:before="240" w:after="80" w:line="276" w:lineRule="auto"/>
      </w:pPr>
      <w:r>
        <w:rPr>
          <w:rFonts w:ascii="Arial" w:hAnsi="Arial"/>
          <w:b/>
          <w:i w:val="0"/>
          <w:color w:val="3572EF"/>
          <w:sz w:val="26"/>
        </w:rPr>
        <w:t>5.2 Configure the Trigger</w:t>
      </w:r>
    </w:p>
    <w:p>
      <w:pPr>
        <w:spacing w:before="0" w:after="120" w:line="276" w:lineRule="auto"/>
      </w:pPr>
      <w:r>
        <w:rPr>
          <w:rFonts w:ascii="Arial" w:hAnsi="Arial"/>
          <w:b w:val="0"/>
          <w:i w:val="0"/>
          <w:color w:val="2B2B2B"/>
          <w:sz w:val="22"/>
        </w:rPr>
        <w:t>Establish the starting context for the workflow sequence. Set the trigger mechanism to fire on 'Service Catalog'. This hooks the execution loop directly into standard item requests submitted via the portal environment.</w:t>
      </w:r>
    </w:p>
    <w:p>
      <w:pPr>
        <w:keepNext/>
        <w:spacing w:before="240" w:after="80" w:line="276" w:lineRule="auto"/>
      </w:pPr>
      <w:r>
        <w:rPr>
          <w:rFonts w:ascii="Arial" w:hAnsi="Arial"/>
          <w:b/>
          <w:i w:val="0"/>
          <w:color w:val="3572EF"/>
          <w:sz w:val="26"/>
        </w:rPr>
        <w:t>5.3 Configure the Action</w:t>
      </w:r>
    </w:p>
    <w:p>
      <w:pPr>
        <w:spacing w:before="0" w:after="120" w:line="276" w:lineRule="auto"/>
      </w:pPr>
      <w:r>
        <w:rPr>
          <w:rFonts w:ascii="Arial" w:hAnsi="Arial"/>
          <w:b w:val="0"/>
          <w:i w:val="0"/>
          <w:color w:val="2B2B2B"/>
          <w:sz w:val="22"/>
        </w:rPr>
        <w:t>Define the operational steps executed when the flow triggers. Add the following sequential blocks:</w:t>
      </w:r>
    </w:p>
    <w:p>
      <w:pPr>
        <w:pStyle w:val="27"/>
        <w:spacing w:before="40" w:after="80" w:line="276" w:lineRule="auto"/>
      </w:pPr>
      <w:r>
        <w:rPr>
          <w:rFonts w:ascii="Arial" w:hAnsi="Arial"/>
          <w:b/>
          <w:i w:val="0"/>
          <w:color w:val="2B2B2B"/>
          <w:sz w:val="22"/>
        </w:rPr>
        <w:t xml:space="preserve">Fetch Variables: </w:t>
      </w:r>
      <w:r>
        <w:rPr>
          <w:rFonts w:ascii="Arial" w:hAnsi="Arial"/>
          <w:b w:val="0"/>
          <w:i w:val="0"/>
          <w:color w:val="2B2B2B"/>
          <w:sz w:val="22"/>
        </w:rPr>
        <w:t>Add the 'Get Catalog Variables' action, linking it to the target item to pull user-entered field states.</w:t>
      </w:r>
    </w:p>
    <w:p>
      <w:pPr>
        <w:pStyle w:val="27"/>
        <w:spacing w:before="40" w:after="80" w:line="276" w:lineRule="auto"/>
      </w:pPr>
      <w:r>
        <w:rPr>
          <w:rFonts w:ascii="Arial" w:hAnsi="Arial"/>
          <w:b/>
          <w:i w:val="0"/>
          <w:color w:val="2B2B2B"/>
          <w:sz w:val="22"/>
        </w:rPr>
        <w:t xml:space="preserve">Process Approvals: </w:t>
      </w:r>
      <w:r>
        <w:rPr>
          <w:rFonts w:ascii="Arial" w:hAnsi="Arial"/>
          <w:b w:val="0"/>
          <w:i w:val="0"/>
          <w:color w:val="2B2B2B"/>
          <w:sz w:val="22"/>
        </w:rPr>
        <w:t>Insert an 'Approval' step requiring approval from the requester's direct manager.</w:t>
      </w:r>
    </w:p>
    <w:p>
      <w:pPr>
        <w:pStyle w:val="27"/>
        <w:spacing w:before="40" w:after="80" w:line="276" w:lineRule="auto"/>
      </w:pPr>
      <w:r>
        <w:rPr>
          <w:rFonts w:ascii="Arial" w:hAnsi="Arial"/>
          <w:b/>
          <w:i w:val="0"/>
          <w:color w:val="2B2B2B"/>
          <w:sz w:val="22"/>
        </w:rPr>
        <w:t xml:space="preserve">Task Generation: </w:t>
      </w:r>
      <w:r>
        <w:rPr>
          <w:rFonts w:ascii="Arial" w:hAnsi="Arial"/>
          <w:b w:val="0"/>
          <w:i w:val="0"/>
          <w:color w:val="2B2B2B"/>
          <w:sz w:val="22"/>
        </w:rPr>
        <w:t>Utilize the 'Create Task' action to automatically spin up a fulfillment ticket for the hardware team.</w:t>
      </w:r>
    </w:p>
    <w:p>
      <w:pPr>
        <w:keepNext/>
        <w:spacing w:before="360" w:after="120" w:line="276" w:lineRule="auto"/>
      </w:pPr>
      <w:r>
        <w:rPr>
          <w:rFonts w:ascii="Arial" w:hAnsi="Arial"/>
          <w:b/>
          <w:i w:val="0"/>
          <w:color w:val="102C57"/>
          <w:sz w:val="32"/>
        </w:rPr>
        <w:t>6. Milestone 2 – Assign the Flow to the Standard Laptop Catalog Item</w:t>
      </w:r>
    </w:p>
    <w:p>
      <w:pPr>
        <w:spacing w:before="0" w:after="120" w:line="276" w:lineRule="auto"/>
      </w:pPr>
      <w:r>
        <w:rPr>
          <w:rFonts w:ascii="Arial" w:hAnsi="Arial"/>
          <w:b w:val="0"/>
          <w:i w:val="0"/>
          <w:color w:val="2B2B2B"/>
          <w:sz w:val="22"/>
        </w:rPr>
        <w:t>Navigate to 'Service Catalog' &gt; 'Catalog Definitions' &gt; 'Maintain Items' and locate the 'Standard Laptop' record. Open the form and access the 'Process Engine' tab. Set the 'Flow' reference field to point directly to the newly published 'Laptop Fulfillment and Security Tracking' flow. Update and save the catalog configuration.</w:t>
      </w:r>
    </w:p>
    <w:p>
      <w:pPr>
        <w:keepNext/>
        <w:spacing w:before="360" w:after="120" w:line="276" w:lineRule="auto"/>
      </w:pPr>
      <w:r>
        <w:rPr>
          <w:rFonts w:ascii="Arial" w:hAnsi="Arial"/>
          <w:b/>
          <w:i w:val="0"/>
          <w:color w:val="102C57"/>
          <w:sz w:val="32"/>
        </w:rPr>
        <w:t>7. Milestone 3 – Place the Service Catalog Order and Verify Approval</w:t>
      </w:r>
    </w:p>
    <w:p>
      <w:pPr>
        <w:spacing w:before="0" w:after="120" w:line="276" w:lineRule="auto"/>
      </w:pPr>
      <w:r>
        <w:rPr>
          <w:rFonts w:ascii="Arial" w:hAnsi="Arial"/>
          <w:b w:val="0"/>
          <w:i w:val="0"/>
          <w:color w:val="2B2B2B"/>
          <w:sz w:val="22"/>
        </w:rPr>
        <w:t>Impersonate a standard end-user and navigate to the Service Portal. Locate the 'Standard Laptop' item, configure the delivery choices, and click 'Order Now'. Switch sessions to the designated manager to approve the generated request. Once approved, verify that backend records are successfully instantiated with the secure field parameters set during submission.</w:t>
      </w:r>
    </w:p>
    <w:p>
      <w:pPr>
        <w:keepNext/>
        <w:spacing w:before="360" w:after="120" w:line="276" w:lineRule="auto"/>
      </w:pPr>
      <w:r>
        <w:rPr>
          <w:rFonts w:ascii="Arial" w:hAnsi="Arial"/>
          <w:b/>
          <w:i w:val="0"/>
          <w:color w:val="102C57"/>
          <w:sz w:val="32"/>
        </w:rPr>
        <w:t>8. Expected Final Result &amp; Script Implementation</w:t>
      </w:r>
    </w:p>
    <w:p>
      <w:pPr>
        <w:spacing w:before="0" w:after="120" w:line="276" w:lineRule="auto"/>
      </w:pPr>
      <w:r>
        <w:rPr>
          <w:rFonts w:ascii="Arial" w:hAnsi="Arial"/>
          <w:b w:val="0"/>
          <w:i w:val="0"/>
          <w:color w:val="2B2B2B"/>
          <w:sz w:val="22"/>
        </w:rPr>
        <w:t>When an unauthorized user attempts to view the catalog task or request record, the script-controlled ACL evaluates the designated field value. If the criteria match unauthorized parameters, the row is discarded from the result set. Below is the target script implementation utilized inside the advanced ACL record to enforce this control:</w:t>
      </w:r>
    </w:p>
    <w:p>
      <w:pPr>
        <w:spacing w:before="120" w:after="240" w:line="276" w:lineRule="auto"/>
        <w:ind w:left="360"/>
      </w:pPr>
      <w:r>
        <w:rPr>
          <w:rFonts w:ascii="Consolas" w:hAnsi="Consolas"/>
          <w:b w:val="0"/>
          <w:i w:val="0"/>
          <w:color w:val="282828"/>
          <w:sz w:val="19"/>
        </w:rPr>
        <w:t>// Advanced Script-Controlled ACL Implementation</w:t>
        <w:br/>
        <w:t>(function answerCondition(current, text) {</w:t>
        <w:br/>
        <w:t xml:space="preserve">    var currentUser = gs.getUserID();</w:t>
        <w:br/>
        <w:t xml:space="preserve">    </w:t>
        <w:br/>
        <w:t xml:space="preserve">    // Allow access if the user has the administrative override role</w:t>
        <w:br/>
        <w:t xml:space="preserve">    if (gs.hasRole('security_admin') || gs.hasRole('admin')) {</w:t>
        <w:br/>
        <w:t xml:space="preserve">        return true;</w:t>
        <w:br/>
        <w:t xml:space="preserve">    }</w:t>
        <w:br/>
        <w:t xml:space="preserve">    </w:t>
        <w:br/>
        <w:t xml:space="preserve">    // Enforce restriction based on specific field value (e.g., 'u_restricted_data')</w:t>
        <w:br/>
        <w:t xml:space="preserve">    if (current.u_restricted_data == true) {</w:t>
        <w:br/>
        <w:t xml:space="preserve">        // Only allow access if the user is the assigned opener or manager</w:t>
        <w:br/>
        <w:t xml:space="preserve">        return (current.opened_by == currentUser || current.assignment_group.manager == currentUser);</w:t>
        <w:br/>
        <w:t xml:space="preserve">    }</w:t>
        <w:br/>
        <w:t xml:space="preserve">    </w:t>
        <w:br/>
        <w:t xml:space="preserve">    return true; // Default allow for non-restricted records</w:t>
        <w:br/>
        <w:t>})(current, text);</w:t>
      </w:r>
    </w:p>
    <w:p>
      <w:pPr>
        <w:keepNext/>
        <w:spacing w:before="360" w:after="120" w:line="276" w:lineRule="auto"/>
      </w:pPr>
      <w:r>
        <w:rPr>
          <w:rFonts w:ascii="Arial" w:hAnsi="Arial"/>
          <w:b/>
          <w:i w:val="0"/>
          <w:color w:val="102C57"/>
          <w:sz w:val="32"/>
        </w:rPr>
        <w:t>9. Key Configuration Values</w:t>
      </w:r>
    </w:p>
    <w:tbl>
      <w:tblPr>
        <w:jc w:val="left"/>
        <w:tblInd w:w="0" w:type="dxa"/>
        <w:tblBorders>
          <w:top w:val="single" w:sz="8" w:space="0" w:color="4F81BD"/>
          <w:left w:val="none" w:sz="0" w:space="0" w:color="auto"/>
          <w:bottom w:val="single" w:sz="8" w:space="0" w:color="4F81BD"/>
          <w:right w:val="none" w:sz="0" w:space="0" w:color="auto"/>
        </w:tblBorders>
        <w:tblCellMar>
          <w:top w:w="0" w:type="dxa"/>
          <w:left w:w="108" w:type="dxa"/>
          <w:bottom w:w="0" w:type="dxa"/>
          <w:right w:w="108" w:type="dxa"/>
        </w:tblCellMar>
      </w:tblPr>
      <w:tblGrid>
        <w:gridCol w:w="4680"/>
        <w:gridCol w:w="4680"/>
      </w:tblGrid>
      <w:tr>
        <w:tc>
          <w:tcPr>
            <w:tcW w:w="4680" w:type="dxa"/>
            <w:tcMar>
              <w:top w:w="120" w:type="dxa"/>
              <w:left w:w="120" w:type="dxa"/>
              <w:bottom w:w="120" w:type="dxa"/>
              <w:right w:w="120" w:type="dxa"/>
            </w:tcMar>
          </w:tcPr>
          <w:p>
            <w:pPr>
              <w:spacing w:before="80" w:after="80" w:line="276" w:lineRule="auto"/>
            </w:pPr>
            <w:r>
              <w:rPr>
                <w:rFonts w:ascii="Arial" w:hAnsi="Arial"/>
                <w:b/>
                <w:i w:val="0"/>
                <w:color w:val="FFFFFF"/>
                <w:sz w:val="20"/>
              </w:rPr>
              <w:t>Configuration Component</w:t>
            </w:r>
          </w:p>
        </w:tc>
        <w:tc>
          <w:tcPr>
            <w:tcW w:w="4680" w:type="dxa"/>
            <w:tcMar>
              <w:top w:w="120" w:type="dxa"/>
              <w:left w:w="120" w:type="dxa"/>
              <w:bottom w:w="120" w:type="dxa"/>
              <w:right w:w="120" w:type="dxa"/>
            </w:tcMar>
          </w:tcPr>
          <w:p>
            <w:pPr>
              <w:spacing w:before="80" w:after="80" w:line="276" w:lineRule="auto"/>
            </w:pPr>
            <w:r>
              <w:rPr>
                <w:rFonts w:ascii="Arial" w:hAnsi="Arial"/>
                <w:b/>
                <w:i w:val="0"/>
                <w:color w:val="FFFFFF"/>
                <w:sz w:val="20"/>
              </w:rPr>
              <w:t>Target Value / Setting</w:t>
            </w:r>
          </w:p>
        </w:tc>
      </w:tr>
      <w:tr>
        <w:tc>
          <w:tcPr>
            <w:tcW w:w="4680" w:type="dxa"/>
            <w:tcMar>
              <w:top w:w="120" w:type="dxa"/>
              <w:left w:w="120" w:type="dxa"/>
              <w:bottom w:w="120" w:type="dxa"/>
              <w:right w:w="120" w:type="dxa"/>
            </w:tcMar>
          </w:tcPr>
          <w:p>
            <w:pPr>
              <w:spacing w:before="80" w:after="80" w:line="276" w:lineRule="auto"/>
            </w:pPr>
            <w:r>
              <w:rPr>
                <w:rFonts w:ascii="Arial" w:hAnsi="Arial"/>
                <w:b w:val="0"/>
                <w:i w:val="0"/>
                <w:color w:val="2B2B2B"/>
                <w:sz w:val="20"/>
              </w:rPr>
              <w:t>Target Table</w:t>
            </w:r>
          </w:p>
        </w:tc>
        <w:tc>
          <w:tcPr>
            <w:tcW w:w="4680" w:type="dxa"/>
            <w:shd w:val="clear" w:color="auto" w:fill="F2F4F7"/>
            <w:tcMar>
              <w:top w:w="120" w:type="dxa"/>
              <w:left w:w="120" w:type="dxa"/>
              <w:bottom w:w="120" w:type="dxa"/>
              <w:right w:w="120" w:type="dxa"/>
            </w:tcMar>
          </w:tcPr>
          <w:p>
            <w:pPr>
              <w:spacing w:before="80" w:after="80" w:line="276" w:lineRule="auto"/>
            </w:pPr>
            <w:r>
              <w:rPr>
                <w:rFonts w:ascii="Arial" w:hAnsi="Arial"/>
                <w:b w:val="0"/>
                <w:i w:val="0"/>
                <w:color w:val="2B2B2B"/>
                <w:sz w:val="20"/>
              </w:rPr>
              <w:t>Catalog Task [sc_task] or Custom Request Table</w:t>
            </w:r>
          </w:p>
        </w:tc>
      </w:tr>
      <w:tr>
        <w:tc>
          <w:tcPr>
            <w:tcW w:w="4680" w:type="dxa"/>
            <w:tcMar>
              <w:top w:w="120" w:type="dxa"/>
              <w:left w:w="120" w:type="dxa"/>
              <w:bottom w:w="120" w:type="dxa"/>
              <w:right w:w="120" w:type="dxa"/>
            </w:tcMar>
          </w:tcPr>
          <w:p>
            <w:pPr>
              <w:spacing w:before="80" w:after="80" w:line="276" w:lineRule="auto"/>
            </w:pPr>
            <w:r>
              <w:rPr>
                <w:rFonts w:ascii="Arial" w:hAnsi="Arial"/>
                <w:b w:val="0"/>
                <w:i w:val="0"/>
                <w:color w:val="2B2B2B"/>
                <w:sz w:val="20"/>
              </w:rPr>
              <w:t>ACL Operation Type</w:t>
            </w:r>
          </w:p>
        </w:tc>
        <w:tc>
          <w:tcPr>
            <w:tcW w:w="4680" w:type="dxa"/>
            <w:tcMar>
              <w:top w:w="120" w:type="dxa"/>
              <w:left w:w="120" w:type="dxa"/>
              <w:bottom w:w="120" w:type="dxa"/>
              <w:right w:w="120" w:type="dxa"/>
            </w:tcMar>
          </w:tcPr>
          <w:p>
            <w:pPr>
              <w:spacing w:before="80" w:after="80" w:line="276" w:lineRule="auto"/>
            </w:pPr>
            <w:r>
              <w:rPr>
                <w:rFonts w:ascii="Arial" w:hAnsi="Arial"/>
                <w:b w:val="0"/>
                <w:i w:val="0"/>
                <w:color w:val="2B2B2B"/>
                <w:sz w:val="20"/>
              </w:rPr>
              <w:t>Read (row-level compliance)</w:t>
            </w:r>
          </w:p>
        </w:tc>
      </w:tr>
      <w:tr>
        <w:tc>
          <w:tcPr>
            <w:tcW w:w="4680" w:type="dxa"/>
            <w:tcMar>
              <w:top w:w="120" w:type="dxa"/>
              <w:left w:w="120" w:type="dxa"/>
              <w:bottom w:w="120" w:type="dxa"/>
              <w:right w:w="120" w:type="dxa"/>
            </w:tcMar>
          </w:tcPr>
          <w:p>
            <w:pPr>
              <w:spacing w:before="80" w:after="80" w:line="276" w:lineRule="auto"/>
            </w:pPr>
            <w:r>
              <w:rPr>
                <w:rFonts w:ascii="Arial" w:hAnsi="Arial"/>
                <w:b w:val="0"/>
                <w:i w:val="0"/>
                <w:color w:val="2B2B2B"/>
                <w:sz w:val="20"/>
              </w:rPr>
              <w:t>Execution Condition</w:t>
            </w:r>
          </w:p>
        </w:tc>
        <w:tc>
          <w:tcPr>
            <w:tcW w:w="4680" w:type="dxa"/>
            <w:shd w:val="clear" w:color="auto" w:fill="F2F4F7"/>
            <w:tcMar>
              <w:top w:w="120" w:type="dxa"/>
              <w:left w:w="120" w:type="dxa"/>
              <w:bottom w:w="120" w:type="dxa"/>
              <w:right w:w="120" w:type="dxa"/>
            </w:tcMar>
          </w:tcPr>
          <w:p>
            <w:pPr>
              <w:spacing w:before="80" w:after="80" w:line="276" w:lineRule="auto"/>
            </w:pPr>
            <w:r>
              <w:rPr>
                <w:rFonts w:ascii="Arial" w:hAnsi="Arial"/>
                <w:b w:val="0"/>
                <w:i w:val="0"/>
                <w:color w:val="2B2B2B"/>
                <w:sz w:val="20"/>
              </w:rPr>
              <w:t>Advanced (Script Evaluated)</w:t>
            </w:r>
          </w:p>
        </w:tc>
      </w:tr>
      <w:tr>
        <w:tc>
          <w:tcPr>
            <w:tcW w:w="4680" w:type="dxa"/>
            <w:tcMar>
              <w:top w:w="120" w:type="dxa"/>
              <w:left w:w="120" w:type="dxa"/>
              <w:bottom w:w="120" w:type="dxa"/>
              <w:right w:w="120" w:type="dxa"/>
            </w:tcMar>
          </w:tcPr>
          <w:p>
            <w:pPr>
              <w:spacing w:before="80" w:after="80" w:line="276" w:lineRule="auto"/>
            </w:pPr>
            <w:r>
              <w:rPr>
                <w:rFonts w:ascii="Arial" w:hAnsi="Arial"/>
                <w:b w:val="0"/>
                <w:i w:val="0"/>
                <w:color w:val="2B2B2B"/>
                <w:sz w:val="20"/>
              </w:rPr>
              <w:t>Catalog Binding</w:t>
            </w:r>
          </w:p>
        </w:tc>
        <w:tc>
          <w:tcPr>
            <w:tcW w:w="4680" w:type="dxa"/>
            <w:tcMar>
              <w:top w:w="120" w:type="dxa"/>
              <w:left w:w="120" w:type="dxa"/>
              <w:bottom w:w="120" w:type="dxa"/>
              <w:right w:w="120" w:type="dxa"/>
            </w:tcMar>
          </w:tcPr>
          <w:p>
            <w:pPr>
              <w:spacing w:before="80" w:after="80" w:line="276" w:lineRule="auto"/>
            </w:pPr>
            <w:r>
              <w:rPr>
                <w:rFonts w:ascii="Arial" w:hAnsi="Arial"/>
                <w:b w:val="0"/>
                <w:i w:val="0"/>
                <w:color w:val="2B2B2B"/>
                <w:sz w:val="20"/>
              </w:rPr>
              <w:t>Standard Laptop -&gt; Process Engine -&gt; Target Flow</w:t>
            </w:r>
          </w:p>
        </w:tc>
      </w:tr>
    </w:tbl>
    <w:p/>
    <w:p>
      <w:pPr>
        <w:keepNext/>
        <w:spacing w:before="360" w:after="120" w:line="276" w:lineRule="auto"/>
      </w:pPr>
      <w:r>
        <w:rPr>
          <w:rFonts w:ascii="Arial" w:hAnsi="Arial"/>
          <w:b/>
          <w:i w:val="0"/>
          <w:color w:val="102C57"/>
          <w:sz w:val="32"/>
        </w:rPr>
        <w:t>10. Conclusion</w:t>
      </w:r>
    </w:p>
    <w:p>
      <w:pPr>
        <w:spacing w:before="0" w:after="120" w:line="276" w:lineRule="auto"/>
      </w:pPr>
      <w:r>
        <w:rPr>
          <w:rFonts w:ascii="Arial" w:hAnsi="Arial"/>
          <w:b w:val="0"/>
          <w:i w:val="0"/>
          <w:color w:val="2B2B2B"/>
          <w:sz w:val="22"/>
        </w:rPr>
        <w:t>Implementing a script-controlled ACL bridges the gap between static declarative rules and dynamic business logic. By binding specific system field configurations to backend security behaviors, organizations can enforce strict compliance mandates while maintaining agility within the ServiceNow ecosystem. This architecture ensures complete data integrity and robust programmatic row-level isolation.</w:t>
      </w:r>
    </w:p>
    <w:p>
      <w:pPr>
        <w:keepNext/>
        <w:spacing w:before="360" w:after="120" w:line="276" w:lineRule="auto"/>
      </w:pPr>
      <w:r>
        <w:rPr>
          <w:rFonts w:ascii="Arial" w:hAnsi="Arial"/>
          <w:b/>
          <w:i w:val="0"/>
          <w:color w:val="102C57"/>
          <w:sz w:val="32"/>
        </w:rPr>
        <w:t>11. Project Summary for Presentation / Viva</w:t>
      </w:r>
    </w:p>
    <w:p>
      <w:pPr>
        <w:spacing w:before="0" w:after="120" w:line="276" w:lineRule="auto"/>
      </w:pPr>
      <w:r>
        <w:rPr>
          <w:rFonts w:ascii="Arial" w:hAnsi="Arial"/>
          <w:b w:val="0"/>
          <w:i w:val="0"/>
          <w:color w:val="2B2B2B"/>
          <w:sz w:val="22"/>
        </w:rPr>
        <w:t>Use this structured checklist for summarizing the engineering project during technical reviews, presentations, or viva examinations:</w:t>
      </w:r>
    </w:p>
    <w:p>
      <w:pPr>
        <w:pStyle w:val="27"/>
        <w:spacing w:before="40" w:after="80" w:line="276" w:lineRule="auto"/>
      </w:pPr>
      <w:r>
        <w:rPr>
          <w:rFonts w:ascii="Arial" w:hAnsi="Arial"/>
          <w:b/>
          <w:i w:val="0"/>
          <w:color w:val="2B2B2B"/>
          <w:sz w:val="22"/>
        </w:rPr>
        <w:t xml:space="preserve">Core Problem Solved: </w:t>
      </w:r>
      <w:r>
        <w:rPr>
          <w:rFonts w:ascii="Arial" w:hAnsi="Arial"/>
          <w:b w:val="0"/>
          <w:i w:val="0"/>
          <w:color w:val="2B2B2B"/>
          <w:sz w:val="22"/>
        </w:rPr>
        <w:t>Secured sensitive records using custom server-side scripts embedded within row-level ServiceNow Access Control Lists.</w:t>
      </w:r>
    </w:p>
    <w:p>
      <w:pPr>
        <w:pStyle w:val="27"/>
        <w:spacing w:before="40" w:after="80" w:line="276" w:lineRule="auto"/>
      </w:pPr>
      <w:r>
        <w:rPr>
          <w:rFonts w:ascii="Arial" w:hAnsi="Arial"/>
          <w:b/>
          <w:i w:val="0"/>
          <w:color w:val="2B2B2B"/>
          <w:sz w:val="22"/>
        </w:rPr>
        <w:t xml:space="preserve">Automation Engine: </w:t>
      </w:r>
      <w:r>
        <w:rPr>
          <w:rFonts w:ascii="Arial" w:hAnsi="Arial"/>
          <w:b w:val="0"/>
          <w:i w:val="0"/>
          <w:color w:val="2B2B2B"/>
          <w:sz w:val="22"/>
        </w:rPr>
        <w:t>Created an automated Flow Designer workflow triggered by the Service Catalog, integrating manager approvals and structured tasks.</w:t>
      </w:r>
    </w:p>
    <w:p>
      <w:pPr>
        <w:pStyle w:val="27"/>
        <w:spacing w:before="40" w:after="80" w:line="276" w:lineRule="auto"/>
      </w:pPr>
      <w:r>
        <w:rPr>
          <w:rFonts w:ascii="Arial" w:hAnsi="Arial"/>
          <w:b/>
          <w:i w:val="0"/>
          <w:color w:val="2B2B2B"/>
          <w:sz w:val="22"/>
        </w:rPr>
        <w:t xml:space="preserve">Key Highlight: </w:t>
      </w:r>
      <w:r>
        <w:rPr>
          <w:rFonts w:ascii="Arial" w:hAnsi="Arial"/>
          <w:b w:val="0"/>
          <w:i w:val="0"/>
          <w:color w:val="2B2B2B"/>
          <w:sz w:val="22"/>
        </w:rPr>
        <w:t>Demonstrated conditional record rendering, where unauthorized platform operators are completely restricted from viewing secure fields.</w:t>
      </w:r>
    </w:p>
    <w:p>
      <w:pPr>
        <w:pStyle w:val="27"/>
        <w:spacing w:before="40" w:after="80" w:line="276" w:lineRule="auto"/>
      </w:pPr>
      <w:r>
        <w:rPr>
          <w:rFonts w:ascii="Arial" w:hAnsi="Arial"/>
          <w:b/>
          <w:i w:val="0"/>
          <w:color w:val="2B2B2B"/>
          <w:sz w:val="22"/>
        </w:rPr>
        <w:t xml:space="preserve">Business Value: </w:t>
      </w:r>
      <w:r>
        <w:rPr>
          <w:rFonts w:ascii="Arial" w:hAnsi="Arial"/>
          <w:b w:val="0"/>
          <w:i w:val="0"/>
          <w:color w:val="2B2B2B"/>
          <w:sz w:val="22"/>
        </w:rPr>
        <w:t>Proved robust security governance by maintaining standard data availability while completely locking down contextual high-risk attributes.</w:t>
      </w:r>
    </w:p>
    <w:sectPr>
      <w:pgSz w:w="12240" w:h="15840"/>
      <w:pgMar w:top="1440" w:right="1440" w:bottom="1440" w:left="144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Arial">
    <w:panose1 w:val="020B0604020202020204"/>
    <w:charset w:val="00"/>
    <w:family w:val="auto"/>
    <w:pitch w:val="variable"/>
    <w:sig w:usb0="E0002AFF" w:usb1="C0007843" w:usb2="00000009" w:usb3="00000000" w:csb0="000001FF" w:csb1="00000000"/>
  </w:font>
  <w:font w:name="Consolas">
    <w:altName w:val="Droid Sans"/>
    <w:panose1 w:val="00000000000000000000"/>
    <w:charset w:val="00"/>
    <w:family w:val="auto"/>
    <w:pitch w:val="variable"/>
    <w:sig w:usb0="00000000" w:usb1="00000000" w:usb2="00000000" w:usb3="00000000" w:csb0="00000000" w:csb1="00000000"/>
  </w:font>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Cambria">
    <w:panose1 w:val="02040503050406030204"/>
    <w:charset w:val="00"/>
    <w:family w:val="auto"/>
    <w:pitch w:val="variable"/>
    <w:sig w:usb0="E00002FF" w:usb1="400004FF" w:usb2="00000000" w:usb3="00000000" w:csb0="0000019F" w:csb1="00000000"/>
  </w:font>
  <w:font w:name="ＭＳ 明朝">
    <w:altName w:val="Droid Sans"/>
    <w:panose1 w:val="00000000000000000000"/>
    <w:charset w:val="80"/>
    <w:family w:val="roman"/>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altName w:val="Droid Sans"/>
    <w:panose1 w:val="00000000000000000000"/>
    <w:charset w:val="80"/>
    <w:family w:val="modern"/>
    <w:pitch w:val="variable"/>
    <w:sig w:usb0="00000001" w:usb1="08070000" w:usb2="00000010" w:usb3="00000000" w:csb0="00020000"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FFFFFF89"/>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nsid w:val="FFFFFF83"/>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nsid w:val="FFFFFF8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nsid w:val="FFFFFF88"/>
    <w:multiLevelType w:val="singleLevel"/>
    <w:tmpl w:val="D0A62B40"/>
    <w:lvl w:ilvl="0">
      <w:start w:val="1"/>
      <w:numFmt w:val="decimal"/>
      <w:lvlRestart w:val="0"/>
      <w:pStyle w:val="30"/>
      <w:lvlText w:val="%1."/>
      <w:lvlJc w:val="left"/>
      <w:pPr>
        <w:tabs>
          <w:tab w:val="num" w:pos="360"/>
        </w:tabs>
        <w:ind w:left="360" w:hanging="360"/>
      </w:pPr>
    </w:lvl>
  </w:abstractNum>
  <w:abstractNum w:abstractNumId="4">
    <w:nsid w:val="FFFFFF7F"/>
    <w:multiLevelType w:val="singleLevel"/>
    <w:tmpl w:val="38441652"/>
    <w:lvl w:ilvl="0">
      <w:start w:val="1"/>
      <w:numFmt w:val="decimal"/>
      <w:lvlRestart w:val="0"/>
      <w:pStyle w:val="31"/>
      <w:lvlText w:val="%1."/>
      <w:lvlJc w:val="left"/>
      <w:pPr>
        <w:tabs>
          <w:tab w:val="num" w:pos="720"/>
        </w:tabs>
        <w:ind w:left="720" w:hanging="360"/>
      </w:pPr>
    </w:lvl>
  </w:abstractNum>
  <w:abstractNum w:abstractNumId="5">
    <w:nsid w:val="FFFFFF7E"/>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10"/>
  <w:drawingGridVerticalSpacing w:val="156"/>
  <w:displayHorizontalDrawingGridEvery w:val="0"/>
  <w:displayVerticalDrawingGridEvery w:val="1"/>
  <w:savePreviewPicture/>
  <w:compat>
    <w:spaceForUL/>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mbria" w:eastAsia="ＭＳ 明朝" w:cs="Arial" w:hAnsi="Cambria"/>
      <w:sz w:val="22"/>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3</TotalTime>
  <Application>Yozo_Office</Application>
  <Pages>5</Pages>
  <Words>977</Words>
  <Characters>6201</Characters>
  <Lines>138</Lines>
  <Paragraphs>64</Paragraphs>
  <CharactersWithSpaces>7193</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vivo user</cp:lastModifiedBy>
  <cp:revision>1</cp:revision>
  <dcterms:created xsi:type="dcterms:W3CDTF">2013-12-23T23:15:00Z</dcterms:created>
  <dcterms:modified xsi:type="dcterms:W3CDTF">2026-10-03T01:33:06Z</dcterms:modified>
</cp:coreProperties>
</file>