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</w:t>
      </w:r>
      <w:r>
        <w:rPr>
          <w:rFonts w:hint="eastAsia"/>
          <w:b/>
          <w:bCs/>
          <w:sz w:val="44"/>
          <w:szCs w:val="44"/>
          <w:lang w:val="en-US" w:eastAsia="zh-CN"/>
        </w:rPr>
        <w:t>网页素材——科研实践项目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本项目适合：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1.优秀的高中生。希望初步体验大学科研过程，学习做科研的基本工具和基本方法，感受名校氛围，为将来的大学学习生活打好基础；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2.申请留学的本科生。国外暑研申请和参与耗时较长，且对学生的综合能力要求较高，而本项目开课时间灵活，教学模式成熟，对初入科研者更加友好，同时能为出国留学申请加分。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选题原则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贴近生活：研究与生活密切相关的问题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走近科学：选题具有科学研究价值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难度适中：结合学生能力，选择难度适中的选题。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提升素养：能提高学生科研素养以及动手能力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结合学生兴趣，发现生活中的科学问题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选题，制定研究 方案和具体策略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带领学生开展线下课题研究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分析采集数据撰写课题报告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导师为学员撰写英文推荐信并署名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项目流程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了解学生基本情况和目标专业方向。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导师面试确定课题，签订合同、缴纳项目费用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学生阅读相关文献，了解项目内容，完成相应准备工作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学生根据导师的安排在武大、华科开展线下实习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完成结题报告并做汇报，导师为学生撰写专属推荐信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项目收获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接触前沿课题，感受顶尖学府的学术氛围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参与前沿学者专题讲座，零距离接触学术大咖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收获含金量十足的科研实习经验，以及诚意满满的推荐信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提前经历科研，成长快人一步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项目优势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荆楚一流的学术平台。珞珈山下，群英荟萃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学生至上的极致服务。赤子诚心，不可辜负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专业卓越的导师团队。术业专攻，百花齐放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有趣有料的科研主题。千锤百炼，切实可行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项目示例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6233795" cy="3081655"/>
            <wp:effectExtent l="0" t="0" r="146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4555F"/>
    <w:rsid w:val="343C0122"/>
    <w:rsid w:val="391A58CD"/>
    <w:rsid w:val="46A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2018-04-03T09:25:40Z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