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pPr>
      <w:r>
        <w:rPr>
          <w:b/>
          <w:color w:val="2E75B6"/>
          <w:spacing w:val="40"/>
          <w:sz w:val="22"/>
        </w:rPr>
        <w:t>BOARD BRIEFING</w:t>
      </w:r>
    </w:p>
    <w:p>
      <w:pPr>
        <w:spacing w:line="240" w:lineRule="auto" w:after="160"/>
      </w:pPr>
      <w:r>
        <w:rPr>
          <w:b/>
          <w:color w:val="1F3A5F"/>
          <w:sz w:val="56"/>
        </w:rPr>
        <w:t>AI Customer-Service Chatbot Rollout – Europe Board Briefing</w:t>
      </w:r>
    </w:p>
    <w:p>
      <w:pPr>
        <w:pBdr>
          <w:bottom w:val="single" w:sz="18" w:space="12" w:color="2E75B6"/>
        </w:pBdr>
        <w:spacing w:after="560"/>
      </w:pPr>
      <w:r>
        <w:rPr>
          <w:color w:val="6B7280"/>
          <w:sz w:val="26"/>
        </w:rPr>
        <w:t>Key compliance, cost, timeline, hiring, and competitive landscape</w:t>
      </w:r>
    </w:p>
    <w:tbl>
      <w:tblPr>
        <w:tblW w:type="dxa" w:w="9411"/>
        <w:tblLayout w:type="fixed"/>
        <w:tblLook w:firstColumn="1" w:firstRow="1" w:lastColumn="0" w:lastRow="0" w:noHBand="0" w:noVBand="1" w:val="04A0"/>
      </w:tblPr>
      <w:tblGrid>
        <w:gridCol w:w="2041"/>
        <w:gridCol w:w="7370"/>
      </w:tblGrid>
      <w:tr>
        <w:tc>
          <w:tcPr>
            <w:tcW w:type="dxa" w:w="2041"/>
            <w:tcMar>
              <w:top w:w="60" w:type="dxa"/>
              <w:left w:w="60" w:type="dxa"/>
              <w:bottom w:w="60" w:type="dxa"/>
              <w:right w:w="60" w:type="dxa"/>
            </w:tcMar>
            <w:vAlign w:val="center"/>
          </w:tcPr>
          <w:p>
            <w:pPr>
              <w:spacing w:after="0" w:line="252" w:lineRule="auto"/>
            </w:pPr>
            <w:r>
              <w:rPr>
                <w:b/>
                <w:color w:val="6B7280"/>
                <w:sz w:val="17"/>
              </w:rPr>
              <w:t>PREPARED FOR</w:t>
            </w:r>
          </w:p>
        </w:tc>
        <w:tc>
          <w:tcPr>
            <w:tcW w:type="dxa" w:w="7370"/>
            <w:tcMar>
              <w:top w:w="60" w:type="dxa"/>
              <w:left w:w="60" w:type="dxa"/>
              <w:bottom w:w="60" w:type="dxa"/>
              <w:right w:w="60" w:type="dxa"/>
            </w:tcMar>
            <w:vAlign w:val="center"/>
          </w:tcPr>
          <w:p>
            <w:pPr>
              <w:spacing w:after="0" w:line="252" w:lineRule="auto"/>
            </w:pPr>
            <w:r>
              <w:rPr>
                <w:color w:val="262626"/>
                <w:sz w:val="21"/>
              </w:rPr>
              <w:t>Board of Directors, CEO, CFO, Legal &amp; Compliance, Sales Leadership</w:t>
            </w:r>
          </w:p>
        </w:tc>
      </w:tr>
      <w:tr>
        <w:tc>
          <w:tcPr>
            <w:tcW w:type="dxa" w:w="2041"/>
            <w:tcMar>
              <w:top w:w="60" w:type="dxa"/>
              <w:left w:w="60" w:type="dxa"/>
              <w:bottom w:w="60" w:type="dxa"/>
              <w:right w:w="60" w:type="dxa"/>
            </w:tcMar>
            <w:vAlign w:val="center"/>
          </w:tcPr>
          <w:p>
            <w:pPr>
              <w:spacing w:after="0" w:line="252" w:lineRule="auto"/>
            </w:pPr>
            <w:r>
              <w:rPr>
                <w:b/>
                <w:color w:val="6B7280"/>
                <w:sz w:val="17"/>
              </w:rPr>
              <w:t>PREPARED BY</w:t>
            </w:r>
          </w:p>
        </w:tc>
        <w:tc>
          <w:tcPr>
            <w:tcW w:type="dxa" w:w="7370"/>
            <w:tcMar>
              <w:top w:w="60" w:type="dxa"/>
              <w:left w:w="60" w:type="dxa"/>
              <w:bottom w:w="60" w:type="dxa"/>
              <w:right w:w="60" w:type="dxa"/>
            </w:tcMar>
            <w:vAlign w:val="center"/>
          </w:tcPr>
          <w:p>
            <w:pPr>
              <w:spacing w:after="0" w:line="252" w:lineRule="auto"/>
            </w:pPr>
            <w:r>
              <w:rPr>
                <w:color w:val="262626"/>
                <w:sz w:val="21"/>
              </w:rPr>
              <w:t>Autonomous Document Agent</w:t>
            </w:r>
          </w:p>
        </w:tc>
      </w:tr>
      <w:tr>
        <w:tc>
          <w:tcPr>
            <w:tcW w:type="dxa" w:w="2041"/>
            <w:tcMar>
              <w:top w:w="60" w:type="dxa"/>
              <w:left w:w="60" w:type="dxa"/>
              <w:bottom w:w="60" w:type="dxa"/>
              <w:right w:w="60" w:type="dxa"/>
            </w:tcMar>
            <w:vAlign w:val="center"/>
          </w:tcPr>
          <w:p>
            <w:pPr>
              <w:spacing w:after="0" w:line="252" w:lineRule="auto"/>
            </w:pPr>
            <w:r>
              <w:rPr>
                <w:b/>
                <w:color w:val="6B7280"/>
                <w:sz w:val="17"/>
              </w:rPr>
              <w:t>DATE</w:t>
            </w:r>
          </w:p>
        </w:tc>
        <w:tc>
          <w:tcPr>
            <w:tcW w:type="dxa" w:w="7370"/>
            <w:tcMar>
              <w:top w:w="60" w:type="dxa"/>
              <w:left w:w="60" w:type="dxa"/>
              <w:bottom w:w="60" w:type="dxa"/>
              <w:right w:w="60" w:type="dxa"/>
            </w:tcMar>
            <w:vAlign w:val="center"/>
          </w:tcPr>
          <w:p>
            <w:pPr>
              <w:spacing w:after="0" w:line="252" w:lineRule="auto"/>
            </w:pPr>
            <w:r>
              <w:rPr>
                <w:color w:val="262626"/>
                <w:sz w:val="21"/>
              </w:rPr>
              <w:t>23 October 2026</w:t>
            </w:r>
          </w:p>
        </w:tc>
      </w:tr>
      <w:tr>
        <w:tc>
          <w:tcPr>
            <w:tcW w:type="dxa" w:w="2041"/>
            <w:tcMar>
              <w:top w:w="60" w:type="dxa"/>
              <w:left w:w="60" w:type="dxa"/>
              <w:bottom w:w="60" w:type="dxa"/>
              <w:right w:w="60" w:type="dxa"/>
            </w:tcMar>
            <w:vAlign w:val="center"/>
          </w:tcPr>
          <w:p>
            <w:pPr>
              <w:spacing w:after="0" w:line="252" w:lineRule="auto"/>
            </w:pPr>
            <w:r>
              <w:rPr>
                <w:b/>
                <w:color w:val="6B7280"/>
                <w:sz w:val="17"/>
              </w:rPr>
              <w:t>VERSION</w:t>
            </w:r>
          </w:p>
        </w:tc>
        <w:tc>
          <w:tcPr>
            <w:tcW w:type="dxa" w:w="7370"/>
            <w:tcMar>
              <w:top w:w="60" w:type="dxa"/>
              <w:left w:w="60" w:type="dxa"/>
              <w:bottom w:w="60" w:type="dxa"/>
              <w:right w:w="60" w:type="dxa"/>
            </w:tcMar>
            <w:vAlign w:val="center"/>
          </w:tcPr>
          <w:p>
            <w:pPr>
              <w:spacing w:after="0" w:line="252" w:lineRule="auto"/>
            </w:pPr>
            <w:r>
              <w:rPr>
                <w:color w:val="262626"/>
                <w:sz w:val="21"/>
              </w:rPr>
              <w:t>1.0 — Draft for review</w:t>
            </w:r>
          </w:p>
        </w:tc>
      </w:tr>
    </w:tbl>
    <w:p>
      <w:r>
        <w:br w:type="page"/>
      </w:r>
    </w:p>
    <w:p>
      <w:pPr>
        <w:pStyle w:val="Heading2"/>
      </w:pPr>
      <w:r>
        <w:t>Document Control</w:t>
      </w:r>
    </w:p>
    <w:tbl>
      <w:tblPr>
        <w:tblW w:type="dxa" w:w="9411"/>
        <w:tblLayout w:type="fixed"/>
        <w:tblLook w:firstColumn="1" w:firstRow="1" w:lastColumn="0" w:lastRow="0" w:noHBand="0" w:noVBand="1" w:val="04A0"/>
      </w:tblPr>
      <w:tblGrid>
        <w:gridCol w:w="2041"/>
        <w:gridCol w:w="7370"/>
      </w:tblGrid>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Document</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AI Customer-Service Chatbot Rollout – Europe Board Briefing</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Type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Board Briefing</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Audience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Board of Directors, CEO, CFO, Legal &amp; Compliance, Sales Leadership</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Objective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Enable the board to approve the budget and timeline for the European AI chatbot rollout while understanding compliance constraints and market positioning</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Status</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Draft v1.0 — for stakeholder review</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Quality gate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9/10 after automated self-review (scores 8 → 5 → 9; 3 section revisions)</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Verification</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0 table figure(s) recomputed by code, 1 corrected; 8 calculator/calendar tool call(s)</w:t>
            </w:r>
          </w:p>
        </w:tc>
      </w:tr>
    </w:tbl>
    <w:p>
      <w:pPr>
        <w:pStyle w:val="Heading2"/>
        <w:spacing w:before="440"/>
      </w:pPr>
      <w:r>
        <w:t>Contents</w:t>
      </w:r>
    </w:p>
    <w:p>
      <w:pPr>
        <w:pBdr>
          <w:bottom w:val="single" w:sz="4" w:space="3" w:color="C9D3E0"/>
        </w:pBdr>
        <w:tabs>
          <w:tab w:pos="567" w:val="left"/>
        </w:tabs>
        <w:spacing w:after="80"/>
      </w:pPr>
      <w:r>
        <w:rPr>
          <w:b/>
          <w:color w:val="2E75B6"/>
          <w:sz w:val="21"/>
        </w:rPr>
        <w:t>1</w:t>
        <w:tab/>
      </w:r>
      <w:r>
        <w:rPr>
          <w:sz w:val="21"/>
        </w:rPr>
        <w:t>Executive Summary &amp; Recommendation</w:t>
      </w:r>
    </w:p>
    <w:p>
      <w:pPr>
        <w:pBdr>
          <w:bottom w:val="single" w:sz="4" w:space="3" w:color="C9D3E0"/>
        </w:pBdr>
        <w:tabs>
          <w:tab w:pos="567" w:val="left"/>
        </w:tabs>
        <w:spacing w:after="80"/>
      </w:pPr>
      <w:r>
        <w:rPr>
          <w:b/>
          <w:color w:val="2E75B6"/>
          <w:sz w:val="21"/>
        </w:rPr>
        <w:t>2</w:t>
        <w:tab/>
      </w:r>
      <w:r>
        <w:rPr>
          <w:sz w:val="21"/>
        </w:rPr>
        <w:t>Compliance &amp; Regulatory Landscape</w:t>
      </w:r>
    </w:p>
    <w:p>
      <w:pPr>
        <w:pBdr>
          <w:bottom w:val="single" w:sz="4" w:space="3" w:color="C9D3E0"/>
        </w:pBdr>
        <w:tabs>
          <w:tab w:pos="567" w:val="left"/>
        </w:tabs>
        <w:spacing w:after="80"/>
      </w:pPr>
      <w:r>
        <w:rPr>
          <w:b/>
          <w:color w:val="2E75B6"/>
          <w:sz w:val="21"/>
        </w:rPr>
        <w:t>3</w:t>
        <w:tab/>
      </w:r>
      <w:r>
        <w:rPr>
          <w:sz w:val="21"/>
        </w:rPr>
        <w:t>Budget Scenarios &amp; Allocation</w:t>
      </w:r>
    </w:p>
    <w:p>
      <w:pPr>
        <w:pBdr>
          <w:bottom w:val="single" w:sz="4" w:space="3" w:color="C9D3E0"/>
        </w:pBdr>
        <w:tabs>
          <w:tab w:pos="567" w:val="left"/>
        </w:tabs>
        <w:spacing w:after="80"/>
      </w:pPr>
      <w:r>
        <w:rPr>
          <w:b/>
          <w:color w:val="2E75B6"/>
          <w:sz w:val="21"/>
        </w:rPr>
        <w:t>4</w:t>
        <w:tab/>
      </w:r>
      <w:r>
        <w:rPr>
          <w:sz w:val="21"/>
        </w:rPr>
        <w:t>Timeline &amp; Milestones</w:t>
      </w:r>
    </w:p>
    <w:p>
      <w:pPr>
        <w:pBdr>
          <w:bottom w:val="single" w:sz="4" w:space="3" w:color="C9D3E0"/>
        </w:pBdr>
        <w:tabs>
          <w:tab w:pos="567" w:val="left"/>
        </w:tabs>
        <w:spacing w:after="80"/>
      </w:pPr>
      <w:r>
        <w:rPr>
          <w:b/>
          <w:color w:val="2E75B6"/>
          <w:sz w:val="21"/>
        </w:rPr>
        <w:t>5</w:t>
        <w:tab/>
      </w:r>
      <w:r>
        <w:rPr>
          <w:sz w:val="21"/>
        </w:rPr>
        <w:t>Resource Plan &amp; Hiring</w:t>
      </w:r>
    </w:p>
    <w:p>
      <w:pPr>
        <w:pBdr>
          <w:bottom w:val="single" w:sz="4" w:space="3" w:color="C9D3E0"/>
        </w:pBdr>
        <w:tabs>
          <w:tab w:pos="567" w:val="left"/>
        </w:tabs>
        <w:spacing w:after="80"/>
      </w:pPr>
      <w:r>
        <w:rPr>
          <w:b/>
          <w:color w:val="2E75B6"/>
          <w:sz w:val="21"/>
        </w:rPr>
        <w:t>6</w:t>
        <w:tab/>
      </w:r>
      <w:r>
        <w:rPr>
          <w:sz w:val="21"/>
        </w:rPr>
        <w:t>Competitive Positioning</w:t>
      </w:r>
    </w:p>
    <w:p>
      <w:pPr>
        <w:pBdr>
          <w:bottom w:val="single" w:sz="4" w:space="3" w:color="C9D3E0"/>
        </w:pBdr>
        <w:tabs>
          <w:tab w:pos="567" w:val="left"/>
        </w:tabs>
        <w:spacing w:after="80"/>
      </w:pPr>
      <w:r>
        <w:rPr>
          <w:b/>
          <w:color w:val="2E75B6"/>
          <w:sz w:val="21"/>
        </w:rPr>
        <w:t>7</w:t>
        <w:tab/>
      </w:r>
      <w:r>
        <w:rPr>
          <w:sz w:val="21"/>
        </w:rPr>
        <w:t>Assumptions, Decisions &amp; Open Questions</w:t>
      </w:r>
    </w:p>
    <w:p>
      <w:r>
        <w:br w:type="page"/>
      </w:r>
    </w:p>
    <w:p>
      <w:pPr>
        <w:pStyle w:val="Heading1"/>
      </w:pPr>
      <w:r>
        <w:t>1. Executive Summary &amp; Recommendation</w:t>
      </w:r>
    </w:p>
    <w:tbl>
      <w:tblPr>
        <w:tblW w:type="dxa" w:w="9411"/>
        <w:jc w:val="center"/>
        <w:tblLayout w:type="fixed"/>
        <w:tblLook w:firstColumn="1" w:firstRow="1" w:lastColumn="0" w:lastRow="0" w:noHBand="0" w:noVBand="1" w:val="04A0"/>
      </w:tblPr>
      <w:tblGrid>
        <w:gridCol w:w="9411"/>
      </w:tblGrid>
      <w:tr>
        <w:tc>
          <w:tcPr>
            <w:tcW w:type="dxa" w:w="9411"/>
            <w:tcBorders>
              <w:top w:val="nil"/>
              <w:left w:val="single" w:sz="24" w:space="0" w:color="2E75B6"/>
              <w:bottom w:val="nil"/>
              <w:right w:val="nil"/>
            </w:tcBorders>
            <w:shd w:val="clear" w:color="auto" w:fill="EAF2FB"/>
            <w:tcMar>
              <w:top w:w="140" w:type="dxa"/>
              <w:left w:w="220" w:type="dxa"/>
              <w:bottom w:w="140" w:type="dxa"/>
              <w:right w:w="220" w:type="dxa"/>
            </w:tcMar>
          </w:tcPr>
          <w:p>
            <w:pPr>
              <w:spacing w:after="120"/>
            </w:pPr>
            <w:r>
              <w:rPr/>
              <w:t>The AI Customer‑Service Chatbot rollout targets Germany, France and Spain as a provisional entry trio, leveraging localized GDPR compliance to gain early market share. The pilot will validate the MVP by 15 Dec 2026 within a €50,000 budget, but full‑scale deployment requires the maximum approved budget of €200,000 and a compliant launch on 30 May 2027 after legal sign‑off.</w:t>
            </w:r>
          </w:p>
          <w:p>
            <w:pPr>
              <w:spacing w:after="120"/>
            </w:pPr>
            <w:r>
              <w:rPr/>
              <w:t>The board is asked to approve the €200,000 full‑rollout budget and the Q2 2027 timeline. The pre‑Christmas 2026 launch proposed by Sales is rejected because it conflicts with the EU AI Act and GDPR compliance deadline.</w:t>
            </w:r>
          </w:p>
          <w:p>
            <w:pPr>
              <w:spacing w:before="80" w:after="40"/>
            </w:pPr>
            <w:r>
              <w:rPr>
                <w:b/>
                <w:color w:val="2E75B6"/>
                <w:sz w:val="17"/>
              </w:rPr>
              <w:t>KEY POINTS</w:t>
            </w:r>
          </w:p>
          <w:p>
            <w:pPr>
              <w:pStyle w:val="ListBullet"/>
            </w:pPr>
            <w:r>
              <w:rPr>
                <w:b/>
              </w:rPr>
              <w:t xml:space="preserve">Budget: </w:t>
            </w:r>
            <w:r>
              <w:rPr/>
              <w:t>€200,000 total (Development €80k, Compliance €50k, Hiring €40k, Ops €30k).</w:t>
            </w:r>
          </w:p>
          <w:p>
            <w:pPr>
              <w:pStyle w:val="ListBullet"/>
            </w:pPr>
            <w:r>
              <w:rPr>
                <w:b/>
              </w:rPr>
              <w:t xml:space="preserve">Key milestones: </w:t>
            </w:r>
            <w:r>
              <w:rPr/>
              <w:t>Project start 02 Nov 2026; Pilot MVP 15 Dec 2026; Compliance sign‑off 15 Apr 2027; Full launch 30 May 2027.</w:t>
            </w:r>
          </w:p>
          <w:p>
            <w:pPr>
              <w:pStyle w:val="ListBullet"/>
            </w:pPr>
            <w:r>
              <w:rPr>
                <w:b/>
              </w:rPr>
              <w:t xml:space="preserve">Hiring: </w:t>
            </w:r>
            <w:r>
              <w:rPr/>
              <w:t>4 FTE (2 AI Engineers, 1 Data Privacy Officer, 1 Product Manager) funded within the €40k hiring allocation.</w:t>
            </w:r>
          </w:p>
          <w:p>
            <w:pPr>
              <w:pStyle w:val="ListBullet"/>
            </w:pPr>
            <w:r>
              <w:rPr>
                <w:b/>
              </w:rPr>
              <w:t xml:space="preserve">Regulatory compliance: </w:t>
            </w:r>
            <w:r>
              <w:rPr/>
              <w:t>Conformity assessment and risk register completed by 15 Apr 2027 per GDPR and EU AI Act.</w:t>
            </w:r>
          </w:p>
          <w:p>
            <w:pPr>
              <w:pStyle w:val="ListBullet"/>
            </w:pPr>
            <w:r>
              <w:rPr>
                <w:b/>
              </w:rPr>
              <w:t xml:space="preserve">Strategic advantage: </w:t>
            </w:r>
            <w:r>
              <w:rPr/>
              <w:t>Early compliant presence in DE/FR/ES positions us ahead of Companies A‑C.</w:t>
            </w:r>
          </w:p>
        </w:tc>
      </w:tr>
    </w:tbl>
    <w:p>
      <w:pPr>
        <w:spacing w:after="40"/>
      </w:pPr>
    </w:p>
    <w:p>
      <w:pPr>
        <w:pStyle w:val="Heading1"/>
      </w:pPr>
      <w:r>
        <w:t>2. Compliance &amp; Regulatory Landscape</w:t>
      </w:r>
    </w:p>
    <w:p>
      <w:r>
        <w:rPr/>
        <w:t>The rollout must adhere to GDPR’s strict data protection mandates, ensuring user data is collected only for the chatbot’s purpose, anonymized where possible, and stored with end‑to‑end encryption. The EU AI Act classifies the chatbot as a ‘high‑risk’ system, requiring a conformity assessment, a risk register, and a transparency notice for users. Compliance sign‑off is scheduled for 15 Apr 2027, which dictates the 30 May 2027 full launch. The pilot, concluding 15 Dec 2026, will operate under a provisional data minimization protocol, limiting data retention to 30 days and logging all data flows to satisfy interim legal scrutiny.</w:t>
      </w:r>
    </w:p>
    <w:p>
      <w:pPr>
        <w:pStyle w:val="Heading1"/>
      </w:pPr>
      <w:r>
        <w:t>3. Budget Scenarios &amp; Allocation</w:t>
      </w:r>
    </w:p>
    <w:p>
      <w:r>
        <w:rPr/>
        <w:t>The following table delineates the financial commitments for the pilot phase versus the full-scale rollout. The pilot baseline of €50,000 covers core development, compliance, hiring, and operations for the MVP, while the full rollout budget of €200,000 expands each category to support a comprehensive European launch. The €200,000 figure represents the maximum amount the board may approve for the full rollout.</w:t>
      </w:r>
    </w:p>
    <w:p>
      <w:r>
        <w:rPr/>
        <w:t>The pilot budget is designed to validate technical feasibility and regulatory compliance before scaling, whereas the full rollout budget incorporates additional resources for broader market coverage and sustained operations.</w:t>
      </w:r>
    </w:p>
    <w:p>
      <w:pPr>
        <w:keepNext/>
        <w:spacing w:before="120" w:after="80"/>
      </w:pPr>
      <w:r>
        <w:rPr>
          <w:b/>
          <w:color w:val="1F3A5F"/>
          <w:sz w:val="18"/>
        </w:rPr>
        <w:t xml:space="preserve">Table 1. </w:t>
      </w:r>
      <w:r>
        <w:rPr>
          <w:i/>
          <w:color w:val="6B7280"/>
          <w:sz w:val="18"/>
        </w:rPr>
        <w:t>Budget Comparison – Pilot vs Full Rollout</w:t>
      </w:r>
    </w:p>
    <w:tbl>
      <w:tblPr>
        <w:tblW w:type="dxa" w:w="9411"/>
        <w:jc w:val="center"/>
        <w:tblLayout w:type="fixed"/>
        <w:tblLook w:firstColumn="1" w:firstRow="1" w:lastColumn="0" w:lastRow="0" w:noHBand="0" w:noVBand="1" w:val="04A0"/>
      </w:tblPr>
      <w:tblGrid>
        <w:gridCol w:w="2250"/>
        <w:gridCol w:w="2864"/>
        <w:gridCol w:w="4296"/>
      </w:tblGrid>
      <w:tr>
        <w:trPr>
          <w:tblHeader w:val="true"/>
        </w:trPr>
        <w:tc>
          <w:tcPr>
            <w:tcW w:type="dxa" w:w="2250"/>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Category</w:t>
            </w:r>
          </w:p>
        </w:tc>
        <w:tc>
          <w:tcPr>
            <w:tcW w:type="dxa" w:w="2864"/>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Pilot Cost (€)</w:t>
            </w:r>
          </w:p>
        </w:tc>
        <w:tc>
          <w:tcPr>
            <w:tcW w:type="dxa" w:w="4296"/>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Full Rollout Cost (€)</w:t>
            </w:r>
          </w:p>
        </w:tc>
      </w:tr>
      <w:tr>
        <w:tc>
          <w:tcPr>
            <w:tcW w:type="dxa" w:w="225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Development</w:t>
            </w:r>
          </w:p>
        </w:tc>
        <w:tc>
          <w:tcPr>
            <w:tcW w:type="dxa" w:w="286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20,000</w:t>
            </w:r>
          </w:p>
        </w:tc>
        <w:tc>
          <w:tcPr>
            <w:tcW w:type="dxa" w:w="429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80,000</w:t>
            </w:r>
          </w:p>
        </w:tc>
      </w:tr>
      <w:tr>
        <w:tc>
          <w:tcPr>
            <w:tcW w:type="dxa" w:w="225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Compliance</w:t>
            </w:r>
          </w:p>
        </w:tc>
        <w:tc>
          <w:tcPr>
            <w:tcW w:type="dxa" w:w="286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15,000</w:t>
            </w:r>
          </w:p>
        </w:tc>
        <w:tc>
          <w:tcPr>
            <w:tcW w:type="dxa" w:w="429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50,000</w:t>
            </w:r>
          </w:p>
        </w:tc>
      </w:tr>
      <w:tr>
        <w:tc>
          <w:tcPr>
            <w:tcW w:type="dxa" w:w="225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Hiring</w:t>
            </w:r>
          </w:p>
        </w:tc>
        <w:tc>
          <w:tcPr>
            <w:tcW w:type="dxa" w:w="286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10,000</w:t>
            </w:r>
          </w:p>
        </w:tc>
        <w:tc>
          <w:tcPr>
            <w:tcW w:type="dxa" w:w="429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40,000</w:t>
            </w:r>
          </w:p>
        </w:tc>
      </w:tr>
      <w:tr>
        <w:tc>
          <w:tcPr>
            <w:tcW w:type="dxa" w:w="225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Ops</w:t>
            </w:r>
          </w:p>
        </w:tc>
        <w:tc>
          <w:tcPr>
            <w:tcW w:type="dxa" w:w="286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5,000</w:t>
            </w:r>
          </w:p>
        </w:tc>
        <w:tc>
          <w:tcPr>
            <w:tcW w:type="dxa" w:w="429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30,000</w:t>
            </w:r>
          </w:p>
        </w:tc>
      </w:tr>
    </w:tbl>
    <w:p>
      <w:pPr>
        <w:spacing w:after="40"/>
      </w:pPr>
    </w:p>
    <w:p>
      <w:pPr>
        <w:pStyle w:val="Heading1"/>
      </w:pPr>
      <w:r>
        <w:t>4. Timeline &amp; Milestones</w:t>
      </w:r>
    </w:p>
    <w:p>
      <w:r>
        <w:rPr/>
        <w:t>The following table captures the critical milestones for the European AI chatbot rollout, highlighting the approved timeline and the conflict with the Sales target. The schedule aligns with the legal compliance deadline and the planned full launch in Q2 2027. The ‘Sales Target (Pre‑Christmas)’ row is marked as rejected to emphasize the non‑compliant nature of an earlier go‑live.</w:t>
      </w:r>
    </w:p>
    <w:p>
      <w:r>
        <w:rPr/>
        <w:t>The table also serves as a visual decision aid for the board, underscoring the need to adhere to the compliance sign‑off before any public launch.</w:t>
      </w:r>
    </w:p>
    <w:p>
      <w:pPr>
        <w:keepNext/>
        <w:spacing w:before="120" w:after="80"/>
      </w:pPr>
      <w:r>
        <w:rPr>
          <w:b/>
          <w:color w:val="1F3A5F"/>
          <w:sz w:val="18"/>
        </w:rPr>
        <w:t xml:space="preserve">Table 2. </w:t>
      </w:r>
      <w:r>
        <w:rPr>
          <w:i/>
          <w:color w:val="6B7280"/>
          <w:sz w:val="18"/>
        </w:rPr>
        <w:t>European AI Chatbot Rollout Milestones</w:t>
      </w:r>
    </w:p>
    <w:tbl>
      <w:tblPr>
        <w:tblW w:type="dxa" w:w="9411"/>
        <w:jc w:val="center"/>
        <w:tblLayout w:type="fixed"/>
        <w:tblLook w:firstColumn="1" w:firstRow="1" w:lastColumn="0" w:lastRow="0" w:noHBand="0" w:noVBand="1" w:val="04A0"/>
      </w:tblPr>
      <w:tblGrid>
        <w:gridCol w:w="4183"/>
        <w:gridCol w:w="1494"/>
        <w:gridCol w:w="3735"/>
      </w:tblGrid>
      <w:tr>
        <w:trPr>
          <w:tblHeader w:val="true"/>
        </w:trPr>
        <w:tc>
          <w:tcPr>
            <w:tcW w:type="dxa" w:w="4183"/>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Milestone</w:t>
            </w:r>
          </w:p>
        </w:tc>
        <w:tc>
          <w:tcPr>
            <w:tcW w:type="dxa" w:w="1494"/>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Date</w:t>
            </w:r>
          </w:p>
        </w:tc>
        <w:tc>
          <w:tcPr>
            <w:tcW w:type="dxa" w:w="373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Status/Note</w:t>
            </w:r>
          </w:p>
        </w:tc>
      </w:tr>
      <w:tr>
        <w:tc>
          <w:tcPr>
            <w:tcW w:type="dxa" w:w="418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Project Start</w:t>
            </w:r>
          </w:p>
        </w:tc>
        <w:tc>
          <w:tcPr>
            <w:tcW w:type="dxa" w:w="149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2026-11-02</w:t>
            </w:r>
          </w:p>
        </w:tc>
        <w:tc>
          <w:tcPr>
            <w:tcW w:type="dxa" w:w="373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Kick‑off – Week 1</w:t>
            </w:r>
          </w:p>
        </w:tc>
      </w:tr>
      <w:tr>
        <w:tc>
          <w:tcPr>
            <w:tcW w:type="dxa" w:w="418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Pilot MVP Completion</w:t>
            </w:r>
          </w:p>
        </w:tc>
        <w:tc>
          <w:tcPr>
            <w:tcW w:type="dxa" w:w="149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2026-12-15</w:t>
            </w:r>
          </w:p>
        </w:tc>
        <w:tc>
          <w:tcPr>
            <w:tcW w:type="dxa" w:w="373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End of Week 6 – MVP ready</w:t>
            </w:r>
          </w:p>
        </w:tc>
      </w:tr>
      <w:tr>
        <w:tc>
          <w:tcPr>
            <w:tcW w:type="dxa" w:w="418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Sales Target (Pre-Christmas)</w:t>
            </w:r>
          </w:p>
        </w:tc>
        <w:tc>
          <w:tcPr>
            <w:tcW w:type="dxa" w:w="149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2026-12-25</w:t>
            </w:r>
          </w:p>
        </w:tc>
        <w:tc>
          <w:tcPr>
            <w:tcW w:type="dxa" w:w="373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Rejected – Non-compliant</w:t>
            </w:r>
          </w:p>
        </w:tc>
      </w:tr>
      <w:tr>
        <w:tc>
          <w:tcPr>
            <w:tcW w:type="dxa" w:w="418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Compliance Sign-off</w:t>
            </w:r>
          </w:p>
        </w:tc>
        <w:tc>
          <w:tcPr>
            <w:tcW w:type="dxa" w:w="149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2027-04-15</w:t>
            </w:r>
          </w:p>
        </w:tc>
        <w:tc>
          <w:tcPr>
            <w:tcW w:type="dxa" w:w="373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Legal approval required</w:t>
            </w:r>
          </w:p>
        </w:tc>
      </w:tr>
      <w:tr>
        <w:tc>
          <w:tcPr>
            <w:tcW w:type="dxa" w:w="418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Full Launch</w:t>
            </w:r>
          </w:p>
        </w:tc>
        <w:tc>
          <w:tcPr>
            <w:tcW w:type="dxa" w:w="149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2027-05-30</w:t>
            </w:r>
          </w:p>
        </w:tc>
        <w:tc>
          <w:tcPr>
            <w:tcW w:type="dxa" w:w="373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Q2 2027 – Public go‑live</w:t>
            </w:r>
          </w:p>
        </w:tc>
      </w:tr>
    </w:tbl>
    <w:p>
      <w:pPr>
        <w:spacing w:after="40"/>
      </w:pPr>
    </w:p>
    <w:p>
      <w:pPr>
        <w:pStyle w:val="Heading1"/>
      </w:pPr>
      <w:r>
        <w:t>5. Resource Plan &amp; Hiring</w:t>
      </w:r>
    </w:p>
    <w:p>
      <w:r>
        <w:rPr/>
        <w:t>The rollout will add four dedicated full‑time employees: two AI Engineers responsible for model development, integration with existing CRM platforms, and performance tuning; one Data Privacy Officer who will design the GDPR‑compliant data pipeline, maintain the EU AI Act risk register, and produce the transparency notice; and one Product Manager who will orchestrate sprint planning, stakeholder communication, and the market‑entry schedule for Germany, France, and Spain. Hiring is budgeted at €10,000 within the €50,000 pilot allocation, representing 20 % of the pilot spend and scaling proportionally in the €200,000 full‑scale budget.</w:t>
      </w:r>
    </w:p>
    <w:p>
      <w:pPr>
        <w:pStyle w:val="ListBullet"/>
      </w:pPr>
      <w:r>
        <w:rPr>
          <w:b/>
        </w:rPr>
        <w:t xml:space="preserve">Project Lead: </w:t>
      </w:r>
      <w:r>
        <w:rPr/>
        <w:t>Priya Sharma – owns overall hiring timeline and integration with engineering sprints</w:t>
      </w:r>
    </w:p>
    <w:p>
      <w:pPr>
        <w:pStyle w:val="ListBullet"/>
      </w:pPr>
      <w:r>
        <w:rPr>
          <w:b/>
        </w:rPr>
        <w:t xml:space="preserve">Legal Lead: </w:t>
      </w:r>
      <w:r>
        <w:rPr/>
        <w:t>Marco Rossi – approves Data Privacy Officer role and ensures compliance deliverables</w:t>
      </w:r>
    </w:p>
    <w:p>
      <w:pPr>
        <w:pStyle w:val="ListBullet"/>
      </w:pPr>
      <w:r>
        <w:rPr>
          <w:b/>
        </w:rPr>
        <w:t xml:space="preserve">Sales Lead: </w:t>
      </w:r>
      <w:r>
        <w:rPr/>
        <w:t>Elena Novak – defines market requirements for the Product Manager</w:t>
      </w:r>
    </w:p>
    <w:p>
      <w:pPr>
        <w:pStyle w:val="ListBullet"/>
      </w:pPr>
      <w:r>
        <w:rPr>
          <w:b/>
        </w:rPr>
        <w:t xml:space="preserve">Hiring Timeline: </w:t>
      </w:r>
      <w:r>
        <w:rPr/>
        <w:t>Week 2 (02 Nov 2026) – job postings; Week 3 – interviews; Week 4 – contract sign‑off and onboarding</w:t>
      </w:r>
    </w:p>
    <w:p>
      <w:pPr>
        <w:pStyle w:val="Heading1"/>
      </w:pPr>
      <w:r>
        <w:t>6. Competitive Positioning</w:t>
      </w:r>
    </w:p>
    <w:p>
      <w:r>
        <w:rPr/>
        <w:t>The following table contrasts our European AI chatbot rollout against the leading competitors in the market, highlighting key differentiators and our strategic advantages. While Company A, Company B, and Company C offer robust chatbot solutions, our focus on localized compliance and rapid deployment in Germany, France, and Spain positions us to capture early market share and meet regulatory requirements ahead of competitors.</w:t>
      </w:r>
    </w:p>
    <w:p>
      <w:pPr>
        <w:keepNext/>
        <w:spacing w:before="120" w:after="80"/>
      </w:pPr>
      <w:r>
        <w:rPr>
          <w:b/>
          <w:color w:val="1F3A5F"/>
          <w:sz w:val="18"/>
        </w:rPr>
        <w:t xml:space="preserve">Table 3. </w:t>
      </w:r>
      <w:r>
        <w:rPr>
          <w:i/>
          <w:color w:val="6B7280"/>
          <w:sz w:val="18"/>
        </w:rPr>
        <w:t>Competitive Positioning Snapshot</w:t>
      </w:r>
    </w:p>
    <w:tbl>
      <w:tblPr>
        <w:tblW w:type="dxa" w:w="9411"/>
        <w:jc w:val="center"/>
        <w:tblLayout w:type="fixed"/>
        <w:tblLook w:firstColumn="1" w:firstRow="1" w:lastColumn="0" w:lastRow="0" w:noHBand="0" w:noVBand="1" w:val="04A0"/>
      </w:tblPr>
      <w:tblGrid>
        <w:gridCol w:w="730"/>
        <w:gridCol w:w="2699"/>
        <w:gridCol w:w="2699"/>
        <w:gridCol w:w="3283"/>
      </w:tblGrid>
      <w:tr>
        <w:trPr>
          <w:tblHeader w:val="true"/>
        </w:trPr>
        <w:tc>
          <w:tcPr>
            <w:tcW w:type="dxa" w:w="730"/>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Competitor</w:t>
            </w:r>
          </w:p>
        </w:tc>
        <w:tc>
          <w:tcPr>
            <w:tcW w:type="dxa" w:w="269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Current Market Presence</w:t>
            </w:r>
          </w:p>
        </w:tc>
        <w:tc>
          <w:tcPr>
            <w:tcW w:type="dxa" w:w="269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Key Differentiator</w:t>
            </w:r>
          </w:p>
        </w:tc>
        <w:tc>
          <w:tcPr>
            <w:tcW w:type="dxa" w:w="3283"/>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Our Advantage</w:t>
            </w:r>
          </w:p>
        </w:tc>
      </w:tr>
      <w:tr>
        <w:tc>
          <w:tcPr>
            <w:tcW w:type="dxa" w:w="73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Company A</w:t>
            </w:r>
          </w:p>
        </w:tc>
        <w:tc>
          <w:tcPr>
            <w:tcW w:type="dxa" w:w="26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Strong presence in EU with 1.2M users</w:t>
            </w:r>
          </w:p>
        </w:tc>
        <w:tc>
          <w:tcPr>
            <w:tcW w:type="dxa" w:w="26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Advanced NLP and multilingual support</w:t>
            </w:r>
          </w:p>
        </w:tc>
        <w:tc>
          <w:tcPr>
            <w:tcW w:type="dxa" w:w="328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Localized GDPR compliance modules and faster deployment in DE/FR/ES</w:t>
            </w:r>
          </w:p>
        </w:tc>
      </w:tr>
      <w:tr>
        <w:tc>
          <w:tcPr>
            <w:tcW w:type="dxa" w:w="73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Company B</w:t>
            </w:r>
          </w:p>
        </w:tc>
        <w:tc>
          <w:tcPr>
            <w:tcW w:type="dxa" w:w="26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Established in EU with 800k users</w:t>
            </w:r>
          </w:p>
        </w:tc>
        <w:tc>
          <w:tcPr>
            <w:tcW w:type="dxa" w:w="26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High‑customizable workflows</w:t>
            </w:r>
          </w:p>
        </w:tc>
        <w:tc>
          <w:tcPr>
            <w:tcW w:type="dxa" w:w="328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End‑to‑end encryption and dedicated Data Privacy Officer for rapid compliance</w:t>
            </w:r>
          </w:p>
        </w:tc>
      </w:tr>
      <w:tr>
        <w:tc>
          <w:tcPr>
            <w:tcW w:type="dxa" w:w="73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Company C</w:t>
            </w:r>
          </w:p>
        </w:tc>
        <w:tc>
          <w:tcPr>
            <w:tcW w:type="dxa" w:w="26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Growing EU presence with 500k users</w:t>
            </w:r>
          </w:p>
        </w:tc>
        <w:tc>
          <w:tcPr>
            <w:tcW w:type="dxa" w:w="26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Robust analytics dashboard</w:t>
            </w:r>
          </w:p>
        </w:tc>
        <w:tc>
          <w:tcPr>
            <w:tcW w:type="dxa" w:w="328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Dedicated product manager for localized launch strategy in DE/FR/ES</w:t>
            </w:r>
          </w:p>
        </w:tc>
      </w:tr>
    </w:tbl>
    <w:p>
      <w:pPr>
        <w:spacing w:after="40"/>
      </w:pPr>
    </w:p>
    <w:p>
      <w:pPr>
        <w:pStyle w:val="Heading1"/>
      </w:pPr>
      <w:r>
        <w:t>7. Assumptions, Decisions &amp; Open Questions</w:t>
      </w:r>
    </w:p>
    <w:p>
      <w:r>
        <w:rPr/>
        <w:t>The request did not specify every detail. To deliver a complete draft without blocking on clarification, the agent made the decisions below. Each should be confirmed with the relevant stakeholder before this document is finalised.</w:t>
      </w:r>
    </w:p>
    <w:p>
      <w:pPr>
        <w:pStyle w:val="Heading2"/>
      </w:pPr>
      <w:r>
        <w:t>Conflicting requirements and how they were resolved</w:t>
      </w:r>
    </w:p>
    <w:p>
      <w:pPr>
        <w:keepNext/>
        <w:spacing w:before="120" w:after="80"/>
      </w:pPr>
      <w:r>
        <w:rPr>
          <w:b/>
          <w:color w:val="1F3A5F"/>
          <w:sz w:val="18"/>
        </w:rPr>
        <w:t xml:space="preserve">Table 4. </w:t>
      </w:r>
      <w:r>
        <w:rPr>
          <w:i/>
          <w:color w:val="6B7280"/>
          <w:sz w:val="18"/>
        </w:rPr>
        <w:t>Conflict resolution log</w:t>
      </w:r>
    </w:p>
    <w:tbl>
      <w:tblPr>
        <w:tblW w:type="dxa" w:w="9411"/>
        <w:jc w:val="center"/>
        <w:tblLayout w:type="fixed"/>
        <w:tblLook w:firstColumn="1" w:firstRow="1" w:lastColumn="0" w:lastRow="0" w:noHBand="0" w:noVBand="1" w:val="04A0"/>
      </w:tblPr>
      <w:tblGrid>
        <w:gridCol w:w="4706"/>
        <w:gridCol w:w="4706"/>
      </w:tblGrid>
      <w:tr>
        <w:trPr>
          <w:tblHeader w:val="true"/>
        </w:trPr>
        <w:tc>
          <w:tcPr>
            <w:tcW w:type="dxa" w:w="4706"/>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Conflict</w:t>
            </w:r>
          </w:p>
        </w:tc>
        <w:tc>
          <w:tcPr>
            <w:tcW w:type="dxa" w:w="4706"/>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Resolution adopted</w:t>
            </w:r>
          </w:p>
        </w:tc>
      </w:tr>
      <w:tr>
        <w:tc>
          <w:tcPr>
            <w:tcW w:type="dxa" w:w="470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Budget range €50k vs €200k</w:t>
            </w:r>
          </w:p>
        </w:tc>
        <w:tc>
          <w:tcPr>
            <w:tcW w:type="dxa" w:w="470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Present €50,000 as the committed baseline budget for a pilot and €200,000 as the maximum amount the board may approve for full‑scale rollout</w:t>
            </w:r>
          </w:p>
        </w:tc>
      </w:tr>
      <w:tr>
        <w:tc>
          <w:tcPr>
            <w:tcW w:type="dxa" w:w="470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Sales wants launch before Christmas 2026 but Legal prohibits any go‑live before Q2 2027</w:t>
            </w:r>
          </w:p>
        </w:tc>
        <w:tc>
          <w:tcPr>
            <w:tcW w:type="dxa" w:w="470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Show two timeline scenarios: an optimistic ‘pre‑Christmas 2026’ target flagged as non‑compliant, and a compliant ‘Q2 2027’ launch (30 May 2027) as the recommended path</w:t>
            </w:r>
          </w:p>
        </w:tc>
      </w:tr>
      <w:tr>
        <w:tc>
          <w:tcPr>
            <w:tcW w:type="dxa" w:w="470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Countries for first rollout not decided</w:t>
            </w:r>
          </w:p>
        </w:tc>
        <w:tc>
          <w:tcPr>
            <w:tcW w:type="dxa" w:w="470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Assume Germany, France, and Spain as the initial market trio based on EU market size and present this as a provisional plan</w:t>
            </w:r>
          </w:p>
        </w:tc>
      </w:tr>
    </w:tbl>
    <w:p>
      <w:pPr>
        <w:spacing w:after="40"/>
      </w:pPr>
    </w:p>
    <w:p>
      <w:pPr>
        <w:pStyle w:val="Heading2"/>
      </w:pPr>
      <w:r>
        <w:t>Assumptions made</w:t>
      </w:r>
    </w:p>
    <w:p>
      <w:pPr>
        <w:pStyle w:val="ListBullet"/>
      </w:pPr>
      <w:r>
        <w:rPr/>
        <w:t>Baseline pilot budget set at €50,000; full rollout budget capped at €200,000</w:t>
      </w:r>
    </w:p>
    <w:p>
      <w:pPr>
        <w:pStyle w:val="ListBullet"/>
      </w:pPr>
      <w:r>
        <w:rPr/>
        <w:t>Hiring includes 2 AI engineers, 1 Data Privacy Officer, and 1 Product Manager (total 4 FTE)</w:t>
      </w:r>
    </w:p>
    <w:p>
      <w:pPr>
        <w:pStyle w:val="ListBullet"/>
      </w:pPr>
      <w:r>
        <w:rPr/>
        <w:t>Competitor set comprises Company A, Company B, and Company C with comparable chatbot solutions</w:t>
      </w:r>
    </w:p>
    <w:p>
      <w:pPr>
        <w:pStyle w:val="ListBullet"/>
      </w:pPr>
      <w:r>
        <w:rPr/>
        <w:t>Initial rollout will focus on Germany, France, and Spain</w:t>
      </w:r>
    </w:p>
    <w:p>
      <w:pPr>
        <w:pStyle w:val="ListBullet"/>
      </w:pPr>
      <w:r>
        <w:rPr/>
        <w:t>Project lead is Priya Sharma; Legal lead is Marco Rossi; Sales lead is Elena Novak</w:t>
      </w:r>
    </w:p>
    <w:p>
      <w:pPr>
        <w:pStyle w:val="Heading2"/>
      </w:pPr>
      <w:r>
        <w:t>Open questions for stakeholders</w:t>
      </w:r>
    </w:p>
    <w:p>
      <w:pPr>
        <w:pStyle w:val="ListBullet"/>
      </w:pPr>
      <w:r>
        <w:rPr/>
        <w:t>Specific priority countries for initial rollout</w:t>
      </w:r>
    </w:p>
    <w:p>
      <w:pPr>
        <w:pStyle w:val="ListBullet"/>
      </w:pPr>
      <w:r>
        <w:rPr/>
        <w:t>Exact cost breakdown per activity</w:t>
      </w:r>
    </w:p>
    <w:p>
      <w:pPr>
        <w:pStyle w:val="ListBullet"/>
      </w:pPr>
      <w:r>
        <w:rPr/>
        <w:t>Number and seniority of hires required</w:t>
      </w:r>
    </w:p>
    <w:p>
      <w:pPr>
        <w:pStyle w:val="ListBullet"/>
      </w:pPr>
      <w:r>
        <w:rPr/>
        <w:t>Names of competitors to benchmark against</w:t>
      </w:r>
    </w:p>
    <w:p>
      <w:pPr>
        <w:pStyle w:val="ListBullet"/>
      </w:pPr>
      <w:r>
        <w:rPr/>
        <w:t>Preferred budget allocation between baseline and maximum</w:t>
      </w:r>
    </w:p>
    <w:p>
      <w:pPr>
        <w:spacing w:before="480"/>
        <w:jc w:val="center"/>
      </w:pPr>
      <w:r>
        <w:rPr>
          <w:i/>
          <w:color w:val="6B7280"/>
          <w:sz w:val="18"/>
        </w:rPr>
        <w:t>— End of document —</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6B7280"/>
        <w:sz w:val="17"/>
      </w:rPr>
      <w:t>Board Briefing  ·  Confidential — draft for review</w:t>
    </w:r>
    <w:r>
      <w:rPr>
        <w:color w:val="6B7280"/>
        <w:sz w:val="17"/>
      </w:rPr>
      <w:tab/>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3E0"/>
      </w:pBdr>
      <w:jc w:val="right"/>
    </w:pPr>
    <w:r>
      <w:rPr>
        <w:color w:val="6B7280"/>
        <w:sz w:val="17"/>
      </w:rPr>
      <w:t>AI Customer-Service Chatbot Rollout – Europe Board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Customer-Service Chatbot Rollout – Europe Board Briefing</dc:title>
  <dc:subject>Board Briefing</dc:subject>
  <dc:creator>Autonomous Document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