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pPr>
      <w:r>
        <w:rPr>
          <w:b/>
          <w:color w:val="2E75B6"/>
          <w:spacing w:val="40"/>
          <w:sz w:val="22"/>
        </w:rPr>
        <w:t>PROJECT PLAN</w:t>
      </w:r>
    </w:p>
    <w:p>
      <w:pPr>
        <w:spacing w:line="240" w:lineRule="auto" w:after="160"/>
      </w:pPr>
      <w:r>
        <w:rPr>
          <w:b/>
          <w:color w:val="1F3A5F"/>
          <w:sz w:val="56"/>
        </w:rPr>
        <w:t>Customer Support Migration from Zendesk to Freshdesk</w:t>
      </w:r>
    </w:p>
    <w:p>
      <w:pPr>
        <w:pBdr>
          <w:bottom w:val="single" w:sz="18" w:space="12" w:color="2E75B6"/>
        </w:pBdr>
        <w:spacing w:after="560"/>
      </w:pPr>
      <w:r>
        <w:rPr>
          <w:color w:val="6B7280"/>
          <w:sz w:val="26"/>
        </w:rPr>
        <w:t>8‑week migration plan for 25 agents</w:t>
      </w:r>
    </w:p>
    <w:tbl>
      <w:tblPr>
        <w:tblW w:type="dxa" w:w="9411"/>
        <w:tblLayout w:type="fixed"/>
        <w:tblLook w:firstColumn="1" w:firstRow="1" w:lastColumn="0" w:lastRow="0" w:noHBand="0" w:noVBand="1" w:val="04A0"/>
      </w:tblPr>
      <w:tblGrid>
        <w:gridCol w:w="2041"/>
        <w:gridCol w:w="7370"/>
      </w:tblGrid>
      <w:tr>
        <w:tc>
          <w:tcPr>
            <w:tcW w:type="dxa" w:w="2041"/>
            <w:tcMar>
              <w:top w:w="60" w:type="dxa"/>
              <w:left w:w="60" w:type="dxa"/>
              <w:bottom w:w="60" w:type="dxa"/>
              <w:right w:w="60" w:type="dxa"/>
            </w:tcMar>
            <w:vAlign w:val="center"/>
          </w:tcPr>
          <w:p>
            <w:pPr>
              <w:spacing w:after="0" w:line="252" w:lineRule="auto"/>
            </w:pPr>
            <w:r>
              <w:rPr>
                <w:b/>
                <w:color w:val="6B7280"/>
                <w:sz w:val="17"/>
              </w:rPr>
              <w:t>PREPARED FOR</w:t>
            </w:r>
          </w:p>
        </w:tc>
        <w:tc>
          <w:tcPr>
            <w:tcW w:type="dxa" w:w="7370"/>
            <w:tcMar>
              <w:top w:w="60" w:type="dxa"/>
              <w:left w:w="60" w:type="dxa"/>
              <w:bottom w:w="60" w:type="dxa"/>
              <w:right w:w="60" w:type="dxa"/>
            </w:tcMar>
            <w:vAlign w:val="center"/>
          </w:tcPr>
          <w:p>
            <w:pPr>
              <w:spacing w:after="0" w:line="252" w:lineRule="auto"/>
            </w:pPr>
            <w:r>
              <w:rPr>
                <w:color w:val="262626"/>
                <w:sz w:val="21"/>
              </w:rPr>
              <w:t>Customer Support leadership, IT project sponsors, and implementation team</w:t>
            </w:r>
          </w:p>
        </w:tc>
      </w:tr>
      <w:tr>
        <w:tc>
          <w:tcPr>
            <w:tcW w:type="dxa" w:w="2041"/>
            <w:tcMar>
              <w:top w:w="60" w:type="dxa"/>
              <w:left w:w="60" w:type="dxa"/>
              <w:bottom w:w="60" w:type="dxa"/>
              <w:right w:w="60" w:type="dxa"/>
            </w:tcMar>
            <w:vAlign w:val="center"/>
          </w:tcPr>
          <w:p>
            <w:pPr>
              <w:spacing w:after="0" w:line="252" w:lineRule="auto"/>
            </w:pPr>
            <w:r>
              <w:rPr>
                <w:b/>
                <w:color w:val="6B7280"/>
                <w:sz w:val="17"/>
              </w:rPr>
              <w:t>PREPARED BY</w:t>
            </w:r>
          </w:p>
        </w:tc>
        <w:tc>
          <w:tcPr>
            <w:tcW w:type="dxa" w:w="7370"/>
            <w:tcMar>
              <w:top w:w="60" w:type="dxa"/>
              <w:left w:w="60" w:type="dxa"/>
              <w:bottom w:w="60" w:type="dxa"/>
              <w:right w:w="60" w:type="dxa"/>
            </w:tcMar>
            <w:vAlign w:val="center"/>
          </w:tcPr>
          <w:p>
            <w:pPr>
              <w:spacing w:after="0" w:line="252" w:lineRule="auto"/>
            </w:pPr>
            <w:r>
              <w:rPr>
                <w:color w:val="262626"/>
                <w:sz w:val="21"/>
              </w:rPr>
              <w:t>Autonomous Document Agent</w:t>
            </w:r>
          </w:p>
        </w:tc>
      </w:tr>
      <w:tr>
        <w:tc>
          <w:tcPr>
            <w:tcW w:type="dxa" w:w="2041"/>
            <w:tcMar>
              <w:top w:w="60" w:type="dxa"/>
              <w:left w:w="60" w:type="dxa"/>
              <w:bottom w:w="60" w:type="dxa"/>
              <w:right w:w="60" w:type="dxa"/>
            </w:tcMar>
            <w:vAlign w:val="center"/>
          </w:tcPr>
          <w:p>
            <w:pPr>
              <w:spacing w:after="0" w:line="252" w:lineRule="auto"/>
            </w:pPr>
            <w:r>
              <w:rPr>
                <w:b/>
                <w:color w:val="6B7280"/>
                <w:sz w:val="17"/>
              </w:rPr>
              <w:t>DATE</w:t>
            </w:r>
          </w:p>
        </w:tc>
        <w:tc>
          <w:tcPr>
            <w:tcW w:type="dxa" w:w="7370"/>
            <w:tcMar>
              <w:top w:w="60" w:type="dxa"/>
              <w:left w:w="60" w:type="dxa"/>
              <w:bottom w:w="60" w:type="dxa"/>
              <w:right w:w="60" w:type="dxa"/>
            </w:tcMar>
            <w:vAlign w:val="center"/>
          </w:tcPr>
          <w:p>
            <w:pPr>
              <w:spacing w:after="0" w:line="252" w:lineRule="auto"/>
            </w:pPr>
            <w:r>
              <w:rPr>
                <w:color w:val="262626"/>
                <w:sz w:val="21"/>
              </w:rPr>
              <w:t>23 October 2026</w:t>
            </w:r>
          </w:p>
        </w:tc>
      </w:tr>
      <w:tr>
        <w:tc>
          <w:tcPr>
            <w:tcW w:type="dxa" w:w="2041"/>
            <w:tcMar>
              <w:top w:w="60" w:type="dxa"/>
              <w:left w:w="60" w:type="dxa"/>
              <w:bottom w:w="60" w:type="dxa"/>
              <w:right w:w="60" w:type="dxa"/>
            </w:tcMar>
            <w:vAlign w:val="center"/>
          </w:tcPr>
          <w:p>
            <w:pPr>
              <w:spacing w:after="0" w:line="252" w:lineRule="auto"/>
            </w:pPr>
            <w:r>
              <w:rPr>
                <w:b/>
                <w:color w:val="6B7280"/>
                <w:sz w:val="17"/>
              </w:rPr>
              <w:t>VERSION</w:t>
            </w:r>
          </w:p>
        </w:tc>
        <w:tc>
          <w:tcPr>
            <w:tcW w:type="dxa" w:w="7370"/>
            <w:tcMar>
              <w:top w:w="60" w:type="dxa"/>
              <w:left w:w="60" w:type="dxa"/>
              <w:bottom w:w="60" w:type="dxa"/>
              <w:right w:w="60" w:type="dxa"/>
            </w:tcMar>
            <w:vAlign w:val="center"/>
          </w:tcPr>
          <w:p>
            <w:pPr>
              <w:spacing w:after="0" w:line="252" w:lineRule="auto"/>
            </w:pPr>
            <w:r>
              <w:rPr>
                <w:color w:val="262626"/>
                <w:sz w:val="21"/>
              </w:rPr>
              <w:t>1.0 — Draft for review</w:t>
            </w:r>
          </w:p>
        </w:tc>
      </w:tr>
    </w:tbl>
    <w:p>
      <w:r>
        <w:br w:type="page"/>
      </w:r>
    </w:p>
    <w:p>
      <w:pPr>
        <w:pStyle w:val="Heading2"/>
      </w:pPr>
      <w:r>
        <w:t>Document Control</w:t>
      </w:r>
    </w:p>
    <w:tbl>
      <w:tblPr>
        <w:tblW w:type="dxa" w:w="9411"/>
        <w:tblLayout w:type="fixed"/>
        <w:tblLook w:firstColumn="1" w:firstRow="1" w:lastColumn="0" w:lastRow="0" w:noHBand="0" w:noVBand="1" w:val="04A0"/>
      </w:tblPr>
      <w:tblGrid>
        <w:gridCol w:w="2041"/>
        <w:gridCol w:w="7370"/>
      </w:tblGrid>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Document</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Customer Support Migration from Zendesk to Freshdesk</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Type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Project Plan</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Audience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Customer Support leadership, IT project sponsors, and implementation team</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Objective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Provide a clear roadmap, budget, risks and success metrics to ensure a smooth migration within 8 weeks</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Status</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Draft v1.0 — for stakeholder review</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Quality gate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9/10 after automated self-review (scores 8 → 7 → 9; 6 section revisions)</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Verification</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0 table figure(s) recomputed by code, 0 corrected; 20 calculator/calendar tool call(s)</w:t>
            </w:r>
          </w:p>
        </w:tc>
      </w:tr>
    </w:tbl>
    <w:p>
      <w:pPr>
        <w:pStyle w:val="Heading2"/>
        <w:spacing w:before="440"/>
      </w:pPr>
      <w:r>
        <w:t>Contents</w:t>
      </w:r>
    </w:p>
    <w:p>
      <w:pPr>
        <w:pBdr>
          <w:bottom w:val="single" w:sz="4" w:space="3" w:color="C9D3E0"/>
        </w:pBdr>
        <w:tabs>
          <w:tab w:pos="567" w:val="left"/>
        </w:tabs>
        <w:spacing w:after="80"/>
      </w:pPr>
      <w:r>
        <w:rPr>
          <w:b/>
          <w:color w:val="2E75B6"/>
          <w:sz w:val="21"/>
        </w:rPr>
        <w:t>1</w:t>
        <w:tab/>
      </w:r>
      <w:r>
        <w:rPr>
          <w:sz w:val="21"/>
        </w:rPr>
        <w:t>Executive Summary</w:t>
      </w:r>
    </w:p>
    <w:p>
      <w:pPr>
        <w:pBdr>
          <w:bottom w:val="single" w:sz="4" w:space="3" w:color="C9D3E0"/>
        </w:pBdr>
        <w:tabs>
          <w:tab w:pos="567" w:val="left"/>
        </w:tabs>
        <w:spacing w:after="80"/>
      </w:pPr>
      <w:r>
        <w:rPr>
          <w:b/>
          <w:color w:val="2E75B6"/>
          <w:sz w:val="21"/>
        </w:rPr>
        <w:t>2</w:t>
        <w:tab/>
      </w:r>
      <w:r>
        <w:rPr>
          <w:sz w:val="21"/>
        </w:rPr>
        <w:t>Project Scope</w:t>
      </w:r>
    </w:p>
    <w:p>
      <w:pPr>
        <w:pBdr>
          <w:bottom w:val="single" w:sz="4" w:space="3" w:color="C9D3E0"/>
        </w:pBdr>
        <w:tabs>
          <w:tab w:pos="567" w:val="left"/>
        </w:tabs>
        <w:spacing w:after="80"/>
      </w:pPr>
      <w:r>
        <w:rPr>
          <w:b/>
          <w:color w:val="2E75B6"/>
          <w:sz w:val="21"/>
        </w:rPr>
        <w:t>3</w:t>
        <w:tab/>
      </w:r>
      <w:r>
        <w:rPr>
          <w:sz w:val="21"/>
        </w:rPr>
        <w:t>Timeline and Milestones</w:t>
      </w:r>
    </w:p>
    <w:p>
      <w:pPr>
        <w:pBdr>
          <w:bottom w:val="single" w:sz="4" w:space="3" w:color="C9D3E0"/>
        </w:pBdr>
        <w:tabs>
          <w:tab w:pos="567" w:val="left"/>
        </w:tabs>
        <w:spacing w:after="80"/>
      </w:pPr>
      <w:r>
        <w:rPr>
          <w:b/>
          <w:color w:val="2E75B6"/>
          <w:sz w:val="21"/>
        </w:rPr>
        <w:t>4</w:t>
        <w:tab/>
      </w:r>
      <w:r>
        <w:rPr>
          <w:sz w:val="21"/>
        </w:rPr>
        <w:t>Roles and Responsibilities</w:t>
      </w:r>
    </w:p>
    <w:p>
      <w:pPr>
        <w:pBdr>
          <w:bottom w:val="single" w:sz="4" w:space="3" w:color="C9D3E0"/>
        </w:pBdr>
        <w:tabs>
          <w:tab w:pos="567" w:val="left"/>
        </w:tabs>
        <w:spacing w:after="80"/>
      </w:pPr>
      <w:r>
        <w:rPr>
          <w:b/>
          <w:color w:val="2E75B6"/>
          <w:sz w:val="21"/>
        </w:rPr>
        <w:t>5</w:t>
        <w:tab/>
      </w:r>
      <w:r>
        <w:rPr>
          <w:sz w:val="21"/>
        </w:rPr>
        <w:t>Budget Breakdown</w:t>
      </w:r>
    </w:p>
    <w:p>
      <w:pPr>
        <w:pBdr>
          <w:bottom w:val="single" w:sz="4" w:space="3" w:color="C9D3E0"/>
        </w:pBdr>
        <w:tabs>
          <w:tab w:pos="567" w:val="left"/>
        </w:tabs>
        <w:spacing w:after="80"/>
      </w:pPr>
      <w:r>
        <w:rPr>
          <w:b/>
          <w:color w:val="2E75B6"/>
          <w:sz w:val="21"/>
        </w:rPr>
        <w:t>6</w:t>
        <w:tab/>
      </w:r>
      <w:r>
        <w:rPr>
          <w:sz w:val="21"/>
        </w:rPr>
        <w:t>Risk Register</w:t>
      </w:r>
    </w:p>
    <w:p>
      <w:pPr>
        <w:pBdr>
          <w:bottom w:val="single" w:sz="4" w:space="3" w:color="C9D3E0"/>
        </w:pBdr>
        <w:tabs>
          <w:tab w:pos="567" w:val="left"/>
        </w:tabs>
        <w:spacing w:after="80"/>
      </w:pPr>
      <w:r>
        <w:rPr>
          <w:b/>
          <w:color w:val="2E75B6"/>
          <w:sz w:val="21"/>
        </w:rPr>
        <w:t>7</w:t>
        <w:tab/>
      </w:r>
      <w:r>
        <w:rPr>
          <w:sz w:val="21"/>
        </w:rPr>
        <w:t>Success Metrics</w:t>
      </w:r>
    </w:p>
    <w:p>
      <w:pPr>
        <w:pBdr>
          <w:bottom w:val="single" w:sz="4" w:space="3" w:color="C9D3E0"/>
        </w:pBdr>
        <w:tabs>
          <w:tab w:pos="567" w:val="left"/>
        </w:tabs>
        <w:spacing w:after="80"/>
      </w:pPr>
      <w:r>
        <w:rPr>
          <w:b/>
          <w:color w:val="2E75B6"/>
          <w:sz w:val="21"/>
        </w:rPr>
        <w:t>8</w:t>
        <w:tab/>
      </w:r>
      <w:r>
        <w:rPr>
          <w:sz w:val="21"/>
        </w:rPr>
        <w:t>Assumptions, Decisions &amp; Open Questions</w:t>
      </w:r>
    </w:p>
    <w:p>
      <w:r>
        <w:br w:type="page"/>
      </w:r>
    </w:p>
    <w:p>
      <w:pPr>
        <w:pStyle w:val="Heading1"/>
      </w:pPr>
      <w:r>
        <w:t>1. Executive Summary</w:t>
      </w:r>
    </w:p>
    <w:tbl>
      <w:tblPr>
        <w:tblW w:type="dxa" w:w="9411"/>
        <w:jc w:val="center"/>
        <w:tblLayout w:type="fixed"/>
        <w:tblLook w:firstColumn="1" w:firstRow="1" w:lastColumn="0" w:lastRow="0" w:noHBand="0" w:noVBand="1" w:val="04A0"/>
      </w:tblPr>
      <w:tblGrid>
        <w:gridCol w:w="9411"/>
      </w:tblGrid>
      <w:tr>
        <w:tc>
          <w:tcPr>
            <w:tcW w:type="dxa" w:w="9411"/>
            <w:tcBorders>
              <w:top w:val="nil"/>
              <w:left w:val="single" w:sz="24" w:space="0" w:color="2E75B6"/>
              <w:bottom w:val="nil"/>
              <w:right w:val="nil"/>
            </w:tcBorders>
            <w:shd w:val="clear" w:color="auto" w:fill="EAF2FB"/>
            <w:tcMar>
              <w:top w:w="140" w:type="dxa"/>
              <w:left w:w="220" w:type="dxa"/>
              <w:bottom w:w="140" w:type="dxa"/>
              <w:right w:w="220" w:type="dxa"/>
            </w:tcMar>
          </w:tcPr>
          <w:p>
            <w:pPr>
              <w:spacing w:after="120"/>
            </w:pPr>
            <w:r>
              <w:rPr/>
              <w:t>The customer support team will migrate from Zendesk to Freshdesk over an 8‑week period beginning 30 Oct 2026 and ending 24 Dec 2026. The project, led by Priya Sharma with Alex Johnson as Migration Lead, will transfer all tickets, contacts, knowledge base articles, macros, and custom fields for 25 agents while preserving existing SLA rules and routing logic. The goal is zero data loss and uninterrupted support coverage during the go‑live and hyper‑care weeks. The total budget is $120,000, with allocations for licensing ($50,000), consulting ($30,000), data migration ($20,000), and training &amp; change management ($20,000).</w:t>
            </w:r>
          </w:p>
          <w:p>
            <w:pPr>
              <w:spacing w:after="120"/>
            </w:pPr>
            <w:r>
              <w:rPr/>
              <w:t>Key milestones include a dry‑run data migration complete by 19 Nov 2026, full production migration by 03 Dec 2026, and the final cut‑over on 18 Dec 2026, followed by hyper‑care until 24 Dec 2026. Success will be measured against four KPIs: ≥95 % ticket migration integrity, AHT within 5 % of baseline, agent satisfaction ≥8/10, and 100 % support coverage in the first week post‑go‑live. Risks such as data loss, agent resistance, and timeline delays have defined mitigation plans and contingency budgets within the allocated funds.</w:t>
            </w:r>
          </w:p>
        </w:tc>
      </w:tr>
    </w:tbl>
    <w:p>
      <w:pPr>
        <w:spacing w:after="40"/>
      </w:pPr>
    </w:p>
    <w:p>
      <w:pPr>
        <w:pStyle w:val="Heading1"/>
      </w:pPr>
      <w:r>
        <w:t>2. Project Scope</w:t>
      </w:r>
    </w:p>
    <w:p>
      <w:r>
        <w:rPr/>
        <w:t>The migration scope covers the complete transfer of all support assets for 25 agents from Zendesk to Freshdesk, including tickets, contacts, knowledge base articles, macros, and custom fields. Data migration will be performed in two phases: a dry‑run export/import to validate mapping and a full production cut‑over on the go‑live date. Workflow configuration will replicate existing ticket routing rules, SLA targets, and escalation paths within Freshdesk, ensuring parity with the current Zendesk environment. Agent training will consist of 2 hours of hands‑on sessions and 1 hour of documentation review, delivered by the consulting team.</w:t>
      </w:r>
    </w:p>
    <w:p>
      <w:r>
        <w:rPr/>
        <w:t>Out‑of‑scope items explicitly excluded are any hardware procurement, network upgrades, or changes to the underlying IT infrastructure. Third‑party integrations not listed in the licensing budget, such as CRM or billing connectors, are also excluded unless a separate budget is approved. Custom development beyond the standard Freshdesk configuration is out of scope and would require a separate change request. The project boundaries are defined to prevent scope creep by limiting activities to the four core areas: data migration, workflow setup, agent training, and go‑live support. Any additional requests must be evaluated against the approved budget and timeline.</w:t>
      </w:r>
    </w:p>
    <w:p>
      <w:pPr>
        <w:pStyle w:val="Heading1"/>
      </w:pPr>
      <w:r>
        <w:t>3. Timeline and Milestones</w:t>
      </w:r>
    </w:p>
    <w:p>
      <w:r>
        <w:rPr/>
        <w:t>The migration follows a four-phase schedule spanning 8 weeks from 30 Oct 2026 to 24 Dec 2026, with each phase owned by a named lead and gated by a verifiable milestone. Weeks 1-2 establish the Freshdesk instance and mapping rules, Weeks 3-5 execute the two-phase data migration with a dry-run validation, Weeks 6-7 deliver agent training and change management, and Week 8 covers cutover and hypercare support.</w:t>
      </w:r>
    </w:p>
    <w:p>
      <w:r>
        <w:rPr/>
        <w:t>Key decision points are anchored to the end of each phase: the data migration dry-run must complete by 19 Nov 2026, the production data migration must be complete by 03 Dec 2026, and the go-live cutover is fixed for 18 Dec 2026, with hypercare running through 24 Dec 2026. Any slip in the Week 5 data migration milestone directly compresses the training window and must be escalated to Priya Sharma within 24 hours of detection.</w:t>
      </w:r>
    </w:p>
    <w:p>
      <w:pPr>
        <w:keepNext/>
        <w:spacing w:before="120" w:after="80"/>
      </w:pPr>
      <w:r>
        <w:rPr>
          <w:b/>
          <w:color w:val="1F3A5F"/>
          <w:sz w:val="18"/>
        </w:rPr>
        <w:t xml:space="preserve">Table 1. </w:t>
      </w:r>
      <w:r>
        <w:rPr>
          <w:i/>
          <w:color w:val="6B7280"/>
          <w:sz w:val="18"/>
        </w:rPr>
        <w:t>8-Week Migration Timeline and Milestones (30 Oct 2026 - 24 Dec 2026)</w:t>
      </w:r>
    </w:p>
    <w:tbl>
      <w:tblPr>
        <w:tblW w:type="dxa" w:w="9411"/>
        <w:jc w:val="center"/>
        <w:tblLayout w:type="fixed"/>
        <w:tblLook w:firstColumn="1" w:firstRow="1" w:lastColumn="0" w:lastRow="0" w:noHBand="0" w:noVBand="1" w:val="04A0"/>
      </w:tblPr>
      <w:tblGrid>
        <w:gridCol w:w="1689"/>
        <w:gridCol w:w="362"/>
        <w:gridCol w:w="1207"/>
        <w:gridCol w:w="2715"/>
        <w:gridCol w:w="2715"/>
        <w:gridCol w:w="724"/>
      </w:tblGrid>
      <w:tr>
        <w:trPr>
          <w:tblHeader w:val="true"/>
        </w:trPr>
        <w:tc>
          <w:tcPr>
            <w:tcW w:type="dxa" w:w="168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Phase</w:t>
            </w:r>
          </w:p>
        </w:tc>
        <w:tc>
          <w:tcPr>
            <w:tcW w:type="dxa" w:w="362"/>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Weeks</w:t>
            </w:r>
          </w:p>
        </w:tc>
        <w:tc>
          <w:tcPr>
            <w:tcW w:type="dxa" w:w="1207"/>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Date Range</w:t>
            </w:r>
          </w:p>
        </w:tc>
        <w:tc>
          <w:tcPr>
            <w:tcW w:type="dxa" w:w="2715"/>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Key Activities</w:t>
            </w:r>
          </w:p>
        </w:tc>
        <w:tc>
          <w:tcPr>
            <w:tcW w:type="dxa" w:w="2715"/>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Milestone / Gate</w:t>
            </w:r>
          </w:p>
        </w:tc>
        <w:tc>
          <w:tcPr>
            <w:tcW w:type="dxa" w:w="724"/>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Owner</w:t>
            </w:r>
          </w:p>
        </w:tc>
      </w:tr>
      <w:tr>
        <w:tc>
          <w:tcPr>
            <w:tcW w:type="dxa" w:w="168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Planning &amp; Setup</w:t>
            </w:r>
          </w:p>
        </w:tc>
        <w:tc>
          <w:tcPr>
            <w:tcW w:type="dxa" w:w="36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1-2</w:t>
            </w:r>
          </w:p>
        </w:tc>
        <w:tc>
          <w:tcPr>
            <w:tcW w:type="dxa" w:w="120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30 Oct - 12 Nov 2026</w:t>
            </w:r>
          </w:p>
        </w:tc>
        <w:tc>
          <w:tcPr>
            <w:tcW w:type="dxa" w:w="271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Freshdesk instance provisioning, user role mapping, custom field and macro inventory, ticket taxonomy mapping, data export schema definition</w:t>
            </w:r>
          </w:p>
        </w:tc>
        <w:tc>
          <w:tcPr>
            <w:tcW w:type="dxa" w:w="271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Environment Ready (12 Nov 2026)</w:t>
            </w:r>
          </w:p>
        </w:tc>
        <w:tc>
          <w:tcPr>
            <w:tcW w:type="dxa" w:w="72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Carlos Ruiz</w:t>
            </w:r>
          </w:p>
        </w:tc>
      </w:tr>
      <w:tr>
        <w:tc>
          <w:tcPr>
            <w:tcW w:type="dxa" w:w="168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Data Migration - Dry Run</w:t>
            </w:r>
          </w:p>
        </w:tc>
        <w:tc>
          <w:tcPr>
            <w:tcW w:type="dxa" w:w="362"/>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3</w:t>
            </w:r>
          </w:p>
        </w:tc>
        <w:tc>
          <w:tcPr>
            <w:tcW w:type="dxa" w:w="120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13 Nov - 19 Nov 2026</w:t>
            </w:r>
          </w:p>
        </w:tc>
        <w:tc>
          <w:tcPr>
            <w:tcW w:type="dxa" w:w="271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Full export from Zendesk, import into Freshdesk sandbox, data integrity validation, ticket count and field-level reconciliation</w:t>
            </w:r>
          </w:p>
        </w:tc>
        <w:tc>
          <w:tcPr>
            <w:tcW w:type="dxa" w:w="271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Dry-Run Complete (19 Nov 2026)</w:t>
            </w:r>
          </w:p>
        </w:tc>
        <w:tc>
          <w:tcPr>
            <w:tcW w:type="dxa" w:w="72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Alex Johnson</w:t>
            </w:r>
          </w:p>
        </w:tc>
      </w:tr>
      <w:tr>
        <w:tc>
          <w:tcPr>
            <w:tcW w:type="dxa" w:w="168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Data Migration - Production</w:t>
            </w:r>
          </w:p>
        </w:tc>
        <w:tc>
          <w:tcPr>
            <w:tcW w:type="dxa" w:w="36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4-5</w:t>
            </w:r>
          </w:p>
        </w:tc>
        <w:tc>
          <w:tcPr>
            <w:tcW w:type="dxa" w:w="120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20 Nov - 03 Dec 2026</w:t>
            </w:r>
          </w:p>
        </w:tc>
        <w:tc>
          <w:tcPr>
            <w:tcW w:type="dxa" w:w="271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Production data export, incremental delta sync, knowledge base and contact list import, final validation against 95% accuracy threshold</w:t>
            </w:r>
          </w:p>
        </w:tc>
        <w:tc>
          <w:tcPr>
            <w:tcW w:type="dxa" w:w="271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Data Migration Complete (03 Dec 2026)</w:t>
            </w:r>
          </w:p>
        </w:tc>
        <w:tc>
          <w:tcPr>
            <w:tcW w:type="dxa" w:w="72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Alex Johnson</w:t>
            </w:r>
          </w:p>
        </w:tc>
      </w:tr>
      <w:tr>
        <w:tc>
          <w:tcPr>
            <w:tcW w:type="dxa" w:w="168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Training &amp; Change Management</w:t>
            </w:r>
          </w:p>
        </w:tc>
        <w:tc>
          <w:tcPr>
            <w:tcW w:type="dxa" w:w="362"/>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6-7</w:t>
            </w:r>
          </w:p>
        </w:tc>
        <w:tc>
          <w:tcPr>
            <w:tcW w:type="dxa" w:w="120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04 Dec - 17 Dec 2026</w:t>
            </w:r>
          </w:p>
        </w:tc>
        <w:tc>
          <w:tcPr>
            <w:tcW w:type="dxa" w:w="271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Agent training sessions (25 agents), FAQ and quick-reference guides, change communication to stakeholders, rollback plan rehearsal</w:t>
            </w:r>
          </w:p>
        </w:tc>
        <w:tc>
          <w:tcPr>
            <w:tcW w:type="dxa" w:w="271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Training Sign-Off (17 Dec 2026)</w:t>
            </w:r>
          </w:p>
        </w:tc>
        <w:tc>
          <w:tcPr>
            <w:tcW w:type="dxa" w:w="72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Maya Patel</w:t>
            </w:r>
          </w:p>
        </w:tc>
      </w:tr>
      <w:tr>
        <w:tc>
          <w:tcPr>
            <w:tcW w:type="dxa" w:w="168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Go-Live &amp; Hypercare</w:t>
            </w:r>
          </w:p>
        </w:tc>
        <w:tc>
          <w:tcPr>
            <w:tcW w:type="dxa" w:w="36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8</w:t>
            </w:r>
          </w:p>
        </w:tc>
        <w:tc>
          <w:tcPr>
            <w:tcW w:type="dxa" w:w="120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18 Dec - 24 Dec 2026</w:t>
            </w:r>
          </w:p>
        </w:tc>
        <w:tc>
          <w:tcPr>
            <w:tcW w:type="dxa" w:w="271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Zendesk decommission freeze, production cutover, 24/7 hypercare support, daily issue triage, agent satisfaction pulse survey</w:t>
            </w:r>
          </w:p>
        </w:tc>
        <w:tc>
          <w:tcPr>
            <w:tcW w:type="dxa" w:w="271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Go-Live Date (18 Dec 2026); Hypercare Close (24 Dec 2026)</w:t>
            </w:r>
          </w:p>
        </w:tc>
        <w:tc>
          <w:tcPr>
            <w:tcW w:type="dxa" w:w="72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Priya Sharma</w:t>
            </w:r>
          </w:p>
        </w:tc>
      </w:tr>
    </w:tbl>
    <w:p>
      <w:pPr>
        <w:spacing w:after="40"/>
      </w:pPr>
    </w:p>
    <w:p>
      <w:pPr>
        <w:pStyle w:val="Heading1"/>
      </w:pPr>
      <w:r>
        <w:t>4. Roles and Responsibilities</w:t>
      </w:r>
    </w:p>
    <w:p>
      <w:r>
        <w:rPr/>
        <w:t>The following RACI matrix clarifies the allocation of duties among the core leadership team for the eight‑week migration. It aligns each major activity with who will execute the work (Responsible), who holds final authority (Accountable), and who must be consulted or kept informed to ensure seamless coordination.</w:t>
      </w:r>
    </w:p>
    <w:p>
      <w:r>
        <w:rPr/>
        <w:t>By mapping these roles to tasks such as system configuration, data validation, agent training, and post‑go‑live support, the matrix supports clear decision‑making and reduces ambiguity throughout the project timeline.</w:t>
      </w:r>
    </w:p>
    <w:p>
      <w:pPr>
        <w:keepNext/>
        <w:spacing w:before="120" w:after="80"/>
      </w:pPr>
      <w:r>
        <w:rPr>
          <w:b/>
          <w:color w:val="1F3A5F"/>
          <w:sz w:val="18"/>
        </w:rPr>
        <w:t xml:space="preserve">Table 2. </w:t>
      </w:r>
      <w:r>
        <w:rPr>
          <w:i/>
          <w:color w:val="6B7280"/>
          <w:sz w:val="18"/>
        </w:rPr>
        <w:t>RACI assignments for key migration tasks</w:t>
      </w:r>
    </w:p>
    <w:tbl>
      <w:tblPr>
        <w:tblW w:type="dxa" w:w="9411"/>
        <w:jc w:val="center"/>
        <w:tblLayout w:type="fixed"/>
        <w:tblLook w:firstColumn="1" w:firstRow="1" w:lastColumn="0" w:lastRow="0" w:noHBand="0" w:noVBand="1" w:val="04A0"/>
      </w:tblPr>
      <w:tblGrid>
        <w:gridCol w:w="3217"/>
        <w:gridCol w:w="965"/>
        <w:gridCol w:w="965"/>
        <w:gridCol w:w="2091"/>
        <w:gridCol w:w="2172"/>
      </w:tblGrid>
      <w:tr>
        <w:trPr>
          <w:tblHeader w:val="true"/>
        </w:trPr>
        <w:tc>
          <w:tcPr>
            <w:tcW w:type="dxa" w:w="3217"/>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Task</w:t>
            </w:r>
          </w:p>
        </w:tc>
        <w:tc>
          <w:tcPr>
            <w:tcW w:type="dxa" w:w="965"/>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Responsible</w:t>
            </w:r>
          </w:p>
        </w:tc>
        <w:tc>
          <w:tcPr>
            <w:tcW w:type="dxa" w:w="965"/>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Accountable</w:t>
            </w:r>
          </w:p>
        </w:tc>
        <w:tc>
          <w:tcPr>
            <w:tcW w:type="dxa" w:w="2091"/>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Consulted</w:t>
            </w:r>
          </w:p>
        </w:tc>
        <w:tc>
          <w:tcPr>
            <w:tcW w:type="dxa" w:w="2172"/>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Informed</w:t>
            </w:r>
          </w:p>
        </w:tc>
      </w:tr>
      <w:tr>
        <w:tc>
          <w:tcPr>
            <w:tcW w:type="dxa" w:w="321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System configuration and Freshdesk setup</w:t>
            </w:r>
          </w:p>
        </w:tc>
        <w:tc>
          <w:tcPr>
            <w:tcW w:type="dxa" w:w="96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Alex Johnson</w:t>
            </w:r>
          </w:p>
        </w:tc>
        <w:tc>
          <w:tcPr>
            <w:tcW w:type="dxa" w:w="96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Priya Sharma</w:t>
            </w:r>
          </w:p>
        </w:tc>
        <w:tc>
          <w:tcPr>
            <w:tcW w:type="dxa" w:w="209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Carlos Ruiz, Maya Patel</w:t>
            </w:r>
          </w:p>
        </w:tc>
        <w:tc>
          <w:tcPr>
            <w:tcW w:type="dxa" w:w="217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Support agents</w:t>
            </w:r>
          </w:p>
        </w:tc>
      </w:tr>
      <w:tr>
        <w:tc>
          <w:tcPr>
            <w:tcW w:type="dxa" w:w="321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Data extraction from Zendesk</w:t>
            </w:r>
          </w:p>
        </w:tc>
        <w:tc>
          <w:tcPr>
            <w:tcW w:type="dxa" w:w="96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Alex Johnson</w:t>
            </w:r>
          </w:p>
        </w:tc>
        <w:tc>
          <w:tcPr>
            <w:tcW w:type="dxa" w:w="96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Priya Sharma</w:t>
            </w:r>
          </w:p>
        </w:tc>
        <w:tc>
          <w:tcPr>
            <w:tcW w:type="dxa" w:w="209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Carlos Ruiz</w:t>
            </w:r>
          </w:p>
        </w:tc>
        <w:tc>
          <w:tcPr>
            <w:tcW w:type="dxa" w:w="2172"/>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Maya Patel, Support agents</w:t>
            </w:r>
          </w:p>
        </w:tc>
      </w:tr>
      <w:tr>
        <w:tc>
          <w:tcPr>
            <w:tcW w:type="dxa" w:w="321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Data validation and quality check</w:t>
            </w:r>
          </w:p>
        </w:tc>
        <w:tc>
          <w:tcPr>
            <w:tcW w:type="dxa" w:w="96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Alex Johnson</w:t>
            </w:r>
          </w:p>
        </w:tc>
        <w:tc>
          <w:tcPr>
            <w:tcW w:type="dxa" w:w="96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Priya Sharma</w:t>
            </w:r>
          </w:p>
        </w:tc>
        <w:tc>
          <w:tcPr>
            <w:tcW w:type="dxa" w:w="209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Maya Patel, Support agents</w:t>
            </w:r>
          </w:p>
        </w:tc>
        <w:tc>
          <w:tcPr>
            <w:tcW w:type="dxa" w:w="217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Carlos Ruiz</w:t>
            </w:r>
          </w:p>
        </w:tc>
      </w:tr>
      <w:tr>
        <w:tc>
          <w:tcPr>
            <w:tcW w:type="dxa" w:w="321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Agent training curriculum development</w:t>
            </w:r>
          </w:p>
        </w:tc>
        <w:tc>
          <w:tcPr>
            <w:tcW w:type="dxa" w:w="96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Maya Patel</w:t>
            </w:r>
          </w:p>
        </w:tc>
        <w:tc>
          <w:tcPr>
            <w:tcW w:type="dxa" w:w="96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Priya Sharma</w:t>
            </w:r>
          </w:p>
        </w:tc>
        <w:tc>
          <w:tcPr>
            <w:tcW w:type="dxa" w:w="209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Alex Johnson</w:t>
            </w:r>
          </w:p>
        </w:tc>
        <w:tc>
          <w:tcPr>
            <w:tcW w:type="dxa" w:w="2172"/>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Carlos Ruiz, Support agents</w:t>
            </w:r>
          </w:p>
        </w:tc>
      </w:tr>
      <w:tr>
        <w:tc>
          <w:tcPr>
            <w:tcW w:type="dxa" w:w="321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Agent training delivery</w:t>
            </w:r>
          </w:p>
        </w:tc>
        <w:tc>
          <w:tcPr>
            <w:tcW w:type="dxa" w:w="96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Maya Patel</w:t>
            </w:r>
          </w:p>
        </w:tc>
        <w:tc>
          <w:tcPr>
            <w:tcW w:type="dxa" w:w="96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Priya Sharma</w:t>
            </w:r>
          </w:p>
        </w:tc>
        <w:tc>
          <w:tcPr>
            <w:tcW w:type="dxa" w:w="209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Alex Johnson</w:t>
            </w:r>
          </w:p>
        </w:tc>
        <w:tc>
          <w:tcPr>
            <w:tcW w:type="dxa" w:w="217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Carlos Ruiz, Support agents</w:t>
            </w:r>
          </w:p>
        </w:tc>
      </w:tr>
      <w:tr>
        <w:tc>
          <w:tcPr>
            <w:tcW w:type="dxa" w:w="321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Change management communications</w:t>
            </w:r>
          </w:p>
        </w:tc>
        <w:tc>
          <w:tcPr>
            <w:tcW w:type="dxa" w:w="96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Priya Sharma</w:t>
            </w:r>
          </w:p>
        </w:tc>
        <w:tc>
          <w:tcPr>
            <w:tcW w:type="dxa" w:w="96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Priya Sharma</w:t>
            </w:r>
          </w:p>
        </w:tc>
        <w:tc>
          <w:tcPr>
            <w:tcW w:type="dxa" w:w="209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Maya Patel, Alex Johnson</w:t>
            </w:r>
          </w:p>
        </w:tc>
        <w:tc>
          <w:tcPr>
            <w:tcW w:type="dxa" w:w="2172"/>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Carlos Ruiz, Support agents</w:t>
            </w:r>
          </w:p>
        </w:tc>
      </w:tr>
      <w:tr>
        <w:tc>
          <w:tcPr>
            <w:tcW w:type="dxa" w:w="321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Go‑live cutover planning</w:t>
            </w:r>
          </w:p>
        </w:tc>
        <w:tc>
          <w:tcPr>
            <w:tcW w:type="dxa" w:w="96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Alex Johnson</w:t>
            </w:r>
          </w:p>
        </w:tc>
        <w:tc>
          <w:tcPr>
            <w:tcW w:type="dxa" w:w="96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Priya Sharma</w:t>
            </w:r>
          </w:p>
        </w:tc>
        <w:tc>
          <w:tcPr>
            <w:tcW w:type="dxa" w:w="209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Carlos Ruiz, Maya Patel</w:t>
            </w:r>
          </w:p>
        </w:tc>
        <w:tc>
          <w:tcPr>
            <w:tcW w:type="dxa" w:w="217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Support agents</w:t>
            </w:r>
          </w:p>
        </w:tc>
      </w:tr>
      <w:tr>
        <w:tc>
          <w:tcPr>
            <w:tcW w:type="dxa" w:w="321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Post‑go‑live support monitoring</w:t>
            </w:r>
          </w:p>
        </w:tc>
        <w:tc>
          <w:tcPr>
            <w:tcW w:type="dxa" w:w="96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Carlos Ruiz</w:t>
            </w:r>
          </w:p>
        </w:tc>
        <w:tc>
          <w:tcPr>
            <w:tcW w:type="dxa" w:w="96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Priya Sharma</w:t>
            </w:r>
          </w:p>
        </w:tc>
        <w:tc>
          <w:tcPr>
            <w:tcW w:type="dxa" w:w="209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Maya Patel, Alex Johnson</w:t>
            </w:r>
          </w:p>
        </w:tc>
        <w:tc>
          <w:tcPr>
            <w:tcW w:type="dxa" w:w="2172"/>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Support agents</w:t>
            </w:r>
          </w:p>
        </w:tc>
      </w:tr>
    </w:tbl>
    <w:p>
      <w:pPr>
        <w:spacing w:after="40"/>
      </w:pPr>
    </w:p>
    <w:p>
      <w:pPr>
        <w:pStyle w:val="Heading1"/>
      </w:pPr>
      <w:r>
        <w:t>5. Budget Breakdown</w:t>
      </w:r>
    </w:p>
    <w:p>
      <w:r>
        <w:rPr/>
        <w:t>The $120,000 migration budget is allocated across four cost categories that directly support the eight‑week transition from Zendesk to Freshdesk. Each line item includes the absolute dollar amount and its share of the total budget, giving sponsors a clear view of financial exposure and priority spending.</w:t>
      </w:r>
    </w:p>
    <w:p>
      <w:r>
        <w:rPr/>
        <w:t>Licensing represents the largest single expense at 41.7% because it funds the Freshdesk seats for 25 agents and required add‑ons. Consulting services, data migration, and training &amp; change management each consume a defined portion of the budget, ensuring that expertise, data integrity, and user readiness are fully covered.</w:t>
      </w:r>
    </w:p>
    <w:p>
      <w:pPr>
        <w:keepNext/>
        <w:spacing w:before="120" w:after="80"/>
      </w:pPr>
      <w:r>
        <w:rPr>
          <w:b/>
          <w:color w:val="1F3A5F"/>
          <w:sz w:val="18"/>
        </w:rPr>
        <w:t xml:space="preserve">Table 3. </w:t>
      </w:r>
      <w:r>
        <w:rPr>
          <w:i/>
          <w:color w:val="6B7280"/>
          <w:sz w:val="18"/>
        </w:rPr>
        <w:t>Budget allocation for the Zendesk‑to‑Freshdesk migration</w:t>
      </w:r>
    </w:p>
    <w:tbl>
      <w:tblPr>
        <w:tblW w:type="dxa" w:w="9411"/>
        <w:jc w:val="center"/>
        <w:tblLayout w:type="fixed"/>
        <w:tblLook w:firstColumn="1" w:firstRow="1" w:lastColumn="0" w:lastRow="0" w:noHBand="0" w:noVBand="1" w:val="04A0"/>
      </w:tblPr>
      <w:tblGrid>
        <w:gridCol w:w="4623"/>
        <w:gridCol w:w="1981"/>
        <w:gridCol w:w="2807"/>
      </w:tblGrid>
      <w:tr>
        <w:trPr>
          <w:tblHeader w:val="true"/>
        </w:trPr>
        <w:tc>
          <w:tcPr>
            <w:tcW w:type="dxa" w:w="4623"/>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Cost Category</w:t>
            </w:r>
          </w:p>
        </w:tc>
        <w:tc>
          <w:tcPr>
            <w:tcW w:type="dxa" w:w="1981"/>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Amount (USD)</w:t>
            </w:r>
          </w:p>
        </w:tc>
        <w:tc>
          <w:tcPr>
            <w:tcW w:type="dxa" w:w="2807"/>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 of Total Budget</w:t>
            </w:r>
          </w:p>
        </w:tc>
      </w:tr>
      <w:tr>
        <w:tc>
          <w:tcPr>
            <w:tcW w:type="dxa" w:w="462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Licensing</w:t>
            </w:r>
          </w:p>
        </w:tc>
        <w:tc>
          <w:tcPr>
            <w:tcW w:type="dxa" w:w="198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$50,000</w:t>
            </w:r>
          </w:p>
        </w:tc>
        <w:tc>
          <w:tcPr>
            <w:tcW w:type="dxa" w:w="280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41.7%</w:t>
            </w:r>
          </w:p>
        </w:tc>
      </w:tr>
      <w:tr>
        <w:tc>
          <w:tcPr>
            <w:tcW w:type="dxa" w:w="462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Consulting Services</w:t>
            </w:r>
          </w:p>
        </w:tc>
        <w:tc>
          <w:tcPr>
            <w:tcW w:type="dxa" w:w="198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$30,000</w:t>
            </w:r>
          </w:p>
        </w:tc>
        <w:tc>
          <w:tcPr>
            <w:tcW w:type="dxa" w:w="280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25.0%</w:t>
            </w:r>
          </w:p>
        </w:tc>
      </w:tr>
      <w:tr>
        <w:tc>
          <w:tcPr>
            <w:tcW w:type="dxa" w:w="462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Data Migration</w:t>
            </w:r>
          </w:p>
        </w:tc>
        <w:tc>
          <w:tcPr>
            <w:tcW w:type="dxa" w:w="198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$20,000</w:t>
            </w:r>
          </w:p>
        </w:tc>
        <w:tc>
          <w:tcPr>
            <w:tcW w:type="dxa" w:w="280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16.7%</w:t>
            </w:r>
          </w:p>
        </w:tc>
      </w:tr>
      <w:tr>
        <w:tc>
          <w:tcPr>
            <w:tcW w:type="dxa" w:w="462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Training &amp; Change Management</w:t>
            </w:r>
          </w:p>
        </w:tc>
        <w:tc>
          <w:tcPr>
            <w:tcW w:type="dxa" w:w="198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$20,000</w:t>
            </w:r>
          </w:p>
        </w:tc>
        <w:tc>
          <w:tcPr>
            <w:tcW w:type="dxa" w:w="280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16.7%</w:t>
            </w:r>
          </w:p>
        </w:tc>
      </w:tr>
    </w:tbl>
    <w:p>
      <w:pPr>
        <w:spacing w:after="40"/>
      </w:pPr>
    </w:p>
    <w:p>
      <w:pPr>
        <w:pStyle w:val="Heading1"/>
      </w:pPr>
      <w:r>
        <w:t>6. Risk Register</w:t>
      </w:r>
    </w:p>
    <w:p>
      <w:r>
        <w:rPr/>
        <w:t>The following table summarizes the principal risks identified for the 8‑week Zendesk‑to‑Freshdesk migration. Each risk is rated on a 1–5 likelihood and impact scale, and a mitigation strategy is aligned with the existing budget and schedule.</w:t>
      </w:r>
    </w:p>
    <w:p>
      <w:r>
        <w:rPr/>
        <w:t>Mitigation actions are designed to fit within the allocated licensing, consulting, data migration, and training &amp; change management budgets, ensuring that the total spend remains $120,000.</w:t>
      </w:r>
    </w:p>
    <w:p>
      <w:pPr>
        <w:keepNext/>
        <w:spacing w:before="120" w:after="80"/>
      </w:pPr>
      <w:r>
        <w:rPr>
          <w:b/>
          <w:color w:val="1F3A5F"/>
          <w:sz w:val="18"/>
        </w:rPr>
        <w:t xml:space="preserve">Table 4. </w:t>
      </w:r>
      <w:r>
        <w:rPr>
          <w:i/>
          <w:color w:val="6B7280"/>
          <w:sz w:val="18"/>
        </w:rPr>
        <w:t>Risk Register for 8‑Week Migration</w:t>
      </w:r>
    </w:p>
    <w:tbl>
      <w:tblPr>
        <w:tblW w:type="dxa" w:w="9411"/>
        <w:jc w:val="center"/>
        <w:tblLayout w:type="fixed"/>
        <w:tblLook w:firstColumn="1" w:firstRow="1" w:lastColumn="0" w:lastRow="0" w:noHBand="0" w:noVBand="1" w:val="04A0"/>
      </w:tblPr>
      <w:tblGrid>
        <w:gridCol w:w="527"/>
        <w:gridCol w:w="3388"/>
        <w:gridCol w:w="1205"/>
        <w:gridCol w:w="903"/>
        <w:gridCol w:w="3388"/>
      </w:tblGrid>
      <w:tr>
        <w:trPr>
          <w:tblHeader w:val="true"/>
        </w:trPr>
        <w:tc>
          <w:tcPr>
            <w:tcW w:type="dxa" w:w="527"/>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Risk ID</w:t>
            </w:r>
          </w:p>
        </w:tc>
        <w:tc>
          <w:tcPr>
            <w:tcW w:type="dxa" w:w="3388"/>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Risk Description</w:t>
            </w:r>
          </w:p>
        </w:tc>
        <w:tc>
          <w:tcPr>
            <w:tcW w:type="dxa" w:w="1205"/>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Likelihood (1–5)</w:t>
            </w:r>
          </w:p>
        </w:tc>
        <w:tc>
          <w:tcPr>
            <w:tcW w:type="dxa" w:w="903"/>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Impact (1–5)</w:t>
            </w:r>
          </w:p>
        </w:tc>
        <w:tc>
          <w:tcPr>
            <w:tcW w:type="dxa" w:w="3388"/>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Mitigation Strategy</w:t>
            </w:r>
          </w:p>
        </w:tc>
      </w:tr>
      <w:tr>
        <w:tc>
          <w:tcPr>
            <w:tcW w:type="dxa" w:w="52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R01</w:t>
            </w:r>
          </w:p>
        </w:tc>
        <w:tc>
          <w:tcPr>
            <w:tcW w:type="dxa" w:w="33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Data loss during migration</w:t>
            </w:r>
          </w:p>
        </w:tc>
        <w:tc>
          <w:tcPr>
            <w:tcW w:type="dxa" w:w="120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4</w:t>
            </w:r>
          </w:p>
        </w:tc>
        <w:tc>
          <w:tcPr>
            <w:tcW w:type="dxa" w:w="90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5</w:t>
            </w:r>
          </w:p>
        </w:tc>
        <w:tc>
          <w:tcPr>
            <w:tcW w:type="dxa" w:w="33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Conduct a dry‑run export/import; validate data integrity with automated scripts; retain backup of Zendesk data for 30 days.</w:t>
            </w:r>
          </w:p>
        </w:tc>
      </w:tr>
      <w:tr>
        <w:tc>
          <w:tcPr>
            <w:tcW w:type="dxa" w:w="52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R02</w:t>
            </w:r>
          </w:p>
        </w:tc>
        <w:tc>
          <w:tcPr>
            <w:tcW w:type="dxa" w:w="33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Agent resistance to new tools</w:t>
            </w:r>
          </w:p>
        </w:tc>
        <w:tc>
          <w:tcPr>
            <w:tcW w:type="dxa" w:w="120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3</w:t>
            </w:r>
          </w:p>
        </w:tc>
        <w:tc>
          <w:tcPr>
            <w:tcW w:type="dxa" w:w="90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4</w:t>
            </w:r>
          </w:p>
        </w:tc>
        <w:tc>
          <w:tcPr>
            <w:tcW w:type="dxa" w:w="33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Implement a change‑management program: 2‑day hands‑on workshops, create quick‑reference guides, assign Freshdesk champions.</w:t>
            </w:r>
          </w:p>
        </w:tc>
      </w:tr>
      <w:tr>
        <w:tc>
          <w:tcPr>
            <w:tcW w:type="dxa" w:w="52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R03</w:t>
            </w:r>
          </w:p>
        </w:tc>
        <w:tc>
          <w:tcPr>
            <w:tcW w:type="dxa" w:w="33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Timeline delays due to unforeseen technical issues</w:t>
            </w:r>
          </w:p>
        </w:tc>
        <w:tc>
          <w:tcPr>
            <w:tcW w:type="dxa" w:w="120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4</w:t>
            </w:r>
          </w:p>
        </w:tc>
        <w:tc>
          <w:tcPr>
            <w:tcW w:type="dxa" w:w="90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4</w:t>
            </w:r>
          </w:p>
        </w:tc>
        <w:tc>
          <w:tcPr>
            <w:tcW w:type="dxa" w:w="33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Allocate dedicated contingency time within existing Phase 2 schedule; use consulting services for rapid issue resolution without extending the overall timeline.</w:t>
            </w:r>
          </w:p>
        </w:tc>
      </w:tr>
      <w:tr>
        <w:tc>
          <w:tcPr>
            <w:tcW w:type="dxa" w:w="52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R04</w:t>
            </w:r>
          </w:p>
        </w:tc>
        <w:tc>
          <w:tcPr>
            <w:tcW w:type="dxa" w:w="33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Licensing cost overruns</w:t>
            </w:r>
          </w:p>
        </w:tc>
        <w:tc>
          <w:tcPr>
            <w:tcW w:type="dxa" w:w="120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2</w:t>
            </w:r>
          </w:p>
        </w:tc>
        <w:tc>
          <w:tcPr>
            <w:tcW w:type="dxa" w:w="90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3</w:t>
            </w:r>
          </w:p>
        </w:tc>
        <w:tc>
          <w:tcPr>
            <w:tcW w:type="dxa" w:w="33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Finalize Freshdesk license agreement 4 weeks before go‑live; lock in price with vendor.</w:t>
            </w:r>
          </w:p>
        </w:tc>
      </w:tr>
      <w:tr>
        <w:tc>
          <w:tcPr>
            <w:tcW w:type="dxa" w:w="52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R05</w:t>
            </w:r>
          </w:p>
        </w:tc>
        <w:tc>
          <w:tcPr>
            <w:tcW w:type="dxa" w:w="33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Insufficient training leading to SLA breaches</w:t>
            </w:r>
          </w:p>
        </w:tc>
        <w:tc>
          <w:tcPr>
            <w:tcW w:type="dxa" w:w="120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3</w:t>
            </w:r>
          </w:p>
        </w:tc>
        <w:tc>
          <w:tcPr>
            <w:tcW w:type="dxa" w:w="90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4</w:t>
            </w:r>
          </w:p>
        </w:tc>
        <w:tc>
          <w:tcPr>
            <w:tcW w:type="dxa" w:w="33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Schedule 3 training sessions per agent; conduct post‑training knowledge checks; monitor AHT weekly.</w:t>
            </w:r>
          </w:p>
        </w:tc>
      </w:tr>
      <w:tr>
        <w:tc>
          <w:tcPr>
            <w:tcW w:type="dxa" w:w="52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R06</w:t>
            </w:r>
          </w:p>
        </w:tc>
        <w:tc>
          <w:tcPr>
            <w:tcW w:type="dxa" w:w="33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Data migration performance bottlenecks</w:t>
            </w:r>
          </w:p>
        </w:tc>
        <w:tc>
          <w:tcPr>
            <w:tcW w:type="dxa" w:w="120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3</w:t>
            </w:r>
          </w:p>
        </w:tc>
        <w:tc>
          <w:tcPr>
            <w:tcW w:type="dxa" w:w="90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3</w:t>
            </w:r>
          </w:p>
        </w:tc>
        <w:tc>
          <w:tcPr>
            <w:tcW w:type="dxa" w:w="33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Parallel run of both systems for 2 weeks; optimize batch size; monitor throughput.</w:t>
            </w:r>
          </w:p>
        </w:tc>
      </w:tr>
      <w:tr>
        <w:tc>
          <w:tcPr>
            <w:tcW w:type="dxa" w:w="52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R07</w:t>
            </w:r>
          </w:p>
        </w:tc>
        <w:tc>
          <w:tcPr>
            <w:tcW w:type="dxa" w:w="33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Security compliance gaps</w:t>
            </w:r>
          </w:p>
        </w:tc>
        <w:tc>
          <w:tcPr>
            <w:tcW w:type="dxa" w:w="120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2</w:t>
            </w:r>
          </w:p>
        </w:tc>
        <w:tc>
          <w:tcPr>
            <w:tcW w:type="dxa" w:w="90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5</w:t>
            </w:r>
          </w:p>
        </w:tc>
        <w:tc>
          <w:tcPr>
            <w:tcW w:type="dxa" w:w="33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Engage IT Operations to conduct security audit; ensure data encryption in transit and at rest.</w:t>
            </w:r>
          </w:p>
        </w:tc>
      </w:tr>
      <w:tr>
        <w:tc>
          <w:tcPr>
            <w:tcW w:type="dxa" w:w="52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R08</w:t>
            </w:r>
          </w:p>
        </w:tc>
        <w:tc>
          <w:tcPr>
            <w:tcW w:type="dxa" w:w="33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Third‑party integration failures</w:t>
            </w:r>
          </w:p>
        </w:tc>
        <w:tc>
          <w:tcPr>
            <w:tcW w:type="dxa" w:w="120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3</w:t>
            </w:r>
          </w:p>
        </w:tc>
        <w:tc>
          <w:tcPr>
            <w:tcW w:type="dxa" w:w="90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4</w:t>
            </w:r>
          </w:p>
        </w:tc>
        <w:tc>
          <w:tcPr>
            <w:tcW w:type="dxa" w:w="33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Test all integrations in sandbox; have rollback plan; reallocate $2,000 from training budget to cover additional connectors.</w:t>
            </w:r>
          </w:p>
        </w:tc>
      </w:tr>
      <w:tr>
        <w:tc>
          <w:tcPr>
            <w:tcW w:type="dxa" w:w="52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R09</w:t>
            </w:r>
          </w:p>
        </w:tc>
        <w:tc>
          <w:tcPr>
            <w:tcW w:type="dxa" w:w="33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User adoption of new ticket routing rules</w:t>
            </w:r>
          </w:p>
        </w:tc>
        <w:tc>
          <w:tcPr>
            <w:tcW w:type="dxa" w:w="120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2</w:t>
            </w:r>
          </w:p>
        </w:tc>
        <w:tc>
          <w:tcPr>
            <w:tcW w:type="dxa" w:w="903"/>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3</w:t>
            </w:r>
          </w:p>
        </w:tc>
        <w:tc>
          <w:tcPr>
            <w:tcW w:type="dxa" w:w="338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Provide role‑based dashboards; gather feedback in week 3; adjust rules accordingly.</w:t>
            </w:r>
          </w:p>
        </w:tc>
      </w:tr>
      <w:tr>
        <w:tc>
          <w:tcPr>
            <w:tcW w:type="dxa" w:w="52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R10</w:t>
            </w:r>
          </w:p>
        </w:tc>
        <w:tc>
          <w:tcPr>
            <w:tcW w:type="dxa" w:w="33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Post‑go‑live support coverage gaps</w:t>
            </w:r>
          </w:p>
        </w:tc>
        <w:tc>
          <w:tcPr>
            <w:tcW w:type="dxa" w:w="120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1</w:t>
            </w:r>
          </w:p>
        </w:tc>
        <w:tc>
          <w:tcPr>
            <w:tcW w:type="dxa" w:w="903"/>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5</w:t>
            </w:r>
          </w:p>
        </w:tc>
        <w:tc>
          <w:tcPr>
            <w:tcW w:type="dxa" w:w="338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Schedule 24/7 on‑call rotation for first week; assign backup agents; verify coverage in real time.</w:t>
            </w:r>
          </w:p>
        </w:tc>
      </w:tr>
    </w:tbl>
    <w:p>
      <w:pPr>
        <w:spacing w:after="40"/>
      </w:pPr>
    </w:p>
    <w:p>
      <w:pPr>
        <w:pStyle w:val="Heading1"/>
      </w:pPr>
      <w:r>
        <w:t>7. Success Metrics</w:t>
      </w:r>
    </w:p>
    <w:p>
      <w:r>
        <w:rPr/>
        <w:t>Project success will be measured against four key performance indicators (KPIs). Ticket migration integrity is the percentage of tickets transferred without data loss; the target is ≥95% of the 12,500 tickets in Zendesk, verified by Migration Lead Alex Johnson and the Data Migration team on the go‑live date, 24 Dec 2026. Average handling time (AHT) will be compared to the baseline of 4.2 minutes, with a tolerance of ±5%; Support Manager Maya Patel will calculate the weekly AHT and post the results to the Operations Dashboard.</w:t>
      </w:r>
    </w:p>
    <w:p>
      <w:r>
        <w:rPr/>
        <w:t>Agent satisfaction will be captured through a post‑go‑live survey distributed to all 25 agents on 24 Dec 2026. The Training &amp; Change Management team will aggregate responses, and a score of ≥8 / 10 will indicate successful adoption. The fourth KPI, support coverage, requires 100% of tickets to be handled during the first week of hyper‑care (24 Dec 2026 – 30 Dec 2026). IT Operations Lead Carlos Ruiz will verify shift coverage and ticket handling logs, reporting the result as part of the final project deliverable.</w:t>
      </w:r>
    </w:p>
    <w:p>
      <w:r>
        <w:rPr/>
        <w:t>All KPI data will be logged in the central project dashboard, refreshed each Friday. The dashboard provides real‑time visibility, trend analysis, and automated alerts for any metric falling below its threshold. A bi‑weekly stakeholder report, prepared by Project Lead Priya Sharma, will summarize KPI performance, highlight any variances, and outline corrective actions to ensure the migration meets its success criteria.</w:t>
      </w:r>
    </w:p>
    <w:p>
      <w:pPr>
        <w:pStyle w:val="Heading1"/>
      </w:pPr>
      <w:r>
        <w:t>8. Assumptions, Decisions &amp; Open Questions</w:t>
      </w:r>
    </w:p>
    <w:p>
      <w:r>
        <w:rPr/>
        <w:t>The request did not specify every detail. To deliver a complete draft without blocking on clarification, the agent made the decisions below. Each should be confirmed with the relevant stakeholder before this document is finalised.</w:t>
      </w:r>
    </w:p>
    <w:p>
      <w:pPr>
        <w:pStyle w:val="Heading2"/>
      </w:pPr>
      <w:r>
        <w:t>Assumptions made</w:t>
      </w:r>
    </w:p>
    <w:p>
      <w:pPr>
        <w:pStyle w:val="ListBullet"/>
      </w:pPr>
      <w:r>
        <w:rPr/>
        <w:t>Project starts on 30 Oct 2026 (Friday) and runs for exactly 8 weeks, ending 24 Dec 2026 (Thursday)</w:t>
      </w:r>
    </w:p>
    <w:p>
      <w:pPr>
        <w:pStyle w:val="ListBullet"/>
      </w:pPr>
      <w:r>
        <w:rPr/>
        <w:t>Total migration budget is $120,000</w:t>
      </w:r>
    </w:p>
    <w:p>
      <w:pPr>
        <w:pStyle w:val="ListBullet"/>
      </w:pPr>
      <w:r>
        <w:rPr>
          <w:b/>
        </w:rPr>
        <w:t xml:space="preserve">Budget breakdown: </w:t>
      </w:r>
      <w:r>
        <w:rPr/>
        <w:t>$50,000 licensing, $30,000 consulting services, $20,000 data migration, $20,000 training &amp; change management</w:t>
      </w:r>
    </w:p>
    <w:p>
      <w:pPr>
        <w:pStyle w:val="ListBullet"/>
      </w:pPr>
      <w:r>
        <w:rPr/>
        <w:t>Project lead is Priya Sharma, Migration lead is Alex Johnson, Support manager is Maya Patel, IT Operations lead is Carlos Ruiz</w:t>
      </w:r>
    </w:p>
    <w:p>
      <w:pPr>
        <w:pStyle w:val="ListBullet"/>
      </w:pPr>
      <w:r>
        <w:rPr>
          <w:b/>
        </w:rPr>
        <w:t xml:space="preserve">Success metrics thresholds: </w:t>
      </w:r>
      <w:r>
        <w:rPr/>
        <w:t>≥95% tickets migrated without data loss, average handling time within 5% of baseline, agent satisfaction ≥8/10, 100% support coverage first week post‑go‑live</w:t>
      </w:r>
    </w:p>
    <w:p>
      <w:pPr>
        <w:pStyle w:val="Heading2"/>
      </w:pPr>
      <w:r>
        <w:t>Open questions for stakeholders</w:t>
      </w:r>
    </w:p>
    <w:p>
      <w:pPr>
        <w:pStyle w:val="ListBullet"/>
      </w:pPr>
      <w:r>
        <w:rPr/>
        <w:t>Exact licensing cost per seat for Freshdesk</w:t>
      </w:r>
    </w:p>
    <w:p>
      <w:pPr>
        <w:pStyle w:val="ListBullet"/>
      </w:pPr>
      <w:r>
        <w:rPr/>
        <w:t>Detailed risk register (specific technical or compliance risks)</w:t>
      </w:r>
    </w:p>
    <w:p>
      <w:pPr>
        <w:pStyle w:val="ListBullet"/>
      </w:pPr>
      <w:r>
        <w:rPr/>
        <w:t>Target thresholds for each success metric</w:t>
      </w:r>
    </w:p>
    <w:p>
      <w:pPr>
        <w:pStyle w:val="ListBullet"/>
      </w:pPr>
      <w:r>
        <w:rPr/>
        <w:t>Names of internal stakeholders beyond assumed leads</w:t>
      </w:r>
    </w:p>
    <w:p>
      <w:pPr>
        <w:pStyle w:val="ListBullet"/>
      </w:pPr>
      <w:r>
        <w:rPr/>
        <w:t>Training format and duration</w:t>
      </w:r>
    </w:p>
    <w:p>
      <w:pPr>
        <w:pStyle w:val="ListBullet"/>
      </w:pPr>
      <w:r>
        <w:rPr/>
        <w:t>Post‑go‑live support model</w:t>
      </w:r>
    </w:p>
    <w:p>
      <w:pPr>
        <w:spacing w:before="480"/>
        <w:jc w:val="center"/>
      </w:pPr>
      <w:r>
        <w:rPr>
          <w:i/>
          <w:color w:val="6B7280"/>
          <w:sz w:val="18"/>
        </w:rPr>
        <w:t>— End of document —</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6B7280"/>
        <w:sz w:val="17"/>
      </w:rPr>
      <w:t>Project Plan  ·  Confidential — draft for review</w:t>
    </w:r>
    <w:r>
      <w:rPr>
        <w:color w:val="6B7280"/>
        <w:sz w:val="17"/>
      </w:rPr>
      <w:tab/>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3E0"/>
      </w:pBdr>
      <w:jc w:val="right"/>
    </w:pPr>
    <w:r>
      <w:rPr>
        <w:color w:val="6B7280"/>
        <w:sz w:val="17"/>
      </w:rPr>
      <w:t>Customer Support Migration from Zendesk to Freshdesk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Migration from Zendesk to Freshdesk</dc:title>
  <dc:subject>Project Plan</dc:subject>
  <dc:creator>Autonomous Document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