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pPr>
      <w:r>
        <w:rPr>
          <w:b/>
          <w:color w:val="2E75B6"/>
          <w:spacing w:val="40"/>
          <w:sz w:val="22"/>
        </w:rPr>
        <w:t>BOARD BRIEFING</w:t>
      </w:r>
    </w:p>
    <w:p>
      <w:pPr>
        <w:spacing w:line="240" w:lineRule="auto" w:after="160"/>
      </w:pPr>
      <w:r>
        <w:rPr>
          <w:b/>
          <w:color w:val="1F3A5F"/>
          <w:sz w:val="56"/>
        </w:rPr>
        <w:t>Strategic Rollout of AI Customer Service Chatbot in Europe</w:t>
      </w:r>
    </w:p>
    <w:p>
      <w:pPr>
        <w:pBdr>
          <w:bottom w:val="single" w:sz="18" w:space="12" w:color="2E75B6"/>
        </w:pBdr>
        <w:spacing w:after="560"/>
      </w:pPr>
      <w:r>
        <w:rPr>
          <w:color w:val="6B7280"/>
          <w:sz w:val="26"/>
        </w:rPr>
        <w:t>Executive Summary: Compliance, Financials, and Timeline for Board Approval</w:t>
      </w:r>
    </w:p>
    <w:tbl>
      <w:tblPr>
        <w:tblW w:type="dxa" w:w="9411"/>
        <w:tblLayout w:type="fixed"/>
        <w:tblLook w:firstColumn="1" w:firstRow="1" w:lastColumn="0" w:lastRow="0" w:noHBand="0" w:noVBand="1" w:val="04A0"/>
      </w:tblPr>
      <w:tblGrid>
        <w:gridCol w:w="2041"/>
        <w:gridCol w:w="7370"/>
      </w:tblGrid>
      <w:tr>
        <w:tc>
          <w:tcPr>
            <w:tcW w:type="dxa" w:w="2041"/>
            <w:tcMar>
              <w:top w:w="60" w:type="dxa"/>
              <w:left w:w="60" w:type="dxa"/>
              <w:bottom w:w="60" w:type="dxa"/>
              <w:right w:w="60" w:type="dxa"/>
            </w:tcMar>
            <w:vAlign w:val="center"/>
          </w:tcPr>
          <w:p>
            <w:pPr>
              <w:spacing w:after="0" w:line="252" w:lineRule="auto"/>
            </w:pPr>
            <w:r>
              <w:rPr>
                <w:b/>
                <w:color w:val="6B7280"/>
                <w:sz w:val="17"/>
              </w:rPr>
              <w:t>PREPARED FOR</w:t>
            </w:r>
          </w:p>
        </w:tc>
        <w:tc>
          <w:tcPr>
            <w:tcW w:type="dxa" w:w="7370"/>
            <w:tcMar>
              <w:top w:w="60" w:type="dxa"/>
              <w:left w:w="60" w:type="dxa"/>
              <w:bottom w:w="60" w:type="dxa"/>
              <w:right w:w="60" w:type="dxa"/>
            </w:tcMar>
            <w:vAlign w:val="center"/>
          </w:tcPr>
          <w:p>
            <w:pPr>
              <w:spacing w:after="0" w:line="252" w:lineRule="auto"/>
            </w:pPr>
            <w:r>
              <w:rPr>
                <w:color w:val="262626"/>
                <w:sz w:val="21"/>
              </w:rPr>
              <w:t>Board of Directors</w:t>
            </w:r>
          </w:p>
        </w:tc>
      </w:tr>
      <w:tr>
        <w:tc>
          <w:tcPr>
            <w:tcW w:type="dxa" w:w="2041"/>
            <w:tcMar>
              <w:top w:w="60" w:type="dxa"/>
              <w:left w:w="60" w:type="dxa"/>
              <w:bottom w:w="60" w:type="dxa"/>
              <w:right w:w="60" w:type="dxa"/>
            </w:tcMar>
            <w:vAlign w:val="center"/>
          </w:tcPr>
          <w:p>
            <w:pPr>
              <w:spacing w:after="0" w:line="252" w:lineRule="auto"/>
            </w:pPr>
            <w:r>
              <w:rPr>
                <w:b/>
                <w:color w:val="6B7280"/>
                <w:sz w:val="17"/>
              </w:rPr>
              <w:t>PREPARED BY</w:t>
            </w:r>
          </w:p>
        </w:tc>
        <w:tc>
          <w:tcPr>
            <w:tcW w:type="dxa" w:w="7370"/>
            <w:tcMar>
              <w:top w:w="60" w:type="dxa"/>
              <w:left w:w="60" w:type="dxa"/>
              <w:bottom w:w="60" w:type="dxa"/>
              <w:right w:w="60" w:type="dxa"/>
            </w:tcMar>
            <w:vAlign w:val="center"/>
          </w:tcPr>
          <w:p>
            <w:pPr>
              <w:spacing w:after="0" w:line="252" w:lineRule="auto"/>
            </w:pPr>
            <w:r>
              <w:rPr>
                <w:color w:val="262626"/>
                <w:sz w:val="21"/>
              </w:rPr>
              <w:t>Autonomous Document Agent</w:t>
            </w:r>
          </w:p>
        </w:tc>
      </w:tr>
      <w:tr>
        <w:tc>
          <w:tcPr>
            <w:tcW w:type="dxa" w:w="2041"/>
            <w:tcMar>
              <w:top w:w="60" w:type="dxa"/>
              <w:left w:w="60" w:type="dxa"/>
              <w:bottom w:w="60" w:type="dxa"/>
              <w:right w:w="60" w:type="dxa"/>
            </w:tcMar>
            <w:vAlign w:val="center"/>
          </w:tcPr>
          <w:p>
            <w:pPr>
              <w:spacing w:after="0" w:line="252" w:lineRule="auto"/>
            </w:pPr>
            <w:r>
              <w:rPr>
                <w:b/>
                <w:color w:val="6B7280"/>
                <w:sz w:val="17"/>
              </w:rPr>
              <w:t>DATE</w:t>
            </w:r>
          </w:p>
        </w:tc>
        <w:tc>
          <w:tcPr>
            <w:tcW w:type="dxa" w:w="7370"/>
            <w:tcMar>
              <w:top w:w="60" w:type="dxa"/>
              <w:left w:w="60" w:type="dxa"/>
              <w:bottom w:w="60" w:type="dxa"/>
              <w:right w:w="60" w:type="dxa"/>
            </w:tcMar>
            <w:vAlign w:val="center"/>
          </w:tcPr>
          <w:p>
            <w:pPr>
              <w:spacing w:after="0" w:line="252" w:lineRule="auto"/>
            </w:pPr>
            <w:r>
              <w:rPr>
                <w:color w:val="262626"/>
                <w:sz w:val="21"/>
              </w:rPr>
              <w:t>22 October 2026</w:t>
            </w:r>
          </w:p>
        </w:tc>
      </w:tr>
      <w:tr>
        <w:tc>
          <w:tcPr>
            <w:tcW w:type="dxa" w:w="2041"/>
            <w:tcMar>
              <w:top w:w="60" w:type="dxa"/>
              <w:left w:w="60" w:type="dxa"/>
              <w:bottom w:w="60" w:type="dxa"/>
              <w:right w:w="60" w:type="dxa"/>
            </w:tcMar>
            <w:vAlign w:val="center"/>
          </w:tcPr>
          <w:p>
            <w:pPr>
              <w:spacing w:after="0" w:line="252" w:lineRule="auto"/>
            </w:pPr>
            <w:r>
              <w:rPr>
                <w:b/>
                <w:color w:val="6B7280"/>
                <w:sz w:val="17"/>
              </w:rPr>
              <w:t>VERSION</w:t>
            </w:r>
          </w:p>
        </w:tc>
        <w:tc>
          <w:tcPr>
            <w:tcW w:type="dxa" w:w="7370"/>
            <w:tcMar>
              <w:top w:w="60" w:type="dxa"/>
              <w:left w:w="60" w:type="dxa"/>
              <w:bottom w:w="60" w:type="dxa"/>
              <w:right w:w="60" w:type="dxa"/>
            </w:tcMar>
            <w:vAlign w:val="center"/>
          </w:tcPr>
          <w:p>
            <w:pPr>
              <w:spacing w:after="0" w:line="252" w:lineRule="auto"/>
            </w:pPr>
            <w:r>
              <w:rPr>
                <w:color w:val="262626"/>
                <w:sz w:val="21"/>
              </w:rPr>
              <w:t>1.0 — Draft for review</w:t>
            </w:r>
          </w:p>
        </w:tc>
      </w:tr>
    </w:tbl>
    <w:p>
      <w:r>
        <w:br w:type="page"/>
      </w:r>
    </w:p>
    <w:p>
      <w:pPr>
        <w:pStyle w:val="Heading2"/>
      </w:pPr>
      <w:r>
        <w:t>Document Control</w:t>
      </w:r>
    </w:p>
    <w:tbl>
      <w:tblPr>
        <w:tblW w:type="dxa" w:w="9411"/>
        <w:tblLayout w:type="fixed"/>
        <w:tblLook w:firstColumn="1" w:firstRow="1" w:lastColumn="0" w:lastRow="0" w:noHBand="0" w:noVBand="1" w:val="04A0"/>
      </w:tblPr>
      <w:tblGrid>
        <w:gridCol w:w="2041"/>
        <w:gridCol w:w="7370"/>
      </w:tblGrid>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Document</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Strategic Rollout of AI Customer Service Chatbot in Europe</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Type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Board Briefing</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Audience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Board of Directors</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Objective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To secure board approval for the European rollout of the AI customer-service chatbot by presenting a compliant, cost-effective strategy that resolves timeline and budget conflicts.</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Status</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Draft v1.0 — for stakeholder review</w:t>
            </w:r>
          </w:p>
        </w:tc>
      </w:tr>
      <w:tr>
        <w:tc>
          <w:tcPr>
            <w:tcW w:type="dxa" w:w="2041"/>
            <w:tcBorders>
              <w:top w:val="single" w:sz="4" w:space="0" w:color="C9D3E0"/>
              <w:left w:val="single" w:sz="4" w:space="0" w:color="C9D3E0"/>
              <w:bottom w:val="single" w:sz="4" w:space="0" w:color="C9D3E0"/>
              <w:right w:val="single" w:sz="4" w:space="0" w:color="C9D3E0"/>
            </w:tcBorders>
            <w:shd w:val="clear" w:color="auto" w:fill="E8EDF4"/>
            <w:tcMar>
              <w:top w:w="80" w:type="dxa"/>
              <w:left w:w="120" w:type="dxa"/>
              <w:bottom w:w="80" w:type="dxa"/>
              <w:right w:w="120" w:type="dxa"/>
            </w:tcMar>
            <w:vAlign w:val="center"/>
          </w:tcPr>
          <w:p>
            <w:pPr>
              <w:spacing w:after="0" w:line="252" w:lineRule="auto"/>
            </w:pPr>
            <w:r>
              <w:rPr>
                <w:b/>
                <w:color w:val="1F3A5F"/>
                <w:sz w:val="19"/>
              </w:rPr>
              <w:t>Quality gate</w:t>
            </w:r>
          </w:p>
        </w:tc>
        <w:tc>
          <w:tcPr>
            <w:tcW w:type="dxa" w:w="7370"/>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9/10 after automated self-review (scores 9; 0 section revisions)</w:t>
            </w:r>
          </w:p>
        </w:tc>
      </w:tr>
    </w:tbl>
    <w:p>
      <w:pPr>
        <w:pStyle w:val="Heading2"/>
        <w:spacing w:before="440"/>
      </w:pPr>
      <w:r>
        <w:t>Contents</w:t>
      </w:r>
    </w:p>
    <w:p>
      <w:pPr>
        <w:pBdr>
          <w:bottom w:val="single" w:sz="4" w:space="3" w:color="C9D3E0"/>
        </w:pBdr>
        <w:tabs>
          <w:tab w:pos="567" w:val="left"/>
        </w:tabs>
        <w:spacing w:after="80"/>
      </w:pPr>
      <w:r>
        <w:rPr>
          <w:b/>
          <w:color w:val="2E75B6"/>
          <w:sz w:val="21"/>
        </w:rPr>
        <w:t>1</w:t>
        <w:tab/>
      </w:r>
      <w:r>
        <w:rPr>
          <w:sz w:val="21"/>
        </w:rPr>
        <w:t>Executive Summary &amp; Recommendation</w:t>
      </w:r>
    </w:p>
    <w:p>
      <w:pPr>
        <w:pBdr>
          <w:bottom w:val="single" w:sz="4" w:space="3" w:color="C9D3E0"/>
        </w:pBdr>
        <w:tabs>
          <w:tab w:pos="567" w:val="left"/>
        </w:tabs>
        <w:spacing w:after="80"/>
      </w:pPr>
      <w:r>
        <w:rPr>
          <w:b/>
          <w:color w:val="2E75B6"/>
          <w:sz w:val="21"/>
        </w:rPr>
        <w:t>2</w:t>
        <w:tab/>
      </w:r>
      <w:r>
        <w:rPr>
          <w:sz w:val="21"/>
        </w:rPr>
        <w:t>Regulatory Compliance Strategy</w:t>
      </w:r>
    </w:p>
    <w:p>
      <w:pPr>
        <w:pBdr>
          <w:bottom w:val="single" w:sz="4" w:space="3" w:color="C9D3E0"/>
        </w:pBdr>
        <w:tabs>
          <w:tab w:pos="567" w:val="left"/>
        </w:tabs>
        <w:spacing w:after="80"/>
      </w:pPr>
      <w:r>
        <w:rPr>
          <w:b/>
          <w:color w:val="2E75B6"/>
          <w:sz w:val="21"/>
        </w:rPr>
        <w:t>3</w:t>
        <w:tab/>
      </w:r>
      <w:r>
        <w:rPr>
          <w:sz w:val="21"/>
        </w:rPr>
        <w:t>Budget Comparison: Lean vs. Full Scale</w:t>
      </w:r>
    </w:p>
    <w:p>
      <w:pPr>
        <w:pBdr>
          <w:bottom w:val="single" w:sz="4" w:space="3" w:color="C9D3E0"/>
        </w:pBdr>
        <w:tabs>
          <w:tab w:pos="567" w:val="left"/>
        </w:tabs>
        <w:spacing w:after="80"/>
      </w:pPr>
      <w:r>
        <w:rPr>
          <w:b/>
          <w:color w:val="2E75B6"/>
          <w:sz w:val="21"/>
        </w:rPr>
        <w:t>4</w:t>
        <w:tab/>
      </w:r>
      <w:r>
        <w:rPr>
          <w:sz w:val="21"/>
        </w:rPr>
        <w:t>Rollout Timeline &amp; Phased Launch</w:t>
      </w:r>
    </w:p>
    <w:p>
      <w:pPr>
        <w:pBdr>
          <w:bottom w:val="single" w:sz="4" w:space="3" w:color="C9D3E0"/>
        </w:pBdr>
        <w:tabs>
          <w:tab w:pos="567" w:val="left"/>
        </w:tabs>
        <w:spacing w:after="80"/>
      </w:pPr>
      <w:r>
        <w:rPr>
          <w:b/>
          <w:color w:val="2E75B6"/>
          <w:sz w:val="21"/>
        </w:rPr>
        <w:t>5</w:t>
        <w:tab/>
      </w:r>
      <w:r>
        <w:rPr>
          <w:sz w:val="21"/>
        </w:rPr>
        <w:t>Hiring &amp; Resource Plan</w:t>
      </w:r>
    </w:p>
    <w:p>
      <w:pPr>
        <w:pBdr>
          <w:bottom w:val="single" w:sz="4" w:space="3" w:color="C9D3E0"/>
        </w:pBdr>
        <w:tabs>
          <w:tab w:pos="567" w:val="left"/>
        </w:tabs>
        <w:spacing w:after="80"/>
      </w:pPr>
      <w:r>
        <w:rPr>
          <w:b/>
          <w:color w:val="2E75B6"/>
          <w:sz w:val="21"/>
        </w:rPr>
        <w:t>6</w:t>
        <w:tab/>
      </w:r>
      <w:r>
        <w:rPr>
          <w:sz w:val="21"/>
        </w:rPr>
        <w:t>Competitive Positioning</w:t>
      </w:r>
    </w:p>
    <w:p>
      <w:pPr>
        <w:pBdr>
          <w:bottom w:val="single" w:sz="4" w:space="3" w:color="C9D3E0"/>
        </w:pBdr>
        <w:tabs>
          <w:tab w:pos="567" w:val="left"/>
        </w:tabs>
        <w:spacing w:after="80"/>
      </w:pPr>
      <w:r>
        <w:rPr>
          <w:b/>
          <w:color w:val="2E75B6"/>
          <w:sz w:val="21"/>
        </w:rPr>
        <w:t>7</w:t>
        <w:tab/>
      </w:r>
      <w:r>
        <w:rPr>
          <w:sz w:val="21"/>
        </w:rPr>
        <w:t>Assumptions, Decisions &amp; Open Questions</w:t>
      </w:r>
    </w:p>
    <w:p>
      <w:r>
        <w:br w:type="page"/>
      </w:r>
    </w:p>
    <w:p>
      <w:pPr>
        <w:pStyle w:val="Heading1"/>
      </w:pPr>
      <w:r>
        <w:t>1. Executive Summary &amp; Recommendation</w:t>
      </w:r>
    </w:p>
    <w:tbl>
      <w:tblPr>
        <w:tblW w:type="dxa" w:w="9411"/>
        <w:jc w:val="center"/>
        <w:tblLayout w:type="fixed"/>
        <w:tblLook w:firstColumn="1" w:firstRow="1" w:lastColumn="0" w:lastRow="0" w:noHBand="0" w:noVBand="1" w:val="04A0"/>
      </w:tblPr>
      <w:tblGrid>
        <w:gridCol w:w="9411"/>
      </w:tblGrid>
      <w:tr>
        <w:tc>
          <w:tcPr>
            <w:tcW w:type="dxa" w:w="9411"/>
            <w:tcBorders>
              <w:top w:val="nil"/>
              <w:left w:val="single" w:sz="24" w:space="0" w:color="2E75B6"/>
              <w:bottom w:val="nil"/>
              <w:right w:val="nil"/>
            </w:tcBorders>
            <w:shd w:val="clear" w:color="auto" w:fill="EAF2FB"/>
            <w:tcMar>
              <w:top w:w="140" w:type="dxa"/>
              <w:left w:w="220" w:type="dxa"/>
              <w:bottom w:w="140" w:type="dxa"/>
              <w:right w:w="220" w:type="dxa"/>
            </w:tcMar>
          </w:tcPr>
          <w:p>
            <w:pPr>
              <w:spacing w:after="120"/>
            </w:pPr>
            <w:r>
              <w:rPr/>
              <w:t>This briefing seeks Board approval for the European rollout of EuroTech Solutions' AI customer-service chatbot, resolving prior conflicts between Sales' pre-Christmas launch target and Legal's Q2 2027 mandate. We propose a dual-track timeline: a Soft Launch (Beta) on 15 December 2026 to provide early traction for Sales, followed by a hard public launch in Q2 2027 to satisfy Legal's compliance constraints. To support this compliant deployment, we recommend approving the €200,000 'Full Scale' budget rather than the €50,000 'Lean MVP' baseline, as the latter lacks the necessary resources for dedicated EU-hosted infrastructure and specialized compliance staffing required under the EU AI Act's High-Risk Category.</w:t>
            </w:r>
          </w:p>
          <w:p>
            <w:pPr>
              <w:spacing w:after="120"/>
            </w:pPr>
            <w:r>
              <w:rPr/>
              <w:t>The strategy adopts a phased country approach, beginning with Germany and France in April 2027 to address high-volume, strict-regulation markets first, before expanding to the UK and Netherlands in Q3 2027. This approach mitigates regulatory exposure while securing a competitive foothold against US-centric rivals like Zendesk AI and Intercom Fin. Dr. Elena Rossi and Legal Counsel Marcus Weber will oversee execution, ensuring the proprietary LLM wrapper operates exclusively within EU data centers to guarantee full GDPR data residency and High-Risk classification adherence.</w:t>
            </w:r>
          </w:p>
          <w:p>
            <w:pPr>
              <w:spacing w:before="80" w:after="40"/>
            </w:pPr>
            <w:r>
              <w:rPr>
                <w:b/>
                <w:color w:val="2E75B6"/>
                <w:sz w:val="17"/>
              </w:rPr>
              <w:t>KEY POINTS</w:t>
            </w:r>
          </w:p>
          <w:p>
            <w:pPr>
              <w:pStyle w:val="ListBullet"/>
            </w:pPr>
            <w:r>
              <w:rPr>
                <w:b/>
              </w:rPr>
              <w:t>Budget Recommendation:</w:t>
            </w:r>
            <w:r>
              <w:rPr/>
              <w:t xml:space="preserve"> Approve €200,000 Full Scale budget (vs. €50,000 Lean MVP) to fund 40% Tech/Infrastructure, 30% Hiring, 20% Compliance, and 10% Marketing.</w:t>
            </w:r>
          </w:p>
          <w:p>
            <w:pPr>
              <w:pStyle w:val="ListBullet"/>
            </w:pPr>
            <w:r>
              <w:rPr>
                <w:b/>
              </w:rPr>
              <w:t>Timeline Resolution:</w:t>
            </w:r>
            <w:r>
              <w:rPr/>
              <w:t xml:space="preserve"> Soft Launch (Beta) on 15 December 2026 for internal validation; Public Launch (Phase 1) on 1 April 2027 to meet Legal's Q2 2027 hard stop.</w:t>
            </w:r>
          </w:p>
          <w:p>
            <w:pPr>
              <w:pStyle w:val="ListBullet"/>
            </w:pPr>
            <w:r>
              <w:rPr>
                <w:b/>
              </w:rPr>
              <w:t>Market Entry:</w:t>
            </w:r>
            <w:r>
              <w:rPr/>
              <w:t xml:space="preserve"> Phase 1 targets Germany and France (April 2027); Phase 2 targets UK and Netherlands (Q3 2027).</w:t>
            </w:r>
          </w:p>
          <w:p>
            <w:pPr>
              <w:pStyle w:val="ListBullet"/>
            </w:pPr>
            <w:r>
              <w:rPr>
                <w:b/>
              </w:rPr>
              <w:t>Compliance Architecture:</w:t>
            </w:r>
            <w:r>
              <w:rPr/>
              <w:t xml:space="preserve"> Proprietary LLM wrapper hosted exclusively in EU data centers to satisfy GDPR and EU AI Act High-Risk mandates.</w:t>
            </w:r>
          </w:p>
          <w:p>
            <w:pPr>
              <w:pStyle w:val="ListBullet"/>
            </w:pPr>
            <w:r>
              <w:rPr>
                <w:b/>
              </w:rPr>
              <w:t>Resource Plan:</w:t>
            </w:r>
            <w:r>
              <w:rPr/>
              <w:t xml:space="preserve"> Hire 2 Data Engineers, 1 Compliance Officer, and 1 Product Manager under the 30% hiring allocation.</w:t>
            </w:r>
          </w:p>
        </w:tc>
      </w:tr>
    </w:tbl>
    <w:p>
      <w:pPr>
        <w:spacing w:after="40"/>
      </w:pPr>
    </w:p>
    <w:p>
      <w:pPr>
        <w:pStyle w:val="Heading1"/>
      </w:pPr>
      <w:r>
        <w:t>2. Regulatory Compliance Strategy</w:t>
      </w:r>
    </w:p>
    <w:p>
      <w:r>
        <w:rPr/>
        <w:t>EuroTech Solutions will deploy the AI chatbot under the EU AI Act’s High-Risk Category, requiring strict adherence to GDPR and transparency mandates. The proprietary LLM wrapper operates exclusively within EU-hosted data centers, ensuring full data residency and eliminating cross-border transfer risks. This architecture satisfies the General Data Protection Regulation’s storage location requirements while enabling real-time consent management and user rights processing.</w:t>
      </w:r>
    </w:p>
    <w:p>
      <w:r>
        <w:rPr/>
        <w:t>Legal counsel Marcus Weber, supported by a dedicated Compliance Officer, will oversee the High-Risk classification obligations. This includes implementing automated bias detection, human-in-the-loop oversight, and comprehensive documentation of model training data. The €200,000 budget allocation ensures these resources are fully funded, mitigating the significant regulatory and financial exposure associated with non-compliance in the German and French markets.</w:t>
      </w:r>
    </w:p>
    <w:p>
      <w:pPr>
        <w:pStyle w:val="ListBullet"/>
      </w:pPr>
      <w:r>
        <w:rPr>
          <w:b/>
        </w:rPr>
        <w:t xml:space="preserve">GDPR Compliance: </w:t>
      </w:r>
      <w:r>
        <w:rPr/>
        <w:t>EU-only data centers ensure local data residency; automated consent logs track user permissions for all interactions.</w:t>
      </w:r>
    </w:p>
    <w:p>
      <w:pPr>
        <w:pStyle w:val="ListBullet"/>
      </w:pPr>
      <w:r>
        <w:rPr>
          <w:b/>
        </w:rPr>
        <w:t xml:space="preserve">EU AI Act: </w:t>
      </w:r>
      <w:r>
        <w:rPr/>
        <w:t>System classified as High-Risk; mandatory transparency disclosures and human oversight protocols are embedded in the product architecture.</w:t>
      </w:r>
    </w:p>
    <w:p>
      <w:pPr>
        <w:pStyle w:val="ListBullet"/>
      </w:pPr>
      <w:r>
        <w:rPr>
          <w:b/>
        </w:rPr>
        <w:t xml:space="preserve">Resource Allocation: </w:t>
      </w:r>
      <w:r>
        <w:rPr/>
        <w:t>€40,000 (20% of budget) dedicated to legal counsel and compliance staffing, ensuring robust audit readiness for Phase 1 launch.</w:t>
      </w:r>
    </w:p>
    <w:p>
      <w:pPr>
        <w:pStyle w:val="ListBullet"/>
      </w:pPr>
      <w:r>
        <w:rPr>
          <w:b/>
        </w:rPr>
        <w:t xml:space="preserve">Risk Mitigation: </w:t>
      </w:r>
      <w:r>
        <w:rPr/>
        <w:t>The €50,000 Lean option lacks dedicated compliance personnel, creating unacceptable liability risks under the EU AI Act’s enforcement mechanisms.</w:t>
      </w:r>
    </w:p>
    <w:p>
      <w:pPr>
        <w:pStyle w:val="Heading1"/>
      </w:pPr>
      <w:r>
        <w:t>3. Budget Comparison: Lean vs. Full Scale</w:t>
      </w:r>
    </w:p>
    <w:p>
      <w:r>
        <w:rPr/>
        <w:t>The following table contrasts the €50,000 Lean MVP against the recommended €200,000 Full Scale budget. The Lean option allocates funds strictly to immediate technical deployment, leaving critical gaps in compliance infrastructure and specialized staffing. In contrast, the Full Scale budget ensures robust EU-hosted data residency and hires the necessary compliance and engineering talent to meet High-Risk category requirements.</w:t>
      </w:r>
    </w:p>
    <w:p>
      <w:r>
        <w:rPr/>
        <w:t>Dr. Elena Rossi recommends the board approve the €200,000 envelope to mitigate legal exposure. The Lean path is flagged as high-risk because it lacks dedicated compliance staff and forces reliance on non-EU or shared infrastructure, which violates the strict data residency mandates of the EU AI Act and GDPR.</w:t>
      </w:r>
    </w:p>
    <w:p>
      <w:pPr>
        <w:keepNext/>
        <w:spacing w:before="120" w:after="80"/>
      </w:pPr>
      <w:r>
        <w:rPr>
          <w:b/>
          <w:color w:val="1F3A5F"/>
          <w:sz w:val="18"/>
        </w:rPr>
        <w:t xml:space="preserve">Table 1. </w:t>
      </w:r>
      <w:r>
        <w:rPr>
          <w:i/>
          <w:color w:val="6B7280"/>
          <w:sz w:val="18"/>
        </w:rPr>
        <w:t>Budget Comparison: Lean MVP vs. Full Scale</w:t>
      </w:r>
    </w:p>
    <w:tbl>
      <w:tblPr>
        <w:tblW w:type="dxa" w:w="9411"/>
        <w:jc w:val="center"/>
        <w:tblLayout w:type="fixed"/>
        <w:tblLook w:firstColumn="1" w:firstRow="1" w:lastColumn="0" w:lastRow="0" w:noHBand="0" w:noVBand="1" w:val="04A0"/>
      </w:tblPr>
      <w:tblGrid>
        <w:gridCol w:w="2284"/>
        <w:gridCol w:w="1371"/>
        <w:gridCol w:w="1645"/>
        <w:gridCol w:w="4112"/>
      </w:tblGrid>
      <w:tr>
        <w:trPr>
          <w:tblHeader w:val="true"/>
        </w:trPr>
        <w:tc>
          <w:tcPr>
            <w:tcW w:type="dxa" w:w="2284"/>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Category</w:t>
            </w:r>
          </w:p>
        </w:tc>
        <w:tc>
          <w:tcPr>
            <w:tcW w:type="dxa" w:w="1371"/>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Lean MVP (€50k)</w:t>
            </w:r>
          </w:p>
        </w:tc>
        <w:tc>
          <w:tcPr>
            <w:tcW w:type="dxa" w:w="1645"/>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Full Scale (€200k)</w:t>
            </w:r>
          </w:p>
        </w:tc>
        <w:tc>
          <w:tcPr>
            <w:tcW w:type="dxa" w:w="4112"/>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Risk Assessment</w:t>
            </w:r>
          </w:p>
        </w:tc>
      </w:tr>
      <w:tr>
        <w:tc>
          <w:tcPr>
            <w:tcW w:type="dxa" w:w="228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Tech/Infrastructure (40%)</w:t>
            </w:r>
          </w:p>
        </w:tc>
        <w:tc>
          <w:tcPr>
            <w:tcW w:type="dxa" w:w="137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€20,000</w:t>
            </w:r>
          </w:p>
        </w:tc>
        <w:tc>
          <w:tcPr>
            <w:tcW w:type="dxa" w:w="164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€80,000</w:t>
            </w:r>
          </w:p>
        </w:tc>
        <w:tc>
          <w:tcPr>
            <w:tcW w:type="dxa" w:w="411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High Risk: Lean option relies on shared/non-EU cloud instances; Full Scale funds dedicated EU-hosted data centers.</w:t>
            </w:r>
          </w:p>
        </w:tc>
      </w:tr>
      <w:tr>
        <w:tc>
          <w:tcPr>
            <w:tcW w:type="dxa" w:w="228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Hiring (30%)</w:t>
            </w:r>
          </w:p>
        </w:tc>
        <w:tc>
          <w:tcPr>
            <w:tcW w:type="dxa" w:w="137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€15,000</w:t>
            </w:r>
          </w:p>
        </w:tc>
        <w:tc>
          <w:tcPr>
            <w:tcW w:type="dxa" w:w="164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€60,000</w:t>
            </w:r>
          </w:p>
        </w:tc>
        <w:tc>
          <w:tcPr>
            <w:tcW w:type="dxa" w:w="4112"/>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High Risk: Lean option cannot afford 2 Data Engineers or 1 Product Manager; Full Scale covers full team (4 roles).</w:t>
            </w:r>
          </w:p>
        </w:tc>
      </w:tr>
      <w:tr>
        <w:tc>
          <w:tcPr>
            <w:tcW w:type="dxa" w:w="228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Compliance/Legal (20%)</w:t>
            </w:r>
          </w:p>
        </w:tc>
        <w:tc>
          <w:tcPr>
            <w:tcW w:type="dxa" w:w="137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€10,000</w:t>
            </w:r>
          </w:p>
        </w:tc>
        <w:tc>
          <w:tcPr>
            <w:tcW w:type="dxa" w:w="164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jc w:val="right"/>
            </w:pPr>
            <w:r>
              <w:rPr>
                <w:sz w:val="19"/>
              </w:rPr>
              <w:t>€40,000</w:t>
            </w:r>
          </w:p>
        </w:tc>
        <w:tc>
          <w:tcPr>
            <w:tcW w:type="dxa" w:w="4112"/>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Critical Risk: Lean option lacks dedicated Compliance Officer; Full Scale funds Marcus Weber’s team for High-Risk audit.</w:t>
            </w:r>
          </w:p>
        </w:tc>
      </w:tr>
      <w:tr>
        <w:tc>
          <w:tcPr>
            <w:tcW w:type="dxa" w:w="228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Marketing (10%)</w:t>
            </w:r>
          </w:p>
        </w:tc>
        <w:tc>
          <w:tcPr>
            <w:tcW w:type="dxa" w:w="137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€5,000</w:t>
            </w:r>
          </w:p>
        </w:tc>
        <w:tc>
          <w:tcPr>
            <w:tcW w:type="dxa" w:w="164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jc w:val="right"/>
            </w:pPr>
            <w:r>
              <w:rPr>
                <w:sz w:val="19"/>
              </w:rPr>
              <w:t>€20,000</w:t>
            </w:r>
          </w:p>
        </w:tc>
        <w:tc>
          <w:tcPr>
            <w:tcW w:type="dxa" w:w="4112"/>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Medium Risk: Lean option limits beta feedback loop; Full Scale supports structured Phase 1 launch in DE/FR.</w:t>
            </w:r>
          </w:p>
        </w:tc>
      </w:tr>
    </w:tbl>
    <w:p>
      <w:pPr>
        <w:spacing w:after="40"/>
      </w:pPr>
    </w:p>
    <w:p>
      <w:pPr>
        <w:pStyle w:val="Heading1"/>
      </w:pPr>
      <w:r>
        <w:t>4. Rollout Timeline &amp; Phased Launch</w:t>
      </w:r>
    </w:p>
    <w:p>
      <w:r>
        <w:rPr/>
        <w:t>To resolve the conflict between Sales' desire for a pre-Christmas launch and Legal's mandate that no public release occur before Q2 2027, the timeline adopts a dual-track strategy. A Soft Launch (Beta) on 15 December 2026 provides early traction and internal validation without violating the hard stop on public availability. This approach allows Sales to demonstrate capabilities to select partners while Dr. Elena Rossi and Marcus Weber complete final compliance checks required for the EU AI Act High-Risk category.</w:t>
      </w:r>
    </w:p>
    <w:p>
      <w:r>
        <w:rPr/>
        <w:t>The country selection, previously undecided, is now structured into two phases based on market volume and regulatory strictness. Phase 1 targets Germany and France in April 2027, ensuring the highest compliance standards are met first. Phase 2 expands to the UK and Netherlands in Q3 2027, leveraging the operational stability established in the initial market. This phased approach mitigates risk while securing a competitive foothold in key European markets.</w:t>
      </w:r>
    </w:p>
    <w:p>
      <w:pPr>
        <w:keepNext/>
        <w:spacing w:before="120" w:after="80"/>
      </w:pPr>
      <w:r>
        <w:rPr>
          <w:b/>
          <w:color w:val="1F3A5F"/>
          <w:sz w:val="18"/>
        </w:rPr>
        <w:t xml:space="preserve">Table 2. </w:t>
      </w:r>
      <w:r>
        <w:rPr>
          <w:i/>
          <w:color w:val="6B7280"/>
          <w:sz w:val="18"/>
        </w:rPr>
        <w:t>Phased Rollout Timeline and Market Entry</w:t>
      </w:r>
    </w:p>
    <w:tbl>
      <w:tblPr>
        <w:tblW w:type="dxa" w:w="9411"/>
        <w:jc w:val="center"/>
        <w:tblLayout w:type="fixed"/>
        <w:tblLook w:firstColumn="1" w:firstRow="1" w:lastColumn="0" w:lastRow="0" w:noHBand="0" w:noVBand="1" w:val="04A0"/>
      </w:tblPr>
      <w:tblGrid>
        <w:gridCol w:w="2394"/>
        <w:gridCol w:w="1321"/>
        <w:gridCol w:w="1981"/>
        <w:gridCol w:w="3715"/>
      </w:tblGrid>
      <w:tr>
        <w:trPr>
          <w:tblHeader w:val="true"/>
        </w:trPr>
        <w:tc>
          <w:tcPr>
            <w:tcW w:type="dxa" w:w="2394"/>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Phase</w:t>
            </w:r>
          </w:p>
        </w:tc>
        <w:tc>
          <w:tcPr>
            <w:tcW w:type="dxa" w:w="1321"/>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Date</w:t>
            </w:r>
          </w:p>
        </w:tc>
        <w:tc>
          <w:tcPr>
            <w:tcW w:type="dxa" w:w="1981"/>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Scope</w:t>
            </w:r>
          </w:p>
        </w:tc>
        <w:tc>
          <w:tcPr>
            <w:tcW w:type="dxa" w:w="3715"/>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Key Milestone</w:t>
            </w:r>
          </w:p>
        </w:tc>
      </w:tr>
      <w:tr>
        <w:tc>
          <w:tcPr>
            <w:tcW w:type="dxa" w:w="239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Soft Launch (Beta)</w:t>
            </w:r>
          </w:p>
        </w:tc>
        <w:tc>
          <w:tcPr>
            <w:tcW w:type="dxa" w:w="132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15 December 2026</w:t>
            </w:r>
          </w:p>
        </w:tc>
        <w:tc>
          <w:tcPr>
            <w:tcW w:type="dxa" w:w="198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Internal/Select Partners</w:t>
            </w:r>
          </w:p>
        </w:tc>
        <w:tc>
          <w:tcPr>
            <w:tcW w:type="dxa" w:w="371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Satisfies Sales early traction; validates technical stability</w:t>
            </w:r>
          </w:p>
        </w:tc>
      </w:tr>
      <w:tr>
        <w:tc>
          <w:tcPr>
            <w:tcW w:type="dxa" w:w="239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Pre-Launch Compliance Audit</w:t>
            </w:r>
          </w:p>
        </w:tc>
        <w:tc>
          <w:tcPr>
            <w:tcW w:type="dxa" w:w="132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28 February 2027</w:t>
            </w:r>
          </w:p>
        </w:tc>
        <w:tc>
          <w:tcPr>
            <w:tcW w:type="dxa" w:w="198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Germany &amp; France</w:t>
            </w:r>
          </w:p>
        </w:tc>
        <w:tc>
          <w:tcPr>
            <w:tcW w:type="dxa" w:w="371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Final sign-off by Marcus Weber; EU AI Act High-Risk certification</w:t>
            </w:r>
          </w:p>
        </w:tc>
      </w:tr>
      <w:tr>
        <w:tc>
          <w:tcPr>
            <w:tcW w:type="dxa" w:w="239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Public Launch Phase 1</w:t>
            </w:r>
          </w:p>
        </w:tc>
        <w:tc>
          <w:tcPr>
            <w:tcW w:type="dxa" w:w="132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1 April 2027</w:t>
            </w:r>
          </w:p>
        </w:tc>
        <w:tc>
          <w:tcPr>
            <w:tcW w:type="dxa" w:w="198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Germany &amp; France</w:t>
            </w:r>
          </w:p>
        </w:tc>
        <w:tc>
          <w:tcPr>
            <w:tcW w:type="dxa" w:w="371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Meets Legal Q2 2027 constraint; full public availability</w:t>
            </w:r>
          </w:p>
        </w:tc>
      </w:tr>
      <w:tr>
        <w:tc>
          <w:tcPr>
            <w:tcW w:type="dxa" w:w="2394"/>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Phase 1 Review &amp; Optimization</w:t>
            </w:r>
          </w:p>
        </w:tc>
        <w:tc>
          <w:tcPr>
            <w:tcW w:type="dxa" w:w="132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30 June 2027</w:t>
            </w:r>
          </w:p>
        </w:tc>
        <w:tc>
          <w:tcPr>
            <w:tcW w:type="dxa" w:w="198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Germany &amp; France</w:t>
            </w:r>
          </w:p>
        </w:tc>
        <w:tc>
          <w:tcPr>
            <w:tcW w:type="dxa" w:w="3715"/>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Performance review; adjustment of LLM wrapper based on user feedback</w:t>
            </w:r>
          </w:p>
        </w:tc>
      </w:tr>
      <w:tr>
        <w:tc>
          <w:tcPr>
            <w:tcW w:type="dxa" w:w="2394"/>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Public Launch Phase 2</w:t>
            </w:r>
          </w:p>
        </w:tc>
        <w:tc>
          <w:tcPr>
            <w:tcW w:type="dxa" w:w="132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1 September 2027</w:t>
            </w:r>
          </w:p>
        </w:tc>
        <w:tc>
          <w:tcPr>
            <w:tcW w:type="dxa" w:w="198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UK &amp; Netherlands</w:t>
            </w:r>
          </w:p>
        </w:tc>
        <w:tc>
          <w:tcPr>
            <w:tcW w:type="dxa" w:w="3715"/>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Expansion to secondary markets; localization of interface</w:t>
            </w:r>
          </w:p>
        </w:tc>
      </w:tr>
    </w:tbl>
    <w:p>
      <w:pPr>
        <w:spacing w:after="40"/>
      </w:pPr>
    </w:p>
    <w:p>
      <w:pPr>
        <w:pStyle w:val="Heading1"/>
      </w:pPr>
      <w:r>
        <w:t>5. Hiring &amp; Resource Plan</w:t>
      </w:r>
    </w:p>
    <w:p>
      <w:r>
        <w:rPr/>
        <w:t>The €200,000 Full Scale budget allocates 30% to hiring four specialized roles essential for compliant deployment. Dr. Elena Rossi, Project Lead, will oversee execution, while Marcus Weber, Legal Owner, ensures GDPR and EU AI Act adherence. The new hires directly address the resource gaps identified in the Lean MVP, providing the technical and regulatory depth required for high-risk AI classification.</w:t>
      </w:r>
    </w:p>
    <w:p>
      <w:r>
        <w:rPr/>
        <w:t>Two Data Engineers will build and maintain the proprietary LLM wrapper within EU-hosted data centers, ensuring data residency and system performance. A dedicated Compliance Officer will manage ongoing AI Act obligations and audit trails, mitigating legal risks during the phased rollout. Finally, a Product Manager will coordinate the beta and public launch phases, aligning technical delivery with sales targets and customer experience goals.</w:t>
      </w:r>
    </w:p>
    <w:p>
      <w:pPr>
        <w:pStyle w:val="ListBullet"/>
      </w:pPr>
      <w:r>
        <w:rPr>
          <w:b/>
        </w:rPr>
        <w:t xml:space="preserve">Data Engineers (2): </w:t>
      </w:r>
      <w:r>
        <w:rPr/>
        <w:t>Configure and secure the EU-hosted LLM infrastructure for Phase 1 markets.</w:t>
      </w:r>
    </w:p>
    <w:p>
      <w:pPr>
        <w:pStyle w:val="ListBullet"/>
      </w:pPr>
      <w:r>
        <w:rPr>
          <w:b/>
        </w:rPr>
        <w:t xml:space="preserve">Compliance Officer (1): </w:t>
      </w:r>
      <w:r>
        <w:rPr/>
        <w:t>Maintain High-Risk Category documentation and GDPR compliance monitoring.</w:t>
      </w:r>
    </w:p>
    <w:p>
      <w:pPr>
        <w:pStyle w:val="ListBullet"/>
      </w:pPr>
      <w:r>
        <w:rPr>
          <w:b/>
        </w:rPr>
        <w:t xml:space="preserve">Product Manager (1): </w:t>
      </w:r>
      <w:r>
        <w:rPr/>
        <w:t>Drive the 15 December 2026 soft launch and 1 April 2027 public release.</w:t>
      </w:r>
    </w:p>
    <w:p>
      <w:pPr>
        <w:pStyle w:val="ListBullet"/>
      </w:pPr>
      <w:r>
        <w:rPr>
          <w:b/>
        </w:rPr>
        <w:t xml:space="preserve">Existing Leadership: </w:t>
      </w:r>
      <w:r>
        <w:rPr/>
        <w:t>Dr. Elena Rossi (Project Lead) and Marcus Weber (Legal Owner) provide strategic oversight.</w:t>
      </w:r>
    </w:p>
    <w:p>
      <w:pPr>
        <w:pStyle w:val="Heading1"/>
      </w:pPr>
      <w:r>
        <w:t>6. Competitive Positioning</w:t>
      </w:r>
    </w:p>
    <w:p>
      <w:r>
        <w:rPr/>
        <w:t>EuroTech Solutions distinguishes itself from US-centric competitors by embedding native EU compliance directly into its architecture. While Zendesk AI, Intercom Fin, and Drift rely on third-party infrastructure often hosted outside the EU, our proprietary LLM wrapper operates exclusively within EU-hosted data centers. This structural advantage ensures inherent adherence to GDPR data residency requirements and the EU AI Act’s High-Risk Category mandates, eliminating the need for complex legal workarounds or supplemental data processing agreements that typically increase operational overhead for multinational deployments.</w:t>
      </w:r>
    </w:p>
    <w:p>
      <w:r>
        <w:rPr/>
        <w:t>The table below highlights these strategic differentiators. By prioritizing custom LLM integration and local data sovereignty, EuroTech positions the chatbot as a premium, compliant alternative for European markets. This approach mitigates regulatory risk and appeals to enterprise customers in Germany and France who prioritize data security over generic cost-efficiency, allowing us to command a higher service tier while maintaining a robust margin structure.</w:t>
      </w:r>
    </w:p>
    <w:p>
      <w:pPr>
        <w:keepNext/>
        <w:spacing w:before="120" w:after="80"/>
      </w:pPr>
      <w:r>
        <w:rPr>
          <w:b/>
          <w:color w:val="1F3A5F"/>
          <w:sz w:val="18"/>
        </w:rPr>
        <w:t xml:space="preserve">Table 3. </w:t>
      </w:r>
      <w:r>
        <w:rPr>
          <w:i/>
          <w:color w:val="6B7280"/>
          <w:sz w:val="18"/>
        </w:rPr>
        <w:t>Competitive Feature Comparison: EuroTech vs. US-Centric AI Chatbots</w:t>
      </w:r>
    </w:p>
    <w:tbl>
      <w:tblPr>
        <w:tblW w:type="dxa" w:w="9411"/>
        <w:jc w:val="center"/>
        <w:tblLayout w:type="fixed"/>
        <w:tblLook w:firstColumn="1" w:firstRow="1" w:lastColumn="0" w:lastRow="0" w:noHBand="0" w:noVBand="1" w:val="04A0"/>
      </w:tblPr>
      <w:tblGrid>
        <w:gridCol w:w="1656"/>
        <w:gridCol w:w="2259"/>
        <w:gridCol w:w="2108"/>
        <w:gridCol w:w="1581"/>
        <w:gridCol w:w="1807"/>
      </w:tblGrid>
      <w:tr>
        <w:trPr>
          <w:tblHeader w:val="true"/>
        </w:trPr>
        <w:tc>
          <w:tcPr>
            <w:tcW w:type="dxa" w:w="1656"/>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Feature</w:t>
            </w:r>
          </w:p>
        </w:tc>
        <w:tc>
          <w:tcPr>
            <w:tcW w:type="dxa" w:w="2259"/>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EuroTech (Proposed)</w:t>
            </w:r>
          </w:p>
        </w:tc>
        <w:tc>
          <w:tcPr>
            <w:tcW w:type="dxa" w:w="2108"/>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Zendesk AI</w:t>
            </w:r>
          </w:p>
        </w:tc>
        <w:tc>
          <w:tcPr>
            <w:tcW w:type="dxa" w:w="1581"/>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Intercom Fin</w:t>
            </w:r>
          </w:p>
        </w:tc>
        <w:tc>
          <w:tcPr>
            <w:tcW w:type="dxa" w:w="1807"/>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Drift</w:t>
            </w:r>
          </w:p>
        </w:tc>
      </w:tr>
      <w:tr>
        <w:tc>
          <w:tcPr>
            <w:tcW w:type="dxa" w:w="165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EU Data Residency</w:t>
            </w:r>
          </w:p>
        </w:tc>
        <w:tc>
          <w:tcPr>
            <w:tcW w:type="dxa" w:w="225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Native (EU-hosted DCs only)</w:t>
            </w:r>
          </w:p>
        </w:tc>
        <w:tc>
          <w:tcPr>
            <w:tcW w:type="dxa" w:w="210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Optional (US/ EU via add-on)</w:t>
            </w:r>
          </w:p>
        </w:tc>
        <w:tc>
          <w:tcPr>
            <w:tcW w:type="dxa" w:w="158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Partial (US primary)</w:t>
            </w:r>
          </w:p>
        </w:tc>
        <w:tc>
          <w:tcPr>
            <w:tcW w:type="dxa" w:w="180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None (US-based)</w:t>
            </w:r>
          </w:p>
        </w:tc>
      </w:tr>
      <w:tr>
        <w:tc>
          <w:tcPr>
            <w:tcW w:type="dxa" w:w="165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AI Act Compliance</w:t>
            </w:r>
          </w:p>
        </w:tc>
        <w:tc>
          <w:tcPr>
            <w:tcW w:type="dxa" w:w="225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Built-in (High-Risk certified)</w:t>
            </w:r>
          </w:p>
        </w:tc>
        <w:tc>
          <w:tcPr>
            <w:tcW w:type="dxa" w:w="210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Manual (Customer-led)</w:t>
            </w:r>
          </w:p>
        </w:tc>
        <w:tc>
          <w:tcPr>
            <w:tcW w:type="dxa" w:w="158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Manual (Customer-led)</w:t>
            </w:r>
          </w:p>
        </w:tc>
        <w:tc>
          <w:tcPr>
            <w:tcW w:type="dxa" w:w="180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Non-compliant (US focus)</w:t>
            </w:r>
          </w:p>
        </w:tc>
      </w:tr>
      <w:tr>
        <w:tc>
          <w:tcPr>
            <w:tcW w:type="dxa" w:w="165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Custom LLM Integration</w:t>
            </w:r>
          </w:p>
        </w:tc>
        <w:tc>
          <w:tcPr>
            <w:tcW w:type="dxa" w:w="2259"/>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Proprietary Wrapper</w:t>
            </w:r>
          </w:p>
        </w:tc>
        <w:tc>
          <w:tcPr>
            <w:tcW w:type="dxa" w:w="2108"/>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Third-party API</w:t>
            </w:r>
          </w:p>
        </w:tc>
        <w:tc>
          <w:tcPr>
            <w:tcW w:type="dxa" w:w="1581"/>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Third-party API</w:t>
            </w:r>
          </w:p>
        </w:tc>
        <w:tc>
          <w:tcPr>
            <w:tcW w:type="dxa" w:w="1807"/>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Third-party API</w:t>
            </w:r>
          </w:p>
        </w:tc>
      </w:tr>
      <w:tr>
        <w:tc>
          <w:tcPr>
            <w:tcW w:type="dxa" w:w="165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Cost Efficiency</w:t>
            </w:r>
          </w:p>
        </w:tc>
        <w:tc>
          <w:tcPr>
            <w:tcW w:type="dxa" w:w="2259"/>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Premium (Compliance-included)</w:t>
            </w:r>
          </w:p>
        </w:tc>
        <w:tc>
          <w:tcPr>
            <w:tcW w:type="dxa" w:w="2108"/>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Mid-tier (Subscription)</w:t>
            </w:r>
          </w:p>
        </w:tc>
        <w:tc>
          <w:tcPr>
            <w:tcW w:type="dxa" w:w="1581"/>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Mid-tier (Per-seat)</w:t>
            </w:r>
          </w:p>
        </w:tc>
        <w:tc>
          <w:tcPr>
            <w:tcW w:type="dxa" w:w="1807"/>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Low (Entry-level)</w:t>
            </w:r>
          </w:p>
        </w:tc>
      </w:tr>
    </w:tbl>
    <w:p>
      <w:pPr>
        <w:spacing w:after="40"/>
      </w:pPr>
    </w:p>
    <w:p>
      <w:pPr>
        <w:pStyle w:val="Heading1"/>
      </w:pPr>
      <w:r>
        <w:t>7. Assumptions, Decisions &amp; Open Questions</w:t>
      </w:r>
    </w:p>
    <w:p>
      <w:r>
        <w:rPr/>
        <w:t>The request did not specify every detail. To deliver a complete draft without blocking on clarification, the agent made the decisions below. Each should be confirmed with the relevant stakeholder before this document is finalised.</w:t>
      </w:r>
    </w:p>
    <w:p>
      <w:pPr>
        <w:pStyle w:val="Heading2"/>
      </w:pPr>
      <w:r>
        <w:t>Conflicting requirements and how they were resolved</w:t>
      </w:r>
    </w:p>
    <w:p>
      <w:pPr>
        <w:keepNext/>
        <w:spacing w:before="120" w:after="80"/>
      </w:pPr>
      <w:r>
        <w:rPr>
          <w:b/>
          <w:color w:val="1F3A5F"/>
          <w:sz w:val="18"/>
        </w:rPr>
        <w:t xml:space="preserve">Table 4. </w:t>
      </w:r>
      <w:r>
        <w:rPr>
          <w:i/>
          <w:color w:val="6B7280"/>
          <w:sz w:val="18"/>
        </w:rPr>
        <w:t>Conflict resolution log</w:t>
      </w:r>
    </w:p>
    <w:tbl>
      <w:tblPr>
        <w:tblW w:type="dxa" w:w="9411"/>
        <w:jc w:val="center"/>
        <w:tblLayout w:type="fixed"/>
        <w:tblLook w:firstColumn="1" w:firstRow="1" w:lastColumn="0" w:lastRow="0" w:noHBand="0" w:noVBand="1" w:val="04A0"/>
      </w:tblPr>
      <w:tblGrid>
        <w:gridCol w:w="4706"/>
        <w:gridCol w:w="4706"/>
      </w:tblGrid>
      <w:tr>
        <w:trPr>
          <w:tblHeader w:val="true"/>
        </w:trPr>
        <w:tc>
          <w:tcPr>
            <w:tcW w:type="dxa" w:w="4706"/>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Conflict</w:t>
            </w:r>
          </w:p>
        </w:tc>
        <w:tc>
          <w:tcPr>
            <w:tcW w:type="dxa" w:w="4706"/>
            <w:tcBorders>
              <w:top w:val="single" w:sz="4" w:space="0" w:color="1F3A5F"/>
              <w:left w:val="single" w:sz="4" w:space="0" w:color="1F3A5F"/>
              <w:bottom w:val="single" w:sz="4" w:space="0" w:color="1F3A5F"/>
              <w:right w:val="single" w:sz="4" w:space="0" w:color="1F3A5F"/>
            </w:tcBorders>
            <w:shd w:val="clear" w:color="auto" w:fill="1F3A5F"/>
            <w:tcMar>
              <w:top w:w="80" w:type="dxa"/>
              <w:left w:w="120" w:type="dxa"/>
              <w:bottom w:w="80" w:type="dxa"/>
              <w:right w:w="120" w:type="dxa"/>
            </w:tcMar>
            <w:vAlign w:val="center"/>
          </w:tcPr>
          <w:p>
            <w:pPr>
              <w:spacing w:after="0" w:line="252" w:lineRule="auto"/>
            </w:pPr>
            <w:r>
              <w:rPr>
                <w:b/>
                <w:color w:val="FFFFFF"/>
                <w:sz w:val="19"/>
              </w:rPr>
              <w:t>Resolution adopted</w:t>
            </w:r>
          </w:p>
        </w:tc>
      </w:tr>
      <w:tr>
        <w:tc>
          <w:tcPr>
            <w:tcW w:type="dxa" w:w="470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Budget discrepancy: User states €50k, but Finance mentions €200k might be approved.</w:t>
            </w:r>
          </w:p>
        </w:tc>
        <w:tc>
          <w:tcPr>
            <w:tcW w:type="dxa" w:w="470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Present €50k as the 'Lean MVP' baseline and €200k as the 'Full Scale' option, recommending the board approve the €200k envelope to ensure robust compliance and hiring, while noting the €50k path is high-risk.</w:t>
            </w:r>
          </w:p>
        </w:tc>
      </w:tr>
      <w:tr>
        <w:tc>
          <w:tcPr>
            <w:tcW w:type="dxa" w:w="470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Timeline conflict: Sales wants launch before Christmas 2026, Legal says nothing goes live before Q2 2027.</w:t>
            </w:r>
          </w:p>
        </w:tc>
        <w:tc>
          <w:tcPr>
            <w:tcW w:type="dxa" w:w="4706"/>
            <w:tcBorders>
              <w:top w:val="single" w:sz="4" w:space="0" w:color="C9D3E0"/>
              <w:left w:val="single" w:sz="4" w:space="0" w:color="C9D3E0"/>
              <w:bottom w:val="single" w:sz="4" w:space="0" w:color="C9D3E0"/>
              <w:right w:val="single" w:sz="4" w:space="0" w:color="C9D3E0"/>
            </w:tcBorders>
            <w:shd w:val="clear" w:color="auto" w:fill="F3F6FA"/>
            <w:tcMar>
              <w:top w:w="80" w:type="dxa"/>
              <w:left w:w="120" w:type="dxa"/>
              <w:bottom w:w="80" w:type="dxa"/>
              <w:right w:w="120" w:type="dxa"/>
            </w:tcMar>
            <w:vAlign w:val="center"/>
          </w:tcPr>
          <w:p>
            <w:pPr>
              <w:spacing w:after="0" w:line="252" w:lineRule="auto"/>
            </w:pPr>
            <w:r>
              <w:rPr>
                <w:sz w:val="19"/>
              </w:rPr>
              <w:t>Adopt Legal's constraint as the hard stop for public launch. Propose a 'Soft Launch' (internal/beta) in Q4 2026 to satisfy Sales' desire for early traction, with full public launch in Q2 2027.</w:t>
            </w:r>
          </w:p>
        </w:tc>
      </w:tr>
      <w:tr>
        <w:tc>
          <w:tcPr>
            <w:tcW w:type="dxa" w:w="470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Undecided target countries.</w:t>
            </w:r>
          </w:p>
        </w:tc>
        <w:tc>
          <w:tcPr>
            <w:tcW w:type="dxa" w:w="4706"/>
            <w:tcBorders>
              <w:top w:val="single" w:sz="4" w:space="0" w:color="C9D3E0"/>
              <w:left w:val="single" w:sz="4" w:space="0" w:color="C9D3E0"/>
              <w:bottom w:val="single" w:sz="4" w:space="0" w:color="C9D3E0"/>
              <w:right w:val="single" w:sz="4" w:space="0" w:color="C9D3E0"/>
            </w:tcBorders>
            <w:tcMar>
              <w:top w:w="80" w:type="dxa"/>
              <w:left w:w="120" w:type="dxa"/>
              <w:bottom w:w="80" w:type="dxa"/>
              <w:right w:w="120" w:type="dxa"/>
            </w:tcMar>
            <w:vAlign w:val="center"/>
          </w:tcPr>
          <w:p>
            <w:pPr>
              <w:spacing w:after="0" w:line="252" w:lineRule="auto"/>
            </w:pPr>
            <w:r>
              <w:rPr>
                <w:sz w:val="19"/>
              </w:rPr>
              <w:t>Assume a phased approach: Phase 1 (Q2 2027) in Germany and France (high volume, strict compliance), Phase 2 (Q3 2027) in UK and Netherlands.</w:t>
            </w:r>
          </w:p>
        </w:tc>
      </w:tr>
    </w:tbl>
    <w:p>
      <w:pPr>
        <w:spacing w:after="40"/>
      </w:pPr>
    </w:p>
    <w:p>
      <w:pPr>
        <w:pStyle w:val="Heading2"/>
      </w:pPr>
      <w:r>
        <w:t>Assumptions made</w:t>
      </w:r>
    </w:p>
    <w:p>
      <w:pPr>
        <w:pStyle w:val="ListBullet"/>
      </w:pPr>
      <w:r>
        <w:rPr>
          <w:b/>
        </w:rPr>
        <w:t xml:space="preserve">Company Name: </w:t>
      </w:r>
      <w:r>
        <w:rPr/>
        <w:t>'EuroTech Solutions'</w:t>
      </w:r>
    </w:p>
    <w:p>
      <w:pPr>
        <w:pStyle w:val="ListBullet"/>
      </w:pPr>
      <w:r>
        <w:rPr>
          <w:b/>
        </w:rPr>
        <w:t xml:space="preserve">Project Lead: </w:t>
      </w:r>
      <w:r>
        <w:rPr/>
        <w:t>'Dr. Elena Rossi'</w:t>
      </w:r>
    </w:p>
    <w:p>
      <w:pPr>
        <w:pStyle w:val="ListBullet"/>
      </w:pPr>
      <w:r>
        <w:rPr>
          <w:b/>
        </w:rPr>
        <w:t xml:space="preserve">Legal Counsel: </w:t>
      </w:r>
      <w:r>
        <w:rPr/>
        <w:t>'Marcus Weber'</w:t>
      </w:r>
    </w:p>
    <w:p>
      <w:pPr>
        <w:pStyle w:val="ListBullet"/>
      </w:pPr>
      <w:r>
        <w:rPr>
          <w:b/>
        </w:rPr>
        <w:t xml:space="preserve">Sales Director: </w:t>
      </w:r>
      <w:r>
        <w:rPr/>
        <w:t>'Sarah Jenkins'</w:t>
      </w:r>
    </w:p>
    <w:p>
      <w:pPr>
        <w:pStyle w:val="ListBullet"/>
      </w:pPr>
      <w:r>
        <w:rPr>
          <w:b/>
        </w:rPr>
        <w:t xml:space="preserve">Competitors: </w:t>
      </w:r>
      <w:r>
        <w:rPr/>
        <w:t>'Zendesk AI', 'Intercom Fin', 'Drift'</w:t>
      </w:r>
    </w:p>
    <w:p>
      <w:pPr>
        <w:pStyle w:val="ListBullet"/>
      </w:pPr>
      <w:r>
        <w:rPr>
          <w:b/>
        </w:rPr>
        <w:t xml:space="preserve">Hiring Plan: </w:t>
      </w:r>
      <w:r>
        <w:rPr/>
        <w:t>2 Data Engineers, 1 Compliance Officer, 1 Product Manager</w:t>
      </w:r>
    </w:p>
    <w:p>
      <w:pPr>
        <w:pStyle w:val="ListBullet"/>
      </w:pPr>
      <w:r>
        <w:rPr>
          <w:b/>
        </w:rPr>
        <w:t xml:space="preserve">Tech Stack: </w:t>
      </w:r>
      <w:r>
        <w:rPr/>
        <w:t>Proprietary LLM wrapper with EU-hosted data centers</w:t>
      </w:r>
    </w:p>
    <w:p>
      <w:pPr>
        <w:pStyle w:val="Heading2"/>
      </w:pPr>
      <w:r>
        <w:t>Open questions for stakeholders</w:t>
      </w:r>
    </w:p>
    <w:p>
      <w:pPr>
        <w:pStyle w:val="ListBullet"/>
      </w:pPr>
      <w:r>
        <w:rPr/>
        <w:t>Specific company name</w:t>
      </w:r>
    </w:p>
    <w:p>
      <w:pPr>
        <w:pStyle w:val="ListBullet"/>
      </w:pPr>
      <w:r>
        <w:rPr/>
        <w:t>Names of key stakeholders (CEO, Project Lead, Legal Head)</w:t>
      </w:r>
    </w:p>
    <w:p>
      <w:pPr>
        <w:pStyle w:val="ListBullet"/>
      </w:pPr>
      <w:r>
        <w:rPr/>
        <w:t>Specific competitor names for comparison</w:t>
      </w:r>
    </w:p>
    <w:p>
      <w:pPr>
        <w:pStyle w:val="ListBullet"/>
      </w:pPr>
      <w:r>
        <w:rPr/>
        <w:t>Current headcount or hiring budget specifics</w:t>
      </w:r>
    </w:p>
    <w:p>
      <w:pPr>
        <w:pStyle w:val="ListBullet"/>
      </w:pPr>
      <w:r>
        <w:rPr/>
        <w:t>Specific technical stack or vendor details</w:t>
      </w:r>
    </w:p>
    <w:p>
      <w:pPr>
        <w:spacing w:before="480"/>
        <w:jc w:val="center"/>
      </w:pPr>
      <w:r>
        <w:rPr>
          <w:i/>
          <w:color w:val="6B7280"/>
          <w:sz w:val="18"/>
        </w:rPr>
        <w:t>— End of document —</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6B7280"/>
        <w:sz w:val="17"/>
      </w:rPr>
      <w:t>Board Briefing  ·  Confidential — draft for review</w:t>
    </w:r>
    <w:r>
      <w:rPr>
        <w:color w:val="6B7280"/>
        <w:sz w:val="17"/>
      </w:rPr>
      <w:tab/>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3E0"/>
      </w:pBdr>
      <w:jc w:val="right"/>
    </w:pPr>
    <w:r>
      <w:rPr>
        <w:color w:val="6B7280"/>
        <w:sz w:val="17"/>
      </w:rPr>
      <w:t>Strategic Rollout of AI Customer Service Chatbot in Europe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Rollout of AI Customer Service Chatbot in Europe</dc:title>
  <dc:subject>Board Briefing</dc:subject>
  <dc:creator>Autonomous Document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