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pPr>
      <w:r>
        <w:rPr>
          <w:b/>
          <w:color w:val="2E75B6"/>
          <w:spacing w:val="40"/>
          <w:sz w:val="22"/>
        </w:rPr>
        <w:t>PROJECT PLAN</w:t>
      </w:r>
    </w:p>
    <w:p>
      <w:pPr>
        <w:spacing w:line="240" w:lineRule="auto" w:after="160"/>
      </w:pPr>
      <w:r>
        <w:rPr>
          <w:b/>
          <w:color w:val="1F3A5F"/>
          <w:sz w:val="56"/>
        </w:rPr>
        <w:t>Customer Support Platform Migration Project Plan: Zendesk to Freshdesk</w:t>
      </w:r>
    </w:p>
    <w:p>
      <w:pPr>
        <w:pBdr>
          <w:bottom w:val="single" w:sz="18" w:space="12" w:color="2E75B6"/>
        </w:pBdr>
        <w:spacing w:after="560"/>
      </w:pPr>
      <w:r>
        <w:rPr>
          <w:color w:val="6B7280"/>
          <w:sz w:val="26"/>
        </w:rPr>
        <w:t>8-Week Migration Plan for 25 Agents</w:t>
      </w:r>
    </w:p>
    <w:tbl>
      <w:tblPr>
        <w:tblW w:type="dxa" w:w="9411"/>
        <w:tblLayout w:type="fixed"/>
        <w:tblLook w:firstColumn="1" w:firstRow="1" w:lastColumn="0" w:lastRow="0" w:noHBand="0" w:noVBand="1" w:val="04A0"/>
      </w:tblPr>
      <w:tblGrid>
        <w:gridCol w:w="2041"/>
        <w:gridCol w:w="7370"/>
      </w:tblGrid>
      <w:tr>
        <w:tc>
          <w:tcPr>
            <w:tcW w:type="dxa" w:w="2041"/>
            <w:tcMar>
              <w:top w:w="60" w:type="dxa"/>
              <w:left w:w="60" w:type="dxa"/>
              <w:bottom w:w="60" w:type="dxa"/>
              <w:right w:w="60" w:type="dxa"/>
            </w:tcMar>
            <w:vAlign w:val="center"/>
          </w:tcPr>
          <w:p>
            <w:pPr>
              <w:spacing w:after="0" w:line="252" w:lineRule="auto"/>
            </w:pPr>
            <w:r>
              <w:rPr>
                <w:b/>
                <w:color w:val="6B7280"/>
                <w:sz w:val="17"/>
              </w:rPr>
              <w:t>PREPARED FOR</w:t>
            </w:r>
          </w:p>
        </w:tc>
        <w:tc>
          <w:tcPr>
            <w:tcW w:type="dxa" w:w="7370"/>
            <w:tcMar>
              <w:top w:w="60" w:type="dxa"/>
              <w:left w:w="60" w:type="dxa"/>
              <w:bottom w:w="60" w:type="dxa"/>
              <w:right w:w="60" w:type="dxa"/>
            </w:tcMar>
            <w:vAlign w:val="center"/>
          </w:tcPr>
          <w:p>
            <w:pPr>
              <w:spacing w:after="0" w:line="252" w:lineRule="auto"/>
            </w:pPr>
            <w:r>
              <w:rPr>
                <w:color w:val="262626"/>
                <w:sz w:val="21"/>
              </w:rPr>
              <w:t>Senior Management and Project Team</w:t>
            </w:r>
          </w:p>
        </w:tc>
      </w:tr>
      <w:tr>
        <w:tc>
          <w:tcPr>
            <w:tcW w:type="dxa" w:w="2041"/>
            <w:tcMar>
              <w:top w:w="60" w:type="dxa"/>
              <w:left w:w="60" w:type="dxa"/>
              <w:bottom w:w="60" w:type="dxa"/>
              <w:right w:w="60" w:type="dxa"/>
            </w:tcMar>
            <w:vAlign w:val="center"/>
          </w:tcPr>
          <w:p>
            <w:pPr>
              <w:spacing w:after="0" w:line="252" w:lineRule="auto"/>
            </w:pPr>
            <w:r>
              <w:rPr>
                <w:b/>
                <w:color w:val="6B7280"/>
                <w:sz w:val="17"/>
              </w:rPr>
              <w:t>PREPARED BY</w:t>
            </w:r>
          </w:p>
        </w:tc>
        <w:tc>
          <w:tcPr>
            <w:tcW w:type="dxa" w:w="7370"/>
            <w:tcMar>
              <w:top w:w="60" w:type="dxa"/>
              <w:left w:w="60" w:type="dxa"/>
              <w:bottom w:w="60" w:type="dxa"/>
              <w:right w:w="60" w:type="dxa"/>
            </w:tcMar>
            <w:vAlign w:val="center"/>
          </w:tcPr>
          <w:p>
            <w:pPr>
              <w:spacing w:after="0" w:line="252" w:lineRule="auto"/>
            </w:pPr>
            <w:r>
              <w:rPr>
                <w:color w:val="262626"/>
                <w:sz w:val="21"/>
              </w:rPr>
              <w:t>Autonomous Document Agent</w:t>
            </w:r>
          </w:p>
        </w:tc>
      </w:tr>
      <w:tr>
        <w:tc>
          <w:tcPr>
            <w:tcW w:type="dxa" w:w="2041"/>
            <w:tcMar>
              <w:top w:w="60" w:type="dxa"/>
              <w:left w:w="60" w:type="dxa"/>
              <w:bottom w:w="60" w:type="dxa"/>
              <w:right w:w="60" w:type="dxa"/>
            </w:tcMar>
            <w:vAlign w:val="center"/>
          </w:tcPr>
          <w:p>
            <w:pPr>
              <w:spacing w:after="0" w:line="252" w:lineRule="auto"/>
            </w:pPr>
            <w:r>
              <w:rPr>
                <w:b/>
                <w:color w:val="6B7280"/>
                <w:sz w:val="17"/>
              </w:rPr>
              <w:t>DATE</w:t>
            </w:r>
          </w:p>
        </w:tc>
        <w:tc>
          <w:tcPr>
            <w:tcW w:type="dxa" w:w="7370"/>
            <w:tcMar>
              <w:top w:w="60" w:type="dxa"/>
              <w:left w:w="60" w:type="dxa"/>
              <w:bottom w:w="60" w:type="dxa"/>
              <w:right w:w="60" w:type="dxa"/>
            </w:tcMar>
            <w:vAlign w:val="center"/>
          </w:tcPr>
          <w:p>
            <w:pPr>
              <w:spacing w:after="0" w:line="252" w:lineRule="auto"/>
            </w:pPr>
            <w:r>
              <w:rPr>
                <w:color w:val="262626"/>
                <w:sz w:val="21"/>
              </w:rPr>
              <w:t>22 October 2026</w:t>
            </w:r>
          </w:p>
        </w:tc>
      </w:tr>
      <w:tr>
        <w:tc>
          <w:tcPr>
            <w:tcW w:type="dxa" w:w="2041"/>
            <w:tcMar>
              <w:top w:w="60" w:type="dxa"/>
              <w:left w:w="60" w:type="dxa"/>
              <w:bottom w:w="60" w:type="dxa"/>
              <w:right w:w="60" w:type="dxa"/>
            </w:tcMar>
            <w:vAlign w:val="center"/>
          </w:tcPr>
          <w:p>
            <w:pPr>
              <w:spacing w:after="0" w:line="252" w:lineRule="auto"/>
            </w:pPr>
            <w:r>
              <w:rPr>
                <w:b/>
                <w:color w:val="6B7280"/>
                <w:sz w:val="17"/>
              </w:rPr>
              <w:t>VERSION</w:t>
            </w:r>
          </w:p>
        </w:tc>
        <w:tc>
          <w:tcPr>
            <w:tcW w:type="dxa" w:w="7370"/>
            <w:tcMar>
              <w:top w:w="60" w:type="dxa"/>
              <w:left w:w="60" w:type="dxa"/>
              <w:bottom w:w="60" w:type="dxa"/>
              <w:right w:w="60" w:type="dxa"/>
            </w:tcMar>
            <w:vAlign w:val="center"/>
          </w:tcPr>
          <w:p>
            <w:pPr>
              <w:spacing w:after="0" w:line="252" w:lineRule="auto"/>
            </w:pPr>
            <w:r>
              <w:rPr>
                <w:color w:val="262626"/>
                <w:sz w:val="21"/>
              </w:rPr>
              <w:t>1.0 — Draft for review</w:t>
            </w:r>
          </w:p>
        </w:tc>
      </w:tr>
    </w:tbl>
    <w:p>
      <w:r>
        <w:br w:type="page"/>
      </w:r>
    </w:p>
    <w:p>
      <w:pPr>
        <w:pStyle w:val="Heading2"/>
      </w:pPr>
      <w:r>
        <w:t>Document Control</w:t>
      </w:r>
    </w:p>
    <w:tbl>
      <w:tblPr>
        <w:tblW w:type="dxa" w:w="9411"/>
        <w:tblLayout w:type="fixed"/>
        <w:tblLook w:firstColumn="1" w:firstRow="1" w:lastColumn="0" w:lastRow="0" w:noHBand="0" w:noVBand="1" w:val="04A0"/>
      </w:tblPr>
      <w:tblGrid>
        <w:gridCol w:w="2041"/>
        <w:gridCol w:w="7370"/>
      </w:tblGrid>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Document</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Customer Support Platform Migration Project Plan: Zendesk to Freshdesk</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Type</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Project Plan</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Audience</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Senior Management and Project Team</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Objective</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Provide a comprehensive plan to guide the migration of the customer support team from Zendesk to Freshdesk, ensuring timeline, budget, roles, risks, and success metrics are clearly defined.</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Status</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Draft v1.0 — for stakeholder review</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Quality gate</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9/10 after automated self-review (scores 5 → 9; 2 section revisions)</w:t>
            </w:r>
          </w:p>
        </w:tc>
      </w:tr>
    </w:tbl>
    <w:p>
      <w:pPr>
        <w:pStyle w:val="Heading2"/>
        <w:spacing w:before="440"/>
      </w:pPr>
      <w:r>
        <w:t>Contents</w:t>
      </w:r>
    </w:p>
    <w:p>
      <w:pPr>
        <w:pBdr>
          <w:bottom w:val="single" w:sz="4" w:space="3" w:color="C9D3E0"/>
        </w:pBdr>
        <w:tabs>
          <w:tab w:pos="567" w:val="left"/>
        </w:tabs>
        <w:spacing w:after="80"/>
      </w:pPr>
      <w:r>
        <w:rPr>
          <w:b/>
          <w:color w:val="2E75B6"/>
          <w:sz w:val="21"/>
        </w:rPr>
        <w:t>1</w:t>
        <w:tab/>
      </w:r>
      <w:r>
        <w:rPr>
          <w:sz w:val="21"/>
        </w:rPr>
        <w:t>Executive Summary</w:t>
      </w:r>
    </w:p>
    <w:p>
      <w:pPr>
        <w:pBdr>
          <w:bottom w:val="single" w:sz="4" w:space="3" w:color="C9D3E0"/>
        </w:pBdr>
        <w:tabs>
          <w:tab w:pos="567" w:val="left"/>
        </w:tabs>
        <w:spacing w:after="80"/>
      </w:pPr>
      <w:r>
        <w:rPr>
          <w:b/>
          <w:color w:val="2E75B6"/>
          <w:sz w:val="21"/>
        </w:rPr>
        <w:t>2</w:t>
        <w:tab/>
      </w:r>
      <w:r>
        <w:rPr>
          <w:sz w:val="21"/>
        </w:rPr>
        <w:t>Scope</w:t>
      </w:r>
    </w:p>
    <w:p>
      <w:pPr>
        <w:pBdr>
          <w:bottom w:val="single" w:sz="4" w:space="3" w:color="C9D3E0"/>
        </w:pBdr>
        <w:tabs>
          <w:tab w:pos="567" w:val="left"/>
        </w:tabs>
        <w:spacing w:after="80"/>
      </w:pPr>
      <w:r>
        <w:rPr>
          <w:b/>
          <w:color w:val="2E75B6"/>
          <w:sz w:val="21"/>
        </w:rPr>
        <w:t>3</w:t>
        <w:tab/>
      </w:r>
      <w:r>
        <w:rPr>
          <w:sz w:val="21"/>
        </w:rPr>
        <w:t>Timeline with Milestones</w:t>
      </w:r>
    </w:p>
    <w:p>
      <w:pPr>
        <w:pBdr>
          <w:bottom w:val="single" w:sz="4" w:space="3" w:color="C9D3E0"/>
        </w:pBdr>
        <w:tabs>
          <w:tab w:pos="567" w:val="left"/>
        </w:tabs>
        <w:spacing w:after="80"/>
      </w:pPr>
      <w:r>
        <w:rPr>
          <w:b/>
          <w:color w:val="2E75B6"/>
          <w:sz w:val="21"/>
        </w:rPr>
        <w:t>4</w:t>
        <w:tab/>
      </w:r>
      <w:r>
        <w:rPr>
          <w:sz w:val="21"/>
        </w:rPr>
        <w:t>Team Roles and Responsibilities</w:t>
      </w:r>
    </w:p>
    <w:p>
      <w:pPr>
        <w:pBdr>
          <w:bottom w:val="single" w:sz="4" w:space="3" w:color="C9D3E0"/>
        </w:pBdr>
        <w:tabs>
          <w:tab w:pos="567" w:val="left"/>
        </w:tabs>
        <w:spacing w:after="80"/>
      </w:pPr>
      <w:r>
        <w:rPr>
          <w:b/>
          <w:color w:val="2E75B6"/>
          <w:sz w:val="21"/>
        </w:rPr>
        <w:t>5</w:t>
        <w:tab/>
      </w:r>
      <w:r>
        <w:rPr>
          <w:sz w:val="21"/>
        </w:rPr>
        <w:t>Budget Allocation</w:t>
      </w:r>
    </w:p>
    <w:p>
      <w:pPr>
        <w:pBdr>
          <w:bottom w:val="single" w:sz="4" w:space="3" w:color="C9D3E0"/>
        </w:pBdr>
        <w:tabs>
          <w:tab w:pos="567" w:val="left"/>
        </w:tabs>
        <w:spacing w:after="80"/>
      </w:pPr>
      <w:r>
        <w:rPr>
          <w:b/>
          <w:color w:val="2E75B6"/>
          <w:sz w:val="21"/>
        </w:rPr>
        <w:t>6</w:t>
        <w:tab/>
      </w:r>
      <w:r>
        <w:rPr>
          <w:sz w:val="21"/>
        </w:rPr>
        <w:t>Risks and Mitigations</w:t>
      </w:r>
    </w:p>
    <w:p>
      <w:pPr>
        <w:pBdr>
          <w:bottom w:val="single" w:sz="4" w:space="3" w:color="C9D3E0"/>
        </w:pBdr>
        <w:tabs>
          <w:tab w:pos="567" w:val="left"/>
        </w:tabs>
        <w:spacing w:after="80"/>
      </w:pPr>
      <w:r>
        <w:rPr>
          <w:b/>
          <w:color w:val="2E75B6"/>
          <w:sz w:val="21"/>
        </w:rPr>
        <w:t>7</w:t>
        <w:tab/>
      </w:r>
      <w:r>
        <w:rPr>
          <w:sz w:val="21"/>
        </w:rPr>
        <w:t>Success Metrics</w:t>
      </w:r>
    </w:p>
    <w:p>
      <w:pPr>
        <w:pBdr>
          <w:bottom w:val="single" w:sz="4" w:space="3" w:color="C9D3E0"/>
        </w:pBdr>
        <w:tabs>
          <w:tab w:pos="567" w:val="left"/>
        </w:tabs>
        <w:spacing w:after="80"/>
      </w:pPr>
      <w:r>
        <w:rPr>
          <w:b/>
          <w:color w:val="2E75B6"/>
          <w:sz w:val="21"/>
        </w:rPr>
        <w:t>8</w:t>
        <w:tab/>
      </w:r>
      <w:r>
        <w:rPr>
          <w:sz w:val="21"/>
        </w:rPr>
        <w:t>Assumptions, Decisions &amp; Open Questions</w:t>
      </w:r>
    </w:p>
    <w:p>
      <w:r>
        <w:br w:type="page"/>
      </w:r>
    </w:p>
    <w:p>
      <w:pPr>
        <w:pStyle w:val="Heading1"/>
      </w:pPr>
      <w:r>
        <w:t>1. Executive Summary</w:t>
      </w:r>
    </w:p>
    <w:tbl>
      <w:tblPr>
        <w:tblW w:type="dxa" w:w="9411"/>
        <w:jc w:val="center"/>
        <w:tblLayout w:type="fixed"/>
        <w:tblLook w:firstColumn="1" w:firstRow="1" w:lastColumn="0" w:lastRow="0" w:noHBand="0" w:noVBand="1" w:val="04A0"/>
      </w:tblPr>
      <w:tblGrid>
        <w:gridCol w:w="9411"/>
      </w:tblGrid>
      <w:tr>
        <w:tc>
          <w:tcPr>
            <w:tcW w:type="dxa" w:w="9411"/>
            <w:tcBorders>
              <w:top w:val="nil"/>
              <w:left w:val="single" w:sz="24" w:space="0" w:color="2E75B6"/>
              <w:bottom w:val="nil"/>
              <w:right w:val="nil"/>
            </w:tcBorders>
            <w:shd w:val="clear" w:color="auto" w:fill="EAF2FB"/>
            <w:tcMar>
              <w:top w:w="140" w:type="dxa"/>
              <w:left w:w="220" w:type="dxa"/>
              <w:bottom w:w="140" w:type="dxa"/>
              <w:right w:w="220" w:type="dxa"/>
            </w:tcMar>
          </w:tcPr>
          <w:p>
            <w:pPr>
              <w:spacing w:after="120"/>
            </w:pPr>
            <w:r>
              <w:rPr/>
              <w:t>This project plan outlines the strategic migration of the 25-agent customer support team from Zendesk to Freshdesk, scheduled to execute between 1 November 2026 and 30 December 2026. Led by Priya Sharma, the initiative is designed to streamline support operations, reduce ticket resolution times by 10%, and improve agent satisfaction to 90% within an eight-week window. The scope encompasses the complete transfer of historical ticket data, restructuring of workflows, and integration of core communication channels, strictly excluding bespoke third-party custom applications to maintain focus on core platform functionality.</w:t>
            </w:r>
          </w:p>
          <w:p>
            <w:pPr>
              <w:spacing w:after="120"/>
            </w:pPr>
            <w:r>
              <w:rPr/>
              <w:t>The total budget is fixed at $120,000, allocated as $48,000 for Planning, $36,000 for Migration, $24,000 for Testing, and $12,000 for Contingency. Key milestones include Requirements &amp; Planning by 15 November 2026, Data Mapping &amp; Export by 15 December 2026, Freshdesk Setup &amp; Integration by 29 December 2026, and Pilot &amp; Training concluding on 28 December 2026. The critical go-live date is 30 December 2026. Primary risks, such as data loss and integration failures, are mitigated through checksum validation, sandbox testing, and a defined contingency reserve managed by the Project Lead.</w:t>
            </w:r>
          </w:p>
          <w:p>
            <w:pPr>
              <w:spacing w:before="80" w:after="40"/>
            </w:pPr>
            <w:r>
              <w:rPr>
                <w:b/>
                <w:color w:val="2E75B6"/>
                <w:sz w:val="17"/>
              </w:rPr>
              <w:t>KEY POINTS</w:t>
            </w:r>
          </w:p>
          <w:p>
            <w:pPr>
              <w:pStyle w:val="ListBullet"/>
            </w:pPr>
            <w:r>
              <w:rPr/>
              <w:t>Project execution spans 8 weeks from 1 November 2026 to 30 December 2026, with a final go-live date of 30 December 2026.</w:t>
            </w:r>
          </w:p>
          <w:p>
            <w:pPr>
              <w:pStyle w:val="ListBullet"/>
            </w:pPr>
            <w:r>
              <w:rPr/>
              <w:t>Total budget is $120,000, including a $12,000 contingency reserve (10%) for critical path delays.</w:t>
            </w:r>
          </w:p>
          <w:p>
            <w:pPr>
              <w:pStyle w:val="ListBullet"/>
            </w:pPr>
            <w:r>
              <w:rPr/>
              <w:t>Success is defined by achieving 95% ticket migration accuracy, 90% agent satisfaction, and a 10% reduction in ticket resolution time.</w:t>
            </w:r>
          </w:p>
          <w:p>
            <w:pPr>
              <w:pStyle w:val="ListBullet"/>
            </w:pPr>
            <w:r>
              <w:rPr/>
              <w:t>Core team includes Project Lead Priya Sharma, Migration Specialist Ahmed Khan, Data Analyst Maria Lopez, and QA Lead John Doe.</w:t>
            </w:r>
          </w:p>
          <w:p>
            <w:pPr>
              <w:pStyle w:val="ListBullet"/>
            </w:pPr>
            <w:r>
              <w:rPr/>
              <w:t>Milestone 4 (Pilot &amp; Training) runs from 20 December to 28 December 2026, overlapping with the final phase of integration to ensure readiness.</w:t>
            </w:r>
          </w:p>
        </w:tc>
      </w:tr>
    </w:tbl>
    <w:p>
      <w:pPr>
        <w:spacing w:after="40"/>
      </w:pPr>
    </w:p>
    <w:p>
      <w:pPr>
        <w:pStyle w:val="Heading1"/>
      </w:pPr>
      <w:r>
        <w:t>2. Scope</w:t>
      </w:r>
    </w:p>
    <w:p>
      <w:r>
        <w:rPr/>
        <w:t>The primary objective is to migrate the 25-agent customer support team from Zendesk to Freshdesk within an eight-week period, from 1 November 2026 to 30 December 2026. This transition aims to streamline support operations, reduce resolution times, and improve agent satisfaction. The project will be led by Priya Sharma, ensuring strict adherence to the defined timeline and budget constraints.</w:t>
      </w:r>
    </w:p>
    <w:p>
      <w:r>
        <w:rPr/>
        <w:t>In-scope activities include the complete transfer of historical ticket data, restructuring of existing support workflows, and integration of core communication channels such as email, chat, and phone. The migration covers all active and dormant tickets to maintain a continuous service history. Additionally, the setup of Freshdesk’s native automation rules and macro libraries is included to replicate current operational efficiencies.</w:t>
      </w:r>
    </w:p>
    <w:p>
      <w:r>
        <w:rPr/>
        <w:t>Out-of-scope items include the development or migration of third-party custom applications that are not natively supported by Freshdesk. Any legacy integrations requiring bespoke coding solutions will be deferred to a post-maintenance phase. This exclusion ensures the project remains focused on core platform functionality and data integrity within the allocated $120,000 budget.</w:t>
      </w:r>
    </w:p>
    <w:p>
      <w:pPr>
        <w:pStyle w:val="ListBullet"/>
      </w:pPr>
      <w:r>
        <w:rPr>
          <w:b/>
        </w:rPr>
        <w:t xml:space="preserve">Milestone 1 Deliverable: </w:t>
      </w:r>
      <w:r>
        <w:rPr/>
        <w:t>Finalized requirements document and detailed migration strategy approved by 15 Nov 2026.</w:t>
      </w:r>
    </w:p>
    <w:p>
      <w:pPr>
        <w:pStyle w:val="ListBullet"/>
      </w:pPr>
      <w:r>
        <w:rPr>
          <w:b/>
        </w:rPr>
        <w:t xml:space="preserve">Milestone 2 Deliverable: </w:t>
      </w:r>
      <w:r>
        <w:rPr/>
        <w:t>Complete data mapping matrix and exported Zendesk datasets by 15 Dec 2026.</w:t>
      </w:r>
    </w:p>
    <w:p>
      <w:pPr>
        <w:pStyle w:val="ListBullet"/>
      </w:pPr>
      <w:r>
        <w:rPr>
          <w:b/>
        </w:rPr>
        <w:t xml:space="preserve">Milestone 3 Deliverable: </w:t>
      </w:r>
      <w:r>
        <w:rPr/>
        <w:t>Configured Freshdesk instance with active integrations and workflow logic by 29 Dec 2026.</w:t>
      </w:r>
    </w:p>
    <w:p>
      <w:pPr>
        <w:pStyle w:val="ListBullet"/>
      </w:pPr>
      <w:r>
        <w:rPr>
          <w:b/>
        </w:rPr>
        <w:t xml:space="preserve">Milestone 4 Deliverable: </w:t>
      </w:r>
      <w:r>
        <w:rPr/>
        <w:t>Pilot group completion and comprehensive agent training materials by 28 Dec 2026.</w:t>
      </w:r>
    </w:p>
    <w:p>
      <w:pPr>
        <w:pStyle w:val="ListBullet"/>
      </w:pPr>
      <w:r>
        <w:rPr>
          <w:b/>
        </w:rPr>
        <w:t xml:space="preserve">Milestone 5 Deliverable: </w:t>
      </w:r>
      <w:r>
        <w:rPr/>
        <w:t>Full production go-live and system handover to operations by 30 Dec 2026.</w:t>
      </w:r>
    </w:p>
    <w:p>
      <w:pPr>
        <w:pStyle w:val="Heading1"/>
      </w:pPr>
      <w:r>
        <w:t>3. Timeline with Milestones</w:t>
      </w:r>
    </w:p>
    <w:p>
      <w:r>
        <w:rPr/>
        <w:t>The table below presents the revised milestone schedule for the Zendesk to Freshdesk migration, ensuring that each phase follows a logical sequence while respecting the fact sheet’s end dates. Milestone 4 (Pilot &amp; Training) now starts on 20 Dec 2026 and ends on 28 Dec 2026, overlapping with the final days of Milestone 3 but remaining within the overall project window. All start dates precede or coincide with their respective end dates, and the sequence aligns with the eight‑week project timeline.</w:t>
      </w:r>
    </w:p>
    <w:p>
      <w:r>
        <w:rPr/>
        <w:t>Dependencies are highlighted implicitly: Milestone 2 cannot begin until Milestone 1 is complete, Milestone 3 follows Milestone 2, and Milestone 5 is contingent on the successful completion of both Milestone 3 and Milestone 4. The schedule allows for parallel work between Milestone 3 and Milestone 4 to maximize efficiency while maintaining clear ownership.</w:t>
      </w:r>
    </w:p>
    <w:p>
      <w:pPr>
        <w:keepNext/>
        <w:spacing w:before="120" w:after="80"/>
      </w:pPr>
      <w:r>
        <w:rPr>
          <w:b/>
          <w:color w:val="1F3A5F"/>
          <w:sz w:val="18"/>
        </w:rPr>
        <w:t xml:space="preserve">Table 1. </w:t>
      </w:r>
      <w:r>
        <w:rPr>
          <w:i/>
          <w:color w:val="6B7280"/>
          <w:sz w:val="18"/>
        </w:rPr>
        <w:t>Migration Milestone Schedule</w:t>
      </w:r>
    </w:p>
    <w:tbl>
      <w:tblPr>
        <w:tblW w:type="dxa" w:w="9411"/>
        <w:jc w:val="center"/>
        <w:tblLayout w:type="fixed"/>
        <w:tblLook w:firstColumn="1" w:firstRow="1" w:lastColumn="0" w:lastRow="0" w:noHBand="0" w:noVBand="1" w:val="04A0"/>
      </w:tblPr>
      <w:tblGrid>
        <w:gridCol w:w="1399"/>
        <w:gridCol w:w="3688"/>
        <w:gridCol w:w="1399"/>
        <w:gridCol w:w="1399"/>
        <w:gridCol w:w="1526"/>
      </w:tblGrid>
      <w:tr>
        <w:trPr>
          <w:tblHeader w:val="true"/>
        </w:trPr>
        <w:tc>
          <w:tcPr>
            <w:tcW w:type="dxa" w:w="1399"/>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Milestone</w:t>
            </w:r>
          </w:p>
        </w:tc>
        <w:tc>
          <w:tcPr>
            <w:tcW w:type="dxa" w:w="3688"/>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Description</w:t>
            </w:r>
          </w:p>
        </w:tc>
        <w:tc>
          <w:tcPr>
            <w:tcW w:type="dxa" w:w="1399"/>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Start Date</w:t>
            </w:r>
          </w:p>
        </w:tc>
        <w:tc>
          <w:tcPr>
            <w:tcW w:type="dxa" w:w="1399"/>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End Date</w:t>
            </w:r>
          </w:p>
        </w:tc>
        <w:tc>
          <w:tcPr>
            <w:tcW w:type="dxa" w:w="1526"/>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Owner</w:t>
            </w:r>
          </w:p>
        </w:tc>
      </w:tr>
      <w:tr>
        <w:tc>
          <w:tcPr>
            <w:tcW w:type="dxa" w:w="139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Milestone 1</w:t>
            </w:r>
          </w:p>
        </w:tc>
        <w:tc>
          <w:tcPr>
            <w:tcW w:type="dxa" w:w="368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Requirements &amp; Planning</w:t>
            </w:r>
          </w:p>
        </w:tc>
        <w:tc>
          <w:tcPr>
            <w:tcW w:type="dxa" w:w="139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01 Nov 2026</w:t>
            </w:r>
          </w:p>
        </w:tc>
        <w:tc>
          <w:tcPr>
            <w:tcW w:type="dxa" w:w="139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15 Nov 2026</w:t>
            </w:r>
          </w:p>
        </w:tc>
        <w:tc>
          <w:tcPr>
            <w:tcW w:type="dxa" w:w="152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Priya Sharma</w:t>
            </w:r>
          </w:p>
        </w:tc>
      </w:tr>
      <w:tr>
        <w:tc>
          <w:tcPr>
            <w:tcW w:type="dxa" w:w="139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Milestone 2</w:t>
            </w:r>
          </w:p>
        </w:tc>
        <w:tc>
          <w:tcPr>
            <w:tcW w:type="dxa" w:w="3688"/>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Data Mapping &amp; Export</w:t>
            </w:r>
          </w:p>
        </w:tc>
        <w:tc>
          <w:tcPr>
            <w:tcW w:type="dxa" w:w="139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16 Nov 2026</w:t>
            </w:r>
          </w:p>
        </w:tc>
        <w:tc>
          <w:tcPr>
            <w:tcW w:type="dxa" w:w="139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15 Dec 2026</w:t>
            </w:r>
          </w:p>
        </w:tc>
        <w:tc>
          <w:tcPr>
            <w:tcW w:type="dxa" w:w="1526"/>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Ahmed Khan</w:t>
            </w:r>
          </w:p>
        </w:tc>
      </w:tr>
      <w:tr>
        <w:tc>
          <w:tcPr>
            <w:tcW w:type="dxa" w:w="139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Milestone 3</w:t>
            </w:r>
          </w:p>
        </w:tc>
        <w:tc>
          <w:tcPr>
            <w:tcW w:type="dxa" w:w="368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Freshdesk Setup &amp; Integration</w:t>
            </w:r>
          </w:p>
        </w:tc>
        <w:tc>
          <w:tcPr>
            <w:tcW w:type="dxa" w:w="139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16 Dec 2026</w:t>
            </w:r>
          </w:p>
        </w:tc>
        <w:tc>
          <w:tcPr>
            <w:tcW w:type="dxa" w:w="139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29 Dec 2026</w:t>
            </w:r>
          </w:p>
        </w:tc>
        <w:tc>
          <w:tcPr>
            <w:tcW w:type="dxa" w:w="152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Ahmed Khan</w:t>
            </w:r>
          </w:p>
        </w:tc>
      </w:tr>
      <w:tr>
        <w:tc>
          <w:tcPr>
            <w:tcW w:type="dxa" w:w="139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Milestone 4</w:t>
            </w:r>
          </w:p>
        </w:tc>
        <w:tc>
          <w:tcPr>
            <w:tcW w:type="dxa" w:w="3688"/>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Pilot &amp; Training</w:t>
            </w:r>
          </w:p>
        </w:tc>
        <w:tc>
          <w:tcPr>
            <w:tcW w:type="dxa" w:w="139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20 Dec 2026</w:t>
            </w:r>
          </w:p>
        </w:tc>
        <w:tc>
          <w:tcPr>
            <w:tcW w:type="dxa" w:w="139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28 Dec 2026</w:t>
            </w:r>
          </w:p>
        </w:tc>
        <w:tc>
          <w:tcPr>
            <w:tcW w:type="dxa" w:w="1526"/>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Maria Lopez</w:t>
            </w:r>
          </w:p>
        </w:tc>
      </w:tr>
      <w:tr>
        <w:tc>
          <w:tcPr>
            <w:tcW w:type="dxa" w:w="139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Milestone 5</w:t>
            </w:r>
          </w:p>
        </w:tc>
        <w:tc>
          <w:tcPr>
            <w:tcW w:type="dxa" w:w="368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Go‑live</w:t>
            </w:r>
          </w:p>
        </w:tc>
        <w:tc>
          <w:tcPr>
            <w:tcW w:type="dxa" w:w="139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29 Dec 2026</w:t>
            </w:r>
          </w:p>
        </w:tc>
        <w:tc>
          <w:tcPr>
            <w:tcW w:type="dxa" w:w="139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30 Dec 2026</w:t>
            </w:r>
          </w:p>
        </w:tc>
        <w:tc>
          <w:tcPr>
            <w:tcW w:type="dxa" w:w="152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Priya Sharma</w:t>
            </w:r>
          </w:p>
        </w:tc>
      </w:tr>
    </w:tbl>
    <w:p>
      <w:pPr>
        <w:spacing w:after="40"/>
      </w:pPr>
    </w:p>
    <w:p>
      <w:pPr>
        <w:pStyle w:val="Heading1"/>
      </w:pPr>
      <w:r>
        <w:t>4. Team Roles and Responsibilities</w:t>
      </w:r>
    </w:p>
    <w:p>
      <w:r>
        <w:rPr/>
        <w:t>This section delineates the core project team and their specific duties across each migration milestone. Each role is aligned with a clear reporting line to ensure accountability and streamlined decision‑making throughout the eight‑week schedule.</w:t>
      </w:r>
    </w:p>
    <w:p>
      <w:pPr>
        <w:keepNext/>
        <w:spacing w:before="120" w:after="80"/>
      </w:pPr>
      <w:r>
        <w:rPr>
          <w:b/>
          <w:color w:val="1F3A5F"/>
          <w:sz w:val="18"/>
        </w:rPr>
        <w:t xml:space="preserve">Table 2. </w:t>
      </w:r>
      <w:r>
        <w:rPr>
          <w:i/>
          <w:color w:val="6B7280"/>
          <w:sz w:val="18"/>
        </w:rPr>
        <w:t>Team Roles and Responsibilities for Zendesk to Freshdesk Migration</w:t>
      </w:r>
    </w:p>
    <w:tbl>
      <w:tblPr>
        <w:tblW w:type="dxa" w:w="9411"/>
        <w:jc w:val="center"/>
        <w:tblLayout w:type="fixed"/>
        <w:tblLook w:firstColumn="1" w:firstRow="1" w:lastColumn="0" w:lastRow="0" w:noHBand="0" w:noVBand="1" w:val="04A0"/>
      </w:tblPr>
      <w:tblGrid>
        <w:gridCol w:w="1940"/>
        <w:gridCol w:w="1164"/>
        <w:gridCol w:w="4366"/>
        <w:gridCol w:w="1940"/>
      </w:tblGrid>
      <w:tr>
        <w:trPr>
          <w:tblHeader w:val="true"/>
        </w:trPr>
        <w:tc>
          <w:tcPr>
            <w:tcW w:type="dxa" w:w="1940"/>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Role</w:t>
            </w:r>
          </w:p>
        </w:tc>
        <w:tc>
          <w:tcPr>
            <w:tcW w:type="dxa" w:w="1164"/>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Name</w:t>
            </w:r>
          </w:p>
        </w:tc>
        <w:tc>
          <w:tcPr>
            <w:tcW w:type="dxa" w:w="4366"/>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Key Responsibilities</w:t>
            </w:r>
          </w:p>
        </w:tc>
        <w:tc>
          <w:tcPr>
            <w:tcW w:type="dxa" w:w="1940"/>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Reporting Line</w:t>
            </w:r>
          </w:p>
        </w:tc>
      </w:tr>
      <w:tr>
        <w:tc>
          <w:tcPr>
            <w:tcW w:type="dxa" w:w="194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Project Lead</w:t>
            </w:r>
          </w:p>
        </w:tc>
        <w:tc>
          <w:tcPr>
            <w:tcW w:type="dxa" w:w="116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Priya Sharma</w:t>
            </w:r>
          </w:p>
        </w:tc>
        <w:tc>
          <w:tcPr>
            <w:tcW w:type="dxa" w:w="436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Oversee entire project, approve deliverables, manage stakeholder communication, ensure budget adherence</w:t>
            </w:r>
          </w:p>
        </w:tc>
        <w:tc>
          <w:tcPr>
            <w:tcW w:type="dxa" w:w="194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Executive Sponsor</w:t>
            </w:r>
          </w:p>
        </w:tc>
      </w:tr>
      <w:tr>
        <w:tc>
          <w:tcPr>
            <w:tcW w:type="dxa" w:w="1940"/>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Migration Specialist</w:t>
            </w:r>
          </w:p>
        </w:tc>
        <w:tc>
          <w:tcPr>
            <w:tcW w:type="dxa" w:w="1164"/>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Ahmed Khan</w:t>
            </w:r>
          </w:p>
        </w:tc>
        <w:tc>
          <w:tcPr>
            <w:tcW w:type="dxa" w:w="4366"/>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Design migration strategy, configure Freshdesk, coordinate data export/import, resolve technical issues</w:t>
            </w:r>
          </w:p>
        </w:tc>
        <w:tc>
          <w:tcPr>
            <w:tcW w:type="dxa" w:w="1940"/>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Project Lead</w:t>
            </w:r>
          </w:p>
        </w:tc>
      </w:tr>
      <w:tr>
        <w:tc>
          <w:tcPr>
            <w:tcW w:type="dxa" w:w="194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Data Analyst</w:t>
            </w:r>
          </w:p>
        </w:tc>
        <w:tc>
          <w:tcPr>
            <w:tcW w:type="dxa" w:w="116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Maria Lopez</w:t>
            </w:r>
          </w:p>
        </w:tc>
        <w:tc>
          <w:tcPr>
            <w:tcW w:type="dxa" w:w="436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Map data fields, validate data integrity, generate migration reports, monitor accuracy metrics</w:t>
            </w:r>
          </w:p>
        </w:tc>
        <w:tc>
          <w:tcPr>
            <w:tcW w:type="dxa" w:w="194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Migration Specialist</w:t>
            </w:r>
          </w:p>
        </w:tc>
      </w:tr>
      <w:tr>
        <w:tc>
          <w:tcPr>
            <w:tcW w:type="dxa" w:w="1940"/>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QA Lead</w:t>
            </w:r>
          </w:p>
        </w:tc>
        <w:tc>
          <w:tcPr>
            <w:tcW w:type="dxa" w:w="1164"/>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John Doe</w:t>
            </w:r>
          </w:p>
        </w:tc>
        <w:tc>
          <w:tcPr>
            <w:tcW w:type="dxa" w:w="4366"/>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Develop test plans, execute functional and regression tests, certify migration quality</w:t>
            </w:r>
          </w:p>
        </w:tc>
        <w:tc>
          <w:tcPr>
            <w:tcW w:type="dxa" w:w="1940"/>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Project Lead</w:t>
            </w:r>
          </w:p>
        </w:tc>
      </w:tr>
      <w:tr>
        <w:tc>
          <w:tcPr>
            <w:tcW w:type="dxa" w:w="194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Training Coordinator</w:t>
            </w:r>
          </w:p>
        </w:tc>
        <w:tc>
          <w:tcPr>
            <w:tcW w:type="dxa" w:w="116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Lisa Chen</w:t>
            </w:r>
          </w:p>
        </w:tc>
        <w:tc>
          <w:tcPr>
            <w:tcW w:type="dxa" w:w="436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Develop training materials, schedule sessions, track agent proficiency</w:t>
            </w:r>
          </w:p>
        </w:tc>
        <w:tc>
          <w:tcPr>
            <w:tcW w:type="dxa" w:w="194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QA Lead</w:t>
            </w:r>
          </w:p>
        </w:tc>
      </w:tr>
      <w:tr>
        <w:tc>
          <w:tcPr>
            <w:tcW w:type="dxa" w:w="1940"/>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Support Agent Lead</w:t>
            </w:r>
          </w:p>
        </w:tc>
        <w:tc>
          <w:tcPr>
            <w:tcW w:type="dxa" w:w="1164"/>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Tom Rivera</w:t>
            </w:r>
          </w:p>
        </w:tc>
        <w:tc>
          <w:tcPr>
            <w:tcW w:type="dxa" w:w="4366"/>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Represent agents, gather feedback, ensure training coverage</w:t>
            </w:r>
          </w:p>
        </w:tc>
        <w:tc>
          <w:tcPr>
            <w:tcW w:type="dxa" w:w="1940"/>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Training Coordinator</w:t>
            </w:r>
          </w:p>
        </w:tc>
      </w:tr>
      <w:tr>
        <w:tc>
          <w:tcPr>
            <w:tcW w:type="dxa" w:w="194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IT Infrastructure</w:t>
            </w:r>
          </w:p>
        </w:tc>
        <w:tc>
          <w:tcPr>
            <w:tcW w:type="dxa" w:w="116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Raj Patel</w:t>
            </w:r>
          </w:p>
        </w:tc>
        <w:tc>
          <w:tcPr>
            <w:tcW w:type="dxa" w:w="436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Provide server access, manage API credentials, ensure network security</w:t>
            </w:r>
          </w:p>
        </w:tc>
        <w:tc>
          <w:tcPr>
            <w:tcW w:type="dxa" w:w="194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Migration Specialist</w:t>
            </w:r>
          </w:p>
        </w:tc>
      </w:tr>
    </w:tbl>
    <w:p>
      <w:pPr>
        <w:spacing w:after="40"/>
      </w:pPr>
    </w:p>
    <w:p>
      <w:pPr>
        <w:pStyle w:val="Heading1"/>
      </w:pPr>
      <w:r>
        <w:t>5. Budget Allocation</w:t>
      </w:r>
    </w:p>
    <w:p>
      <w:r>
        <w:rPr/>
        <w:t>The total budget for the Zendesk to Freshdesk migration is fixed at $120,000, allocated across four distinct categories to ensure financial control and accountability. Planning commands the largest share at $48,000 (40%), reflecting the extensive requirements gathering and stakeholder alignment required for a seamless transition of 25 agents.</w:t>
      </w:r>
    </w:p>
    <w:p>
      <w:r>
        <w:rPr/>
        <w:t>A dedicated contingency reserve of $12,000 (10%) is maintained to address unforeseen complexities during data migration or integration. This reserve is strictly governed by Priya Sharma and can only be released for critical path delays or scope adjustments that threaten the 30 December 2026 go-live date.</w:t>
      </w:r>
    </w:p>
    <w:p>
      <w:pPr>
        <w:keepNext/>
        <w:spacing w:before="120" w:after="80"/>
      </w:pPr>
      <w:r>
        <w:rPr>
          <w:b/>
          <w:color w:val="1F3A5F"/>
          <w:sz w:val="18"/>
        </w:rPr>
        <w:t xml:space="preserve">Table 3. </w:t>
      </w:r>
      <w:r>
        <w:rPr>
          <w:i/>
          <w:color w:val="6B7280"/>
          <w:sz w:val="18"/>
        </w:rPr>
        <w:t>Budget Allocation by Category</w:t>
      </w:r>
    </w:p>
    <w:tbl>
      <w:tblPr>
        <w:tblW w:type="dxa" w:w="9411"/>
        <w:jc w:val="center"/>
        <w:tblLayout w:type="fixed"/>
        <w:tblLook w:firstColumn="1" w:firstRow="1" w:lastColumn="0" w:lastRow="0" w:noHBand="0" w:noVBand="1" w:val="04A0"/>
      </w:tblPr>
      <w:tblGrid>
        <w:gridCol w:w="1399"/>
        <w:gridCol w:w="1017"/>
        <w:gridCol w:w="1272"/>
        <w:gridCol w:w="5723"/>
      </w:tblGrid>
      <w:tr>
        <w:trPr>
          <w:tblHeader w:val="true"/>
        </w:trPr>
        <w:tc>
          <w:tcPr>
            <w:tcW w:type="dxa" w:w="1399"/>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Category</w:t>
            </w:r>
          </w:p>
        </w:tc>
        <w:tc>
          <w:tcPr>
            <w:tcW w:type="dxa" w:w="1017"/>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Budget</w:t>
            </w:r>
          </w:p>
        </w:tc>
        <w:tc>
          <w:tcPr>
            <w:tcW w:type="dxa" w:w="1272"/>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 of Total</w:t>
            </w:r>
          </w:p>
        </w:tc>
        <w:tc>
          <w:tcPr>
            <w:tcW w:type="dxa" w:w="5723"/>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Notes</w:t>
            </w:r>
          </w:p>
        </w:tc>
      </w:tr>
      <w:tr>
        <w:tc>
          <w:tcPr>
            <w:tcW w:type="dxa" w:w="139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Planning</w:t>
            </w:r>
          </w:p>
        </w:tc>
        <w:tc>
          <w:tcPr>
            <w:tcW w:type="dxa" w:w="101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$48,000</w:t>
            </w:r>
          </w:p>
        </w:tc>
        <w:tc>
          <w:tcPr>
            <w:tcW w:type="dxa" w:w="1272"/>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40%</w:t>
            </w:r>
          </w:p>
        </w:tc>
        <w:tc>
          <w:tcPr>
            <w:tcW w:type="dxa" w:w="5723"/>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Covers requirements definition, stakeholder workshops, and project initiation by 15 Nov 2026.</w:t>
            </w:r>
          </w:p>
        </w:tc>
      </w:tr>
      <w:tr>
        <w:tc>
          <w:tcPr>
            <w:tcW w:type="dxa" w:w="139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Migration</w:t>
            </w:r>
          </w:p>
        </w:tc>
        <w:tc>
          <w:tcPr>
            <w:tcW w:type="dxa" w:w="101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$36,000</w:t>
            </w:r>
          </w:p>
        </w:tc>
        <w:tc>
          <w:tcPr>
            <w:tcW w:type="dxa" w:w="1272"/>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30%</w:t>
            </w:r>
          </w:p>
        </w:tc>
        <w:tc>
          <w:tcPr>
            <w:tcW w:type="dxa" w:w="5723"/>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Funds data export from Zendesk, transformation, and import into Freshdesk by 15 Dec 2026.</w:t>
            </w:r>
          </w:p>
        </w:tc>
      </w:tr>
      <w:tr>
        <w:tc>
          <w:tcPr>
            <w:tcW w:type="dxa" w:w="139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Testing</w:t>
            </w:r>
          </w:p>
        </w:tc>
        <w:tc>
          <w:tcPr>
            <w:tcW w:type="dxa" w:w="101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$24,000</w:t>
            </w:r>
          </w:p>
        </w:tc>
        <w:tc>
          <w:tcPr>
            <w:tcW w:type="dxa" w:w="1272"/>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20%</w:t>
            </w:r>
          </w:p>
        </w:tc>
        <w:tc>
          <w:tcPr>
            <w:tcW w:type="dxa" w:w="5723"/>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Allocated for QA validation, pilot testing, and agent training verification by 28 Dec 2026.</w:t>
            </w:r>
          </w:p>
        </w:tc>
      </w:tr>
      <w:tr>
        <w:tc>
          <w:tcPr>
            <w:tcW w:type="dxa" w:w="139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Contingency</w:t>
            </w:r>
          </w:p>
        </w:tc>
        <w:tc>
          <w:tcPr>
            <w:tcW w:type="dxa" w:w="101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$12,000</w:t>
            </w:r>
          </w:p>
        </w:tc>
        <w:tc>
          <w:tcPr>
            <w:tcW w:type="dxa" w:w="1272"/>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10%</w:t>
            </w:r>
          </w:p>
        </w:tc>
        <w:tc>
          <w:tcPr>
            <w:tcW w:type="dxa" w:w="5723"/>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Reserve for risk mitigation; requires approval from Project Lead Priya Sharma for release.</w:t>
            </w:r>
          </w:p>
        </w:tc>
      </w:tr>
      <w:tr>
        <w:tc>
          <w:tcPr>
            <w:tcW w:type="dxa" w:w="139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b/>
                <w:sz w:val="19"/>
              </w:rPr>
              <w:t>Total</w:t>
            </w:r>
          </w:p>
        </w:tc>
        <w:tc>
          <w:tcPr>
            <w:tcW w:type="dxa" w:w="101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b/>
                <w:sz w:val="19"/>
              </w:rPr>
              <w:t>$120,000</w:t>
            </w:r>
          </w:p>
        </w:tc>
        <w:tc>
          <w:tcPr>
            <w:tcW w:type="dxa" w:w="1272"/>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b/>
                <w:sz w:val="19"/>
              </w:rPr>
              <w:t>100%</w:t>
            </w:r>
          </w:p>
        </w:tc>
        <w:tc>
          <w:tcPr>
            <w:tcW w:type="dxa" w:w="5723"/>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b/>
                <w:sz w:val="19"/>
              </w:rPr>
              <w:t>Fixed budget cap for the 8-week project duration ending 30 Dec 2026.</w:t>
            </w:r>
          </w:p>
        </w:tc>
      </w:tr>
    </w:tbl>
    <w:p>
      <w:pPr>
        <w:spacing w:after="40"/>
      </w:pPr>
    </w:p>
    <w:p>
      <w:pPr>
        <w:pStyle w:val="Heading1"/>
      </w:pPr>
      <w:r>
        <w:t>6. Risks and Mitigations</w:t>
      </w:r>
    </w:p>
    <w:p>
      <w:r>
        <w:rPr/>
        <w:t>The following risk register identifies the top five critical threats to the successful migration of the 25-agent support team from Zendesk to Freshdesk. Each risk is assessed for likelihood and impact, with specific mitigation strategies assigned to named owners to ensure proactive management throughout the eight-week project duration.</w:t>
      </w:r>
    </w:p>
    <w:p>
      <w:r>
        <w:rPr/>
        <w:t>Priya Sharma will review these risks weekly during project status meetings to monitor emerging issues and adjust mitigation efforts as needed, ensuring that the project remains on track for the 30 December 2026 go-live date.</w:t>
      </w:r>
    </w:p>
    <w:p>
      <w:pPr>
        <w:keepNext/>
        <w:spacing w:before="120" w:after="80"/>
      </w:pPr>
      <w:r>
        <w:rPr>
          <w:b/>
          <w:color w:val="1F3A5F"/>
          <w:sz w:val="18"/>
        </w:rPr>
        <w:t xml:space="preserve">Table 4. </w:t>
      </w:r>
      <w:r>
        <w:rPr>
          <w:i/>
          <w:color w:val="6B7280"/>
          <w:sz w:val="18"/>
        </w:rPr>
        <w:t>Risk Register and Mitigation Plan</w:t>
      </w:r>
    </w:p>
    <w:tbl>
      <w:tblPr>
        <w:tblW w:type="dxa" w:w="9411"/>
        <w:jc w:val="center"/>
        <w:tblLayout w:type="fixed"/>
        <w:tblLook w:firstColumn="1" w:firstRow="1" w:lastColumn="0" w:lastRow="0" w:noHBand="0" w:noVBand="1" w:val="04A0"/>
      </w:tblPr>
      <w:tblGrid>
        <w:gridCol w:w="3589"/>
        <w:gridCol w:w="798"/>
        <w:gridCol w:w="479"/>
        <w:gridCol w:w="3589"/>
        <w:gridCol w:w="957"/>
      </w:tblGrid>
      <w:tr>
        <w:trPr>
          <w:tblHeader w:val="true"/>
        </w:trPr>
        <w:tc>
          <w:tcPr>
            <w:tcW w:type="dxa" w:w="3589"/>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Risk</w:t>
            </w:r>
          </w:p>
        </w:tc>
        <w:tc>
          <w:tcPr>
            <w:tcW w:type="dxa" w:w="798"/>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Likelihood</w:t>
            </w:r>
          </w:p>
        </w:tc>
        <w:tc>
          <w:tcPr>
            <w:tcW w:type="dxa" w:w="479"/>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Impact</w:t>
            </w:r>
          </w:p>
        </w:tc>
        <w:tc>
          <w:tcPr>
            <w:tcW w:type="dxa" w:w="3589"/>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Mitigation Strategy</w:t>
            </w:r>
          </w:p>
        </w:tc>
        <w:tc>
          <w:tcPr>
            <w:tcW w:type="dxa" w:w="957"/>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Owner</w:t>
            </w:r>
          </w:p>
        </w:tc>
      </w:tr>
      <w:tr>
        <w:tc>
          <w:tcPr>
            <w:tcW w:type="dxa" w:w="358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Data loss or corruption during ticket export from Zendesk</w:t>
            </w:r>
          </w:p>
        </w:tc>
        <w:tc>
          <w:tcPr>
            <w:tcW w:type="dxa" w:w="79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Medium</w:t>
            </w:r>
          </w:p>
        </w:tc>
        <w:tc>
          <w:tcPr>
            <w:tcW w:type="dxa" w:w="47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High</w:t>
            </w:r>
          </w:p>
        </w:tc>
        <w:tc>
          <w:tcPr>
            <w:tcW w:type="dxa" w:w="358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Perform three full test exports with checksum validation; maintain a 90-day read-only archive of Zendesk data until 30 days post-go-live</w:t>
            </w:r>
          </w:p>
        </w:tc>
        <w:tc>
          <w:tcPr>
            <w:tcW w:type="dxa" w:w="95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Maria Lopez</w:t>
            </w:r>
          </w:p>
        </w:tc>
      </w:tr>
      <w:tr>
        <w:tc>
          <w:tcPr>
            <w:tcW w:type="dxa" w:w="358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Integration failure between Freshdesk and existing CRM systems</w:t>
            </w:r>
          </w:p>
        </w:tc>
        <w:tc>
          <w:tcPr>
            <w:tcW w:type="dxa" w:w="798"/>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Medium</w:t>
            </w:r>
          </w:p>
        </w:tc>
        <w:tc>
          <w:tcPr>
            <w:tcW w:type="dxa" w:w="47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High</w:t>
            </w:r>
          </w:p>
        </w:tc>
        <w:tc>
          <w:tcPr>
            <w:tcW w:type="dxa" w:w="358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Conduct end-to-end integration testing in a sandbox environment by 22 December 2026; engage Freshdesk technical support for real-time troubleshooting during setup</w:t>
            </w:r>
          </w:p>
        </w:tc>
        <w:tc>
          <w:tcPr>
            <w:tcW w:type="dxa" w:w="95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Ahmed Khan</w:t>
            </w:r>
          </w:p>
        </w:tc>
      </w:tr>
      <w:tr>
        <w:tc>
          <w:tcPr>
            <w:tcW w:type="dxa" w:w="358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User resistance from agents adapting to new Freshdesk interface</w:t>
            </w:r>
          </w:p>
        </w:tc>
        <w:tc>
          <w:tcPr>
            <w:tcW w:type="dxa" w:w="79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Medium</w:t>
            </w:r>
          </w:p>
        </w:tc>
        <w:tc>
          <w:tcPr>
            <w:tcW w:type="dxa" w:w="47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Medium</w:t>
            </w:r>
          </w:p>
        </w:tc>
        <w:tc>
          <w:tcPr>
            <w:tcW w:type="dxa" w:w="358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Deploy targeted training sessions for all 25 agents by 28 December 2026; establish a peer support network and quick-reference guides to reduce learning curve</w:t>
            </w:r>
          </w:p>
        </w:tc>
        <w:tc>
          <w:tcPr>
            <w:tcW w:type="dxa" w:w="95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John Doe</w:t>
            </w:r>
          </w:p>
        </w:tc>
      </w:tr>
      <w:tr>
        <w:tc>
          <w:tcPr>
            <w:tcW w:type="dxa" w:w="358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Timeline slip due to delays in data mapping or approval processes</w:t>
            </w:r>
          </w:p>
        </w:tc>
        <w:tc>
          <w:tcPr>
            <w:tcW w:type="dxa" w:w="798"/>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Low</w:t>
            </w:r>
          </w:p>
        </w:tc>
        <w:tc>
          <w:tcPr>
            <w:tcW w:type="dxa" w:w="47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Medium</w:t>
            </w:r>
          </w:p>
        </w:tc>
        <w:tc>
          <w:tcPr>
            <w:tcW w:type="dxa" w:w="358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Implement weekly milestone reviews with clear escalation paths; pre-approve data mapping templates to reduce decision latency by 15 November 2026</w:t>
            </w:r>
          </w:p>
        </w:tc>
        <w:tc>
          <w:tcPr>
            <w:tcW w:type="dxa" w:w="95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Priya Sharma</w:t>
            </w:r>
          </w:p>
        </w:tc>
      </w:tr>
      <w:tr>
        <w:tc>
          <w:tcPr>
            <w:tcW w:type="dxa" w:w="358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Cost overrun exceeding the $120,000 budget cap</w:t>
            </w:r>
          </w:p>
        </w:tc>
        <w:tc>
          <w:tcPr>
            <w:tcW w:type="dxa" w:w="79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Low</w:t>
            </w:r>
          </w:p>
        </w:tc>
        <w:tc>
          <w:tcPr>
            <w:tcW w:type="dxa" w:w="47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High</w:t>
            </w:r>
          </w:p>
        </w:tc>
        <w:tc>
          <w:tcPr>
            <w:tcW w:type="dxa" w:w="358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Monitor spending against the $12,000 contingency reserve monthly; require prior approval from Priya Sharma for any change orders exceeding 5% of allocated phase budgets</w:t>
            </w:r>
          </w:p>
        </w:tc>
        <w:tc>
          <w:tcPr>
            <w:tcW w:type="dxa" w:w="95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Priya Sharma</w:t>
            </w:r>
          </w:p>
        </w:tc>
      </w:tr>
    </w:tbl>
    <w:p>
      <w:pPr>
        <w:spacing w:after="40"/>
      </w:pPr>
    </w:p>
    <w:p>
      <w:pPr>
        <w:pStyle w:val="Heading1"/>
      </w:pPr>
      <w:r>
        <w:t>7. Success Metrics</w:t>
      </w:r>
    </w:p>
    <w:p>
      <w:r>
        <w:rPr/>
        <w:t>The migration success will be quantified through three key performance indicators that directly reflect the project’s objectives. These metrics are aligned with the defined success criteria and will be monitored continuously to ensure the transition meets quality, efficiency, and user satisfaction targets.</w:t>
      </w:r>
    </w:p>
    <w:p>
      <w:pPr>
        <w:keepNext/>
        <w:spacing w:before="120" w:after="80"/>
      </w:pPr>
      <w:r>
        <w:rPr>
          <w:b/>
          <w:color w:val="1F3A5F"/>
          <w:sz w:val="18"/>
        </w:rPr>
        <w:t xml:space="preserve">Table 5. </w:t>
      </w:r>
      <w:r>
        <w:rPr>
          <w:i/>
          <w:color w:val="6B7280"/>
          <w:sz w:val="18"/>
        </w:rPr>
        <w:t>Zendesk to Freshdesk Migration Success Metrics</w:t>
      </w:r>
    </w:p>
    <w:tbl>
      <w:tblPr>
        <w:tblW w:type="dxa" w:w="9411"/>
        <w:jc w:val="center"/>
        <w:tblLayout w:type="fixed"/>
        <w:tblLook w:firstColumn="1" w:firstRow="1" w:lastColumn="0" w:lastRow="0" w:noHBand="0" w:noVBand="1" w:val="04A0"/>
      </w:tblPr>
      <w:tblGrid>
        <w:gridCol w:w="3204"/>
        <w:gridCol w:w="601"/>
        <w:gridCol w:w="4505"/>
        <w:gridCol w:w="1101"/>
      </w:tblGrid>
      <w:tr>
        <w:trPr>
          <w:tblHeader w:val="true"/>
        </w:trPr>
        <w:tc>
          <w:tcPr>
            <w:tcW w:type="dxa" w:w="3204"/>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Metric</w:t>
            </w:r>
          </w:p>
        </w:tc>
        <w:tc>
          <w:tcPr>
            <w:tcW w:type="dxa" w:w="601"/>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Target</w:t>
            </w:r>
          </w:p>
        </w:tc>
        <w:tc>
          <w:tcPr>
            <w:tcW w:type="dxa" w:w="4505"/>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Measurement Method</w:t>
            </w:r>
          </w:p>
        </w:tc>
        <w:tc>
          <w:tcPr>
            <w:tcW w:type="dxa" w:w="1101"/>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Owner</w:t>
            </w:r>
          </w:p>
        </w:tc>
      </w:tr>
      <w:tr>
        <w:tc>
          <w:tcPr>
            <w:tcW w:type="dxa" w:w="320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Ticket Migration Accuracy</w:t>
            </w:r>
          </w:p>
        </w:tc>
        <w:tc>
          <w:tcPr>
            <w:tcW w:type="dxa" w:w="60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95%</w:t>
            </w:r>
          </w:p>
        </w:tc>
        <w:tc>
          <w:tcPr>
            <w:tcW w:type="dxa" w:w="450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Post‑migration audit comparing Zendesk ticket IDs to Freshdesk IDs</w:t>
            </w:r>
          </w:p>
        </w:tc>
        <w:tc>
          <w:tcPr>
            <w:tcW w:type="dxa" w:w="110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Ahmed Khan</w:t>
            </w:r>
          </w:p>
        </w:tc>
      </w:tr>
      <w:tr>
        <w:tc>
          <w:tcPr>
            <w:tcW w:type="dxa" w:w="3204"/>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Agent Satisfaction</w:t>
            </w:r>
          </w:p>
        </w:tc>
        <w:tc>
          <w:tcPr>
            <w:tcW w:type="dxa" w:w="601"/>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90%</w:t>
            </w:r>
          </w:p>
        </w:tc>
        <w:tc>
          <w:tcPr>
            <w:tcW w:type="dxa" w:w="450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End‑of‑pilot survey using a 5‑point Likert scale</w:t>
            </w:r>
          </w:p>
        </w:tc>
        <w:tc>
          <w:tcPr>
            <w:tcW w:type="dxa" w:w="1101"/>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Maria Lopez</w:t>
            </w:r>
          </w:p>
        </w:tc>
      </w:tr>
      <w:tr>
        <w:tc>
          <w:tcPr>
            <w:tcW w:type="dxa" w:w="320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Ticket Resolution Time Reduction</w:t>
            </w:r>
          </w:p>
        </w:tc>
        <w:tc>
          <w:tcPr>
            <w:tcW w:type="dxa" w:w="60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10%</w:t>
            </w:r>
          </w:p>
        </w:tc>
        <w:tc>
          <w:tcPr>
            <w:tcW w:type="dxa" w:w="450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Average resolution time comparison pre‑ and post‑migration</w:t>
            </w:r>
          </w:p>
        </w:tc>
        <w:tc>
          <w:tcPr>
            <w:tcW w:type="dxa" w:w="110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John Doe</w:t>
            </w:r>
          </w:p>
        </w:tc>
      </w:tr>
    </w:tbl>
    <w:p>
      <w:pPr>
        <w:spacing w:after="40"/>
      </w:pPr>
    </w:p>
    <w:p>
      <w:pPr>
        <w:pStyle w:val="Heading1"/>
      </w:pPr>
      <w:r>
        <w:t>8. Assumptions, Decisions &amp; Open Questions</w:t>
      </w:r>
    </w:p>
    <w:p>
      <w:r>
        <w:rPr/>
        <w:t>The request did not specify every detail. To deliver a complete draft without blocking on clarification, the agent made the decisions below. Each should be confirmed with the relevant stakeholder before this document is finalised.</w:t>
      </w:r>
    </w:p>
    <w:p>
      <w:pPr>
        <w:pStyle w:val="Heading2"/>
      </w:pPr>
      <w:r>
        <w:t>Assumptions made</w:t>
      </w:r>
    </w:p>
    <w:p>
      <w:pPr>
        <w:pStyle w:val="ListBullet"/>
      </w:pPr>
      <w:r>
        <w:rPr/>
        <w:t>Project start date is 1 November 2026</w:t>
      </w:r>
    </w:p>
    <w:p>
      <w:pPr>
        <w:pStyle w:val="ListBullet"/>
      </w:pPr>
      <w:r>
        <w:rPr/>
        <w:t>Project end date is 30 December 2026</w:t>
      </w:r>
    </w:p>
    <w:p>
      <w:pPr>
        <w:pStyle w:val="ListBullet"/>
      </w:pPr>
      <w:r>
        <w:rPr/>
        <w:t>Total budget is $120,000</w:t>
      </w:r>
    </w:p>
    <w:p>
      <w:pPr>
        <w:pStyle w:val="ListBullet"/>
      </w:pPr>
      <w:r>
        <w:rPr>
          <w:b/>
        </w:rPr>
        <w:t xml:space="preserve">Budget allocation: </w:t>
      </w:r>
      <w:r>
        <w:rPr/>
        <w:t>Planning $48,000, Migration $36,000, Testing $24,000, Contingency $12,000</w:t>
      </w:r>
    </w:p>
    <w:p>
      <w:pPr>
        <w:pStyle w:val="ListBullet"/>
      </w:pPr>
      <w:r>
        <w:rPr>
          <w:b/>
        </w:rPr>
        <w:t xml:space="preserve">Project lead: </w:t>
      </w:r>
      <w:r>
        <w:rPr/>
        <w:t>Priya Sharma</w:t>
      </w:r>
    </w:p>
    <w:p>
      <w:pPr>
        <w:pStyle w:val="ListBullet"/>
      </w:pPr>
      <w:r>
        <w:rPr>
          <w:b/>
        </w:rPr>
        <w:t xml:space="preserve">Migration specialist: </w:t>
      </w:r>
      <w:r>
        <w:rPr/>
        <w:t>Ahmed Khan</w:t>
      </w:r>
    </w:p>
    <w:p>
      <w:pPr>
        <w:pStyle w:val="ListBullet"/>
      </w:pPr>
      <w:r>
        <w:rPr>
          <w:b/>
        </w:rPr>
        <w:t xml:space="preserve">Data analyst: </w:t>
      </w:r>
      <w:r>
        <w:rPr/>
        <w:t>Maria Lopez</w:t>
      </w:r>
    </w:p>
    <w:p>
      <w:pPr>
        <w:pStyle w:val="ListBullet"/>
      </w:pPr>
      <w:r>
        <w:rPr>
          <w:b/>
        </w:rPr>
        <w:t xml:space="preserve">QA lead: </w:t>
      </w:r>
      <w:r>
        <w:rPr/>
        <w:t>John Doe</w:t>
      </w:r>
    </w:p>
    <w:p>
      <w:pPr>
        <w:pStyle w:val="ListBullet"/>
      </w:pPr>
      <w:r>
        <w:rPr/>
        <w:t>Milestone 1 (Requirements &amp; Planning) ends 15 November 2026</w:t>
      </w:r>
    </w:p>
    <w:p>
      <w:pPr>
        <w:pStyle w:val="ListBullet"/>
      </w:pPr>
      <w:r>
        <w:rPr/>
        <w:t>Milestone 2 (Data Mapping &amp; Export) ends 15 December 2026</w:t>
      </w:r>
    </w:p>
    <w:p>
      <w:pPr>
        <w:pStyle w:val="ListBullet"/>
      </w:pPr>
      <w:r>
        <w:rPr/>
        <w:t>Milestone 3 (Freshdesk Setup &amp; Integration) ends 29 December 2026</w:t>
      </w:r>
    </w:p>
    <w:p>
      <w:pPr>
        <w:pStyle w:val="ListBullet"/>
      </w:pPr>
      <w:r>
        <w:rPr/>
        <w:t>Milestone 4 (Pilot &amp; Training) ends 28 December 2026</w:t>
      </w:r>
    </w:p>
    <w:p>
      <w:pPr>
        <w:pStyle w:val="ListBullet"/>
      </w:pPr>
      <w:r>
        <w:rPr/>
        <w:t>Milestone 5 (Go-live) is 30 December 2026</w:t>
      </w:r>
    </w:p>
    <w:p>
      <w:pPr>
        <w:pStyle w:val="ListBullet"/>
      </w:pPr>
      <w:r>
        <w:rPr>
          <w:b/>
        </w:rPr>
        <w:t xml:space="preserve">Success metrics: </w:t>
      </w:r>
      <w:r>
        <w:rPr/>
        <w:t>95% ticket migration accuracy, 90% agent satisfaction, 10% reduction in ticket resolution time</w:t>
      </w:r>
    </w:p>
    <w:p>
      <w:pPr>
        <w:pStyle w:val="Heading2"/>
      </w:pPr>
      <w:r>
        <w:t>Open questions for stakeholders</w:t>
      </w:r>
    </w:p>
    <w:p>
      <w:pPr>
        <w:pStyle w:val="ListBullet"/>
      </w:pPr>
      <w:r>
        <w:rPr/>
        <w:t>start date</w:t>
      </w:r>
    </w:p>
    <w:p>
      <w:pPr>
        <w:pStyle w:val="ListBullet"/>
      </w:pPr>
      <w:r>
        <w:rPr/>
        <w:t>end date</w:t>
      </w:r>
    </w:p>
    <w:p>
      <w:pPr>
        <w:pStyle w:val="ListBullet"/>
      </w:pPr>
      <w:r>
        <w:rPr/>
        <w:t>total budget</w:t>
      </w:r>
    </w:p>
    <w:p>
      <w:pPr>
        <w:pStyle w:val="ListBullet"/>
      </w:pPr>
      <w:r>
        <w:rPr/>
        <w:t>budget allocation</w:t>
      </w:r>
    </w:p>
    <w:p>
      <w:pPr>
        <w:pStyle w:val="ListBullet"/>
      </w:pPr>
      <w:r>
        <w:rPr/>
        <w:t>names of key roles</w:t>
      </w:r>
    </w:p>
    <w:p>
      <w:pPr>
        <w:pStyle w:val="ListBullet"/>
      </w:pPr>
      <w:r>
        <w:rPr/>
        <w:t>milestone dates</w:t>
      </w:r>
    </w:p>
    <w:p>
      <w:pPr>
        <w:pStyle w:val="ListBullet"/>
      </w:pPr>
      <w:r>
        <w:rPr/>
        <w:t>success metric thresholds</w:t>
      </w:r>
    </w:p>
    <w:p>
      <w:pPr>
        <w:spacing w:before="480"/>
        <w:jc w:val="center"/>
      </w:pPr>
      <w:r>
        <w:rPr>
          <w:i/>
          <w:color w:val="6B7280"/>
          <w:sz w:val="18"/>
        </w:rPr>
        <w:t>— End of document —</w:t>
      </w:r>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6B7280"/>
        <w:sz w:val="17"/>
      </w:rPr>
      <w:t>Project Plan  ·  Confidential — draft for review</w:t>
    </w:r>
    <w:r>
      <w:rPr>
        <w:color w:val="6B7280"/>
        <w:sz w:val="17"/>
      </w:rPr>
      <w:tab/>
      <w:t xml:space="preserve">Page </w:t>
    </w: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r>
      <w:rPr>
        <w:color w:val="6B7280"/>
        <w:sz w:val="17"/>
      </w:rPr>
      <w:t xml:space="preserve"> of </w:t>
    </w:r>
    <w:r>
      <w:rPr>
        <w:color w:val="6B7280"/>
        <w:sz w:val="17"/>
      </w:rPr>
      <w:fldChar w:fldCharType="begin"/>
    </w:r>
    <w:r>
      <w:rPr>
        <w:color w:val="6B7280"/>
        <w:sz w:val="17"/>
      </w:rPr>
      <w:instrText xml:space="preserve"> NUMPAGES </w:instrText>
    </w:r>
    <w:r>
      <w:rPr>
        <w:color w:val="6B7280"/>
        <w:sz w:val="17"/>
      </w:rPr>
      <w:fldChar w:fldCharType="separate"/>
    </w:r>
    <w:r>
      <w:rPr>
        <w:color w:val="6B7280"/>
        <w:sz w:val="17"/>
      </w:rPr>
      <w:t>1</w: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9D3E0"/>
      </w:pBdr>
      <w:jc w:val="right"/>
    </w:pPr>
    <w:r>
      <w:rPr>
        <w:color w:val="6B7280"/>
        <w:sz w:val="17"/>
      </w:rPr>
      <w:t>Customer Support Platform Migration Project Plan: Zendesk to Freshdesk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Calibri" w:hAnsi="Calibri" w:eastAsia="Calibri" w:cs="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Platform Migration Project Plan: Zendesk to Freshdesk</dc:title>
  <dc:subject>Project Plan</dc:subject>
  <dc:creator>Autonomous Document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