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7F55" w:rsidRPr="00687F55" w:rsidRDefault="00687F55" w:rsidP="00687F5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IN"/>
        </w:rPr>
      </w:pPr>
      <w:bookmarkStart w:id="0" w:name="_GoBack"/>
      <w:r w:rsidRPr="00687F55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IN"/>
        </w:rPr>
        <w:t>STRATSIM TBS</w:t>
      </w:r>
      <w:r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IN"/>
        </w:rPr>
        <w:t xml:space="preserve"> 2</w:t>
      </w:r>
      <w:r w:rsidRPr="00687F55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IN"/>
        </w:rPr>
        <w:t>: Faculty Manual &amp; Pedagogical Guide</w:t>
      </w:r>
    </w:p>
    <w:bookmarkEnd w:id="0"/>
    <w:p w:rsidR="00687F55" w:rsidRPr="00687F55" w:rsidRDefault="00687F55" w:rsidP="00687F5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n-IN"/>
        </w:rPr>
      </w:pPr>
      <w:r w:rsidRPr="00687F55">
        <w:rPr>
          <w:rFonts w:asciiTheme="majorHAnsi" w:eastAsia="Times New Roman" w:hAnsiTheme="majorHAnsi" w:cstheme="majorHAnsi"/>
          <w:b/>
          <w:bCs/>
          <w:sz w:val="36"/>
          <w:szCs w:val="36"/>
          <w:lang w:eastAsia="en-IN"/>
        </w:rPr>
        <w:t>Apex Master Edition (Triple-Threat Competition)</w:t>
      </w:r>
    </w:p>
    <w:p w:rsidR="00687F55" w:rsidRPr="00687F55" w:rsidRDefault="00687F55" w:rsidP="00687F5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</w:pPr>
      <w:r w:rsidRPr="00687F55"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  <w:t>1. Executive Summary</w:t>
      </w:r>
    </w:p>
    <w:p w:rsidR="00687F55" w:rsidRPr="00687F55" w:rsidRDefault="00687F55" w:rsidP="00687F5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The </w:t>
      </w:r>
      <w:r w:rsidRPr="00687F55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STRATSIM TBS: Apex Master Edition</w:t>
      </w:r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is a high-fidelity competitive strategy simulation designed for advanced management modules. Unlike traditional business games, this version is a "</w:t>
      </w:r>
      <w:proofErr w:type="spellStart"/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>Hardcore</w:t>
      </w:r>
      <w:proofErr w:type="spellEnd"/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" pedagogical tool that enforces strict regulatory compliance and features recursive AI logic. It places students in a three-way battle against </w:t>
      </w:r>
      <w:proofErr w:type="spellStart"/>
      <w:r w:rsidRPr="00687F55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BetaCorp</w:t>
      </w:r>
      <w:proofErr w:type="spellEnd"/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and </w:t>
      </w:r>
      <w:proofErr w:type="spellStart"/>
      <w:r w:rsidRPr="00687F55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GammaCorp</w:t>
      </w:r>
      <w:proofErr w:type="spellEnd"/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>—two AI entities programmed to maintain mathematical dominance.</w:t>
      </w:r>
    </w:p>
    <w:p w:rsidR="00687F55" w:rsidRPr="00687F55" w:rsidRDefault="00687F55" w:rsidP="00687F5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>The simulation serves as a laboratory for testing leadership under macroeconomic duress, technical obsolescence, and anti-trust regulation.</w:t>
      </w:r>
    </w:p>
    <w:p w:rsidR="00687F55" w:rsidRPr="00687F55" w:rsidRDefault="00687F55" w:rsidP="00687F5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</w:pPr>
      <w:r w:rsidRPr="00687F55"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  <w:t>2. Pedagogical Objectives</w:t>
      </w:r>
    </w:p>
    <w:p w:rsidR="00687F55" w:rsidRPr="00687F55" w:rsidRDefault="00687F55" w:rsidP="00687F5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>The simulation is engineered to achieve four primary strategic objectives:</w:t>
      </w:r>
    </w:p>
    <w:p w:rsidR="00687F55" w:rsidRPr="00687F55" w:rsidRDefault="00687F55" w:rsidP="00687F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687F55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Quantitative Rigor:</w:t>
      </w:r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To force students to move beyond intuition and utilize data-driven decision-making by auditing complex P&amp;L statements and demand forecasts.</w:t>
      </w:r>
    </w:p>
    <w:p w:rsidR="00687F55" w:rsidRPr="00687F55" w:rsidRDefault="00687F55" w:rsidP="00687F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687F55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Resource Allocation under Scarcity:</w:t>
      </w:r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To teach the "Velocity of Money"—balancing the $5,000 R&amp;D fees and 8% marketing caps within a finite liquid cash environment.</w:t>
      </w:r>
    </w:p>
    <w:p w:rsidR="00687F55" w:rsidRPr="00687F55" w:rsidRDefault="00687F55" w:rsidP="00687F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687F55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Resilience against Systemic Shocks:</w:t>
      </w:r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To expose students to mandatory quarterly macro-events (Recessions, Tariffs, Monetary Crisis) that demand immediate pivots in pricing and production.</w:t>
      </w:r>
    </w:p>
    <w:p w:rsidR="00687F55" w:rsidRPr="00687F55" w:rsidRDefault="00687F55" w:rsidP="00687F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687F55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Portfolio Diversification:</w:t>
      </w:r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To demonstrate the necessity of multi-segment targeting via the "30% Antitrust Rule," preventing reliance on a single monopoly product.</w:t>
      </w:r>
    </w:p>
    <w:p w:rsidR="00687F55" w:rsidRPr="00687F55" w:rsidRDefault="00687F55" w:rsidP="00687F5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</w:pPr>
      <w:r w:rsidRPr="00687F55"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  <w:t>3. Student Learning Outcomes (SLOs)</w:t>
      </w:r>
    </w:p>
    <w:p w:rsidR="00687F55" w:rsidRPr="00687F55" w:rsidRDefault="00687F55" w:rsidP="00687F5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>Upon completion of the 12-quarter cycle, students will be able to:</w:t>
      </w:r>
    </w:p>
    <w:p w:rsidR="00687F55" w:rsidRPr="00687F55" w:rsidRDefault="00687F55" w:rsidP="00687F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687F55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L.O. 1: Financial Forensics.</w:t>
      </w:r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Identify liquidity drains by </w:t>
      </w:r>
      <w:proofErr w:type="spellStart"/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>analyzing</w:t>
      </w:r>
      <w:proofErr w:type="spellEnd"/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COGS, inventory holding costs (18%), and operating margins in absolute USD.</w:t>
      </w:r>
    </w:p>
    <w:p w:rsidR="00687F55" w:rsidRPr="00687F55" w:rsidRDefault="00687F55" w:rsidP="00687F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687F55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L.O. 2: Utility Alignment.</w:t>
      </w:r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Reverse-engineer consumer demand by tracking the drift of "Ideal Points" in the R&amp;D lab and launching products with precise specifications.</w:t>
      </w:r>
    </w:p>
    <w:p w:rsidR="00687F55" w:rsidRPr="00687F55" w:rsidRDefault="00687F55" w:rsidP="00687F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687F55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L.O. 3: Regulatory Compliance.</w:t>
      </w:r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Operate a firm within strict legal boundaries, specifically the </w:t>
      </w:r>
      <w:r w:rsidRPr="00687F55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8% Advertising Cap</w:t>
      </w:r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and the </w:t>
      </w:r>
      <w:r w:rsidRPr="00687F55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30% Market Share Ceiling</w:t>
      </w:r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>.</w:t>
      </w:r>
    </w:p>
    <w:p w:rsidR="00687F55" w:rsidRPr="00687F55" w:rsidRDefault="00687F55" w:rsidP="00687F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687F55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L.O. 4: Competitive Intelligence.</w:t>
      </w:r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Interpret competitor surveillance feeds to anticipate price wars and innovation blitzes from AI rivals.</w:t>
      </w:r>
    </w:p>
    <w:p w:rsidR="00687F55" w:rsidRPr="00687F55" w:rsidRDefault="00687F55" w:rsidP="00687F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687F55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L.O. 5: Crisis Management.</w:t>
      </w:r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Maintain a positive net contribution throughout economic downturns to avoid "Zero-Profit Termination."</w:t>
      </w:r>
    </w:p>
    <w:p w:rsidR="00687F55" w:rsidRPr="00687F55" w:rsidRDefault="00687F55" w:rsidP="00687F5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</w:pPr>
      <w:r w:rsidRPr="00687F55"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  <w:lastRenderedPageBreak/>
        <w:t>4. The Competitive Landscape (Instructor View)</w:t>
      </w:r>
    </w:p>
    <w:p w:rsidR="00687F55" w:rsidRPr="00687F55" w:rsidRDefault="00687F55" w:rsidP="00687F55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687F55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The Triple-Threat AI Logic</w:t>
      </w:r>
    </w:p>
    <w:p w:rsidR="00687F55" w:rsidRPr="00687F55" w:rsidRDefault="00687F55" w:rsidP="00687F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687F55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BetaCorp</w:t>
      </w:r>
      <w:proofErr w:type="spellEnd"/>
      <w:r w:rsidRPr="00687F55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 AI:</w:t>
      </w:r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An "Alpha-Optimizer" targeting high-margin segments (Innovators/Professionals). It launches a new product every quarter.</w:t>
      </w:r>
    </w:p>
    <w:p w:rsidR="00687F55" w:rsidRPr="00687F55" w:rsidRDefault="00687F55" w:rsidP="00687F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687F55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GammaCorp</w:t>
      </w:r>
      <w:proofErr w:type="spellEnd"/>
      <w:r w:rsidRPr="00687F55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 AI:</w:t>
      </w:r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A "Scale-Optimizer" focusing on volume segments (Savers/Achievers).</w:t>
      </w:r>
    </w:p>
    <w:p w:rsidR="00687F55" w:rsidRPr="00687F55" w:rsidRDefault="00687F55" w:rsidP="00687F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687F55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Apex Logic:</w:t>
      </w:r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Both AI companies are mathematically protected. If the user surpasses them in SPI, they enter </w:t>
      </w:r>
      <w:r w:rsidRPr="00687F55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Omega Protocol</w:t>
      </w:r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>, lowering prices and doubling ad-spend to force the user into a loss.</w:t>
      </w:r>
    </w:p>
    <w:p w:rsidR="00687F55" w:rsidRPr="00687F55" w:rsidRDefault="00687F55" w:rsidP="00687F55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687F55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The Termination Triggers (CEO Survival)</w:t>
      </w:r>
    </w:p>
    <w:p w:rsidR="00687F55" w:rsidRPr="00687F55" w:rsidRDefault="00687F55" w:rsidP="00687F5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>Instructors should brief students on these "Hard-End" conditions:</w:t>
      </w:r>
    </w:p>
    <w:p w:rsidR="00687F55" w:rsidRPr="00687F55" w:rsidRDefault="00687F55" w:rsidP="00687F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687F55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Fiscal Failure:</w:t>
      </w:r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If profit is $\le 0$ in any quarter, the student is terminated immediately.</w:t>
      </w:r>
    </w:p>
    <w:p w:rsidR="00687F55" w:rsidRPr="00687F55" w:rsidRDefault="00687F55" w:rsidP="00687F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687F55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Innovation Stagnation:</w:t>
      </w:r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If a student fails to launch any R&amp;D project for 4 consecutive quarters, they are fired.</w:t>
      </w:r>
    </w:p>
    <w:p w:rsidR="00687F55" w:rsidRPr="00687F55" w:rsidRDefault="00687F55" w:rsidP="00687F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687F55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Mandatory Launch:</w:t>
      </w:r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The system blocks turns in Q2, Q4, Q6, etc., if an R&amp;D project is not initiated.</w:t>
      </w:r>
    </w:p>
    <w:p w:rsidR="00687F55" w:rsidRPr="00687F55" w:rsidRDefault="00687F55" w:rsidP="00687F5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</w:pPr>
      <w:r w:rsidRPr="00687F55"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  <w:t>5. The "How to Win" Strategy (The Winning Blueprint)</w:t>
      </w:r>
    </w:p>
    <w:p w:rsidR="00687F55" w:rsidRPr="00687F55" w:rsidRDefault="00687F55" w:rsidP="00687F5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>To beat the simulation (or achieve the highest possible SPI Delta), students should follow this strategic framework:</w:t>
      </w:r>
    </w:p>
    <w:p w:rsidR="00687F55" w:rsidRPr="00687F55" w:rsidRDefault="00687F55" w:rsidP="00687F55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687F55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I. The "30% Rule" Precision</w:t>
      </w:r>
    </w:p>
    <w:p w:rsidR="00687F55" w:rsidRPr="00687F55" w:rsidRDefault="00687F55" w:rsidP="00687F5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>Because sales are capped at 30% of segment demand, producing 100% of demand is a waste of capital.</w:t>
      </w:r>
    </w:p>
    <w:p w:rsidR="00687F55" w:rsidRPr="00687F55" w:rsidRDefault="00687F55" w:rsidP="00687F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687F55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Win Move:</w:t>
      </w:r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Calculate 30% of the value on the "Strategic Demand Forecast" card and produce exactly that amount plus a 5% buffer. This minimizes inventory holding costs and prevents "Dead Capital."</w:t>
      </w:r>
    </w:p>
    <w:p w:rsidR="00687F55" w:rsidRPr="00687F55" w:rsidRDefault="00687F55" w:rsidP="00687F55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687F55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II. The R&amp;D "Leapfrog"</w:t>
      </w:r>
    </w:p>
    <w:p w:rsidR="00687F55" w:rsidRPr="00687F55" w:rsidRDefault="00687F55" w:rsidP="00687F5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Segments drift every quarter. Designing a product for </w:t>
      </w:r>
      <w:r w:rsidRPr="00687F55">
        <w:rPr>
          <w:rFonts w:asciiTheme="majorHAnsi" w:eastAsia="Times New Roman" w:hAnsiTheme="majorHAnsi" w:cstheme="majorHAnsi"/>
          <w:i/>
          <w:iCs/>
          <w:sz w:val="24"/>
          <w:szCs w:val="24"/>
          <w:lang w:eastAsia="en-IN"/>
        </w:rPr>
        <w:t>today's</w:t>
      </w:r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ideal point means it will be obsolete by the time it launches next quarter.</w:t>
      </w:r>
    </w:p>
    <w:p w:rsidR="00687F55" w:rsidRPr="00687F55" w:rsidRDefault="00687F55" w:rsidP="00687F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687F55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Win Move:</w:t>
      </w:r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Look at the "Trend" column in the R&amp;D Lab. Add 2 points to Power and Design specs beyond current ideals. This ensures the product hits the "sweet spot" at the moment of launch.</w:t>
      </w:r>
    </w:p>
    <w:p w:rsidR="00687F55" w:rsidRPr="00687F55" w:rsidRDefault="00687F55" w:rsidP="00687F55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687F55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III. Marketing </w:t>
      </w:r>
      <w:proofErr w:type="gramStart"/>
      <w:r w:rsidRPr="00687F55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Within</w:t>
      </w:r>
      <w:proofErr w:type="gramEnd"/>
      <w:r w:rsidRPr="00687F55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 the Cap</w:t>
      </w:r>
    </w:p>
    <w:p w:rsidR="00687F55" w:rsidRPr="00687F55" w:rsidRDefault="00687F55" w:rsidP="00687F5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>The 8% Ad Budget cap means you cannot "buy" the market.</w:t>
      </w:r>
    </w:p>
    <w:p w:rsidR="00687F55" w:rsidRPr="00687F55" w:rsidRDefault="00687F55" w:rsidP="00687F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687F55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lastRenderedPageBreak/>
        <w:t>Win Move:</w:t>
      </w:r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Instead of spending the full 8% on every brand, spend 8% on your high-margin "Innovator" products and only 3-4% on "Saver" products. Reallocate the saved cash into R&amp;D for more frequent launches.</w:t>
      </w:r>
    </w:p>
    <w:p w:rsidR="00687F55" w:rsidRPr="00687F55" w:rsidRDefault="00687F55" w:rsidP="00687F55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687F55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IV. Macro-Shock Absorption</w:t>
      </w:r>
    </w:p>
    <w:p w:rsidR="00687F55" w:rsidRPr="00687F55" w:rsidRDefault="00687F55" w:rsidP="00687F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687F55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Recession:</w:t>
      </w:r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Lower production by 20% and prices by 10% immediately.</w:t>
      </w:r>
    </w:p>
    <w:p w:rsidR="00687F55" w:rsidRPr="00687F55" w:rsidRDefault="00687F55" w:rsidP="00687F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687F55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Tariffs:</w:t>
      </w:r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Increase prices by 15% to protect the Operating Margin.</w:t>
      </w:r>
    </w:p>
    <w:p w:rsidR="00687F55" w:rsidRPr="00687F55" w:rsidRDefault="00687F55" w:rsidP="00687F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687F55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Monetary Crisis:</w:t>
      </w:r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Liquidity is more important than sales. Clear inventory by dropping prices, even if margins suffer, to avoid the 6x inventory holding penalty.</w:t>
      </w:r>
    </w:p>
    <w:p w:rsidR="00687F55" w:rsidRPr="00687F55" w:rsidRDefault="00687F55" w:rsidP="00687F5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</w:pPr>
      <w:r w:rsidRPr="00687F55"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  <w:t>6. Assessment &amp; Evaluation Guide</w:t>
      </w:r>
    </w:p>
    <w:p w:rsidR="00687F55" w:rsidRPr="00687F55" w:rsidRDefault="00687F55" w:rsidP="00687F5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Faculty should evaluate students based on the following </w:t>
      </w:r>
      <w:proofErr w:type="spellStart"/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>artifacts</w:t>
      </w:r>
      <w:proofErr w:type="spellEnd"/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provided at the end of Period 12:</w:t>
      </w:r>
    </w:p>
    <w:p w:rsidR="00687F55" w:rsidRPr="00687F55" w:rsidRDefault="00687F55" w:rsidP="00687F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687F55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The SPI Delta (50%):</w:t>
      </w:r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How close did the student stay to </w:t>
      </w:r>
      <w:proofErr w:type="spellStart"/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>BetaCorp</w:t>
      </w:r>
      <w:proofErr w:type="spellEnd"/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>? A student within 15% of AI performance is considered "Apex."</w:t>
      </w:r>
    </w:p>
    <w:p w:rsidR="00687F55" w:rsidRPr="00687F55" w:rsidRDefault="00687F55" w:rsidP="00687F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687F55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The Executive Decision Log (.CSV) (20%):</w:t>
      </w:r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Audit the "History" tab or the CSV for consistency. Look for the "Blank Screen" fix—did the student stay within their liquidity limits?</w:t>
      </w:r>
    </w:p>
    <w:p w:rsidR="00687F55" w:rsidRPr="00687F55" w:rsidRDefault="00687F55" w:rsidP="00687F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687F55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Academic Justification (.TXT) (30%):</w:t>
      </w:r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Evaluate the 5 reflection questions. Key criteria: Did they mention </w:t>
      </w:r>
      <w:r w:rsidRPr="00687F55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Price Elasticity</w:t>
      </w:r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, </w:t>
      </w:r>
      <w:r w:rsidRPr="00687F55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Experience Curves</w:t>
      </w:r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, and </w:t>
      </w:r>
      <w:r w:rsidRPr="00687F55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Antitrust Constraints</w:t>
      </w:r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in their reasoning?</w:t>
      </w:r>
    </w:p>
    <w:p w:rsidR="00687F55" w:rsidRPr="00687F55" w:rsidRDefault="00687F55" w:rsidP="00687F5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687F55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Approved for use at Taxila Business School.</w:t>
      </w:r>
      <w:r w:rsidRPr="00687F55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</w:p>
    <w:p w:rsidR="00A21865" w:rsidRPr="00687F55" w:rsidRDefault="00A21865">
      <w:pPr>
        <w:rPr>
          <w:rFonts w:asciiTheme="majorHAnsi" w:hAnsiTheme="majorHAnsi" w:cstheme="majorHAnsi"/>
        </w:rPr>
      </w:pPr>
    </w:p>
    <w:sectPr w:rsidR="00A21865" w:rsidRPr="00687F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005AFC"/>
    <w:multiLevelType w:val="multilevel"/>
    <w:tmpl w:val="7FB2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7312F5"/>
    <w:multiLevelType w:val="multilevel"/>
    <w:tmpl w:val="FFF8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81237A"/>
    <w:multiLevelType w:val="multilevel"/>
    <w:tmpl w:val="4DCCF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8A4185"/>
    <w:multiLevelType w:val="multilevel"/>
    <w:tmpl w:val="99CC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5B66E1"/>
    <w:multiLevelType w:val="multilevel"/>
    <w:tmpl w:val="2E50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BC5C5F"/>
    <w:multiLevelType w:val="multilevel"/>
    <w:tmpl w:val="0884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00588B"/>
    <w:multiLevelType w:val="multilevel"/>
    <w:tmpl w:val="10002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F0540F"/>
    <w:multiLevelType w:val="multilevel"/>
    <w:tmpl w:val="F3F8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75279A"/>
    <w:multiLevelType w:val="multilevel"/>
    <w:tmpl w:val="E968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8"/>
  </w:num>
  <w:num w:numId="5">
    <w:abstractNumId w:val="1"/>
  </w:num>
  <w:num w:numId="6">
    <w:abstractNumId w:val="7"/>
  </w:num>
  <w:num w:numId="7">
    <w:abstractNumId w:val="0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F55"/>
    <w:rsid w:val="00687F55"/>
    <w:rsid w:val="00A2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022FC"/>
  <w15:chartTrackingRefBased/>
  <w15:docId w15:val="{8A86EFD5-AB62-4E7F-8780-3AF043A4D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87F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87F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87F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687F5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F5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87F5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87F5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687F55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87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87F55"/>
    <w:rPr>
      <w:b/>
      <w:bCs/>
    </w:rPr>
  </w:style>
  <w:style w:type="character" w:styleId="Emphasis">
    <w:name w:val="Emphasis"/>
    <w:basedOn w:val="DefaultParagraphFont"/>
    <w:uiPriority w:val="20"/>
    <w:qFormat/>
    <w:rsid w:val="00687F5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406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790</Words>
  <Characters>4505</Characters>
  <Application>Microsoft Office Word</Application>
  <DocSecurity>0</DocSecurity>
  <Lines>37</Lines>
  <Paragraphs>10</Paragraphs>
  <ScaleCrop>false</ScaleCrop>
  <Company/>
  <LinksUpToDate>false</LinksUpToDate>
  <CharactersWithSpaces>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sharma</dc:creator>
  <cp:keywords/>
  <dc:description/>
  <cp:lastModifiedBy>k sharma</cp:lastModifiedBy>
  <cp:revision>1</cp:revision>
  <dcterms:created xsi:type="dcterms:W3CDTF">2026-01-27T00:50:00Z</dcterms:created>
  <dcterms:modified xsi:type="dcterms:W3CDTF">2026-01-27T00:51:00Z</dcterms:modified>
</cp:coreProperties>
</file>